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4d4e8228298045c989cc6c2292039412e5a4e09"/>
      <w:r>
        <w:t xml:space="preserve">Builder Review — BLAST-CT (Monteiro et al. 2020) + local deployment</w:t>
      </w:r>
      <w:bookmarkEnd w:id="20"/>
    </w:p>
    <w:p>
      <w:pPr>
        <w:pStyle w:val="FirstParagraph"/>
      </w:pPr>
      <w:r>
        <w:rPr>
          <w:i/>
        </w:rPr>
        <w:t xml:space="preserve">Bundled for the Inzira site; same text as</w:t>
      </w:r>
      <w:r>
        <w:t xml:space="preserve"> </w:t>
      </w:r>
      <w:hyperlink r:id="rId21">
        <w:r>
          <w:rPr>
            <w:rStyle w:val="Hyperlink"/>
          </w:rPr>
          <w:t xml:space="preserve">github.com/…/Blast-CT-implementation/…/blast_br.md</w:t>
        </w:r>
      </w:hyperlink>
      <w: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main</w:t>
      </w:r>
      <w:r>
        <w:rPr>
          <w:i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Concise builder-oriented review of the BLAST-CT paper and this workspace implementation, focusing on deployability, reproducibility, operational behavior, and practical research use.</w:t>
      </w:r>
    </w:p>
    <w:p>
      <w:pPr>
        <w:pStyle w:val="BodyText"/>
      </w:pPr>
      <w:r>
        <w:rPr>
          <w:b/>
        </w:rPr>
        <w:t xml:space="preserve">Primary reference:</w:t>
      </w:r>
      <w:r>
        <w:t xml:space="preserve"> </w:t>
      </w:r>
      <w:r>
        <w:t xml:space="preserve">Monteiro M, Newcombe VFJ, Mathieu F, et al. </w:t>
      </w:r>
      <w:r>
        <w:rPr>
          <w:i/>
        </w:rPr>
        <w:t xml:space="preserve">Multi-class semantic segmentation and quantification of traumatic brain injury lesions on head CT using deep learning.</w:t>
      </w:r>
      <w:r>
        <w:t xml:space="preserve"> </w:t>
      </w:r>
      <w:r>
        <w:t xml:space="preserve">The Lancet Digital Health. 2020. https://doi.org/10.1016/S2589-7500(20)30085-6</w:t>
      </w:r>
    </w:p>
    <w:p>
      <w:pPr>
        <w:pStyle w:val="BodyText"/>
      </w:pPr>
      <w:r>
        <w:rPr>
          <w:b/>
        </w:rPr>
        <w:t xml:space="preserve">Code reference:</w:t>
      </w:r>
      <w:r>
        <w:t xml:space="preserve"> </w:t>
      </w:r>
      <w:hyperlink r:id="rId22">
        <w:r>
          <w:rPr>
            <w:rStyle w:val="Hyperlink"/>
          </w:rPr>
          <w:t xml:space="preserve">biomedia-mira/blast-ct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ntext"/>
      <w:r>
        <w:t xml:space="preserve">Context</w:t>
      </w:r>
      <w:bookmarkEnd w:id="23"/>
    </w:p>
    <w:p>
      <w:pPr>
        <w:pStyle w:val="FirstParagraph"/>
      </w:pPr>
      <w:r>
        <w:t xml:space="preserve">BLAST-CT is a DeepMedic-based multiclass CT lesion segmentation pipeline for TBI, producing:</w:t>
      </w:r>
    </w:p>
    <w:p>
      <w:pPr>
        <w:numPr>
          <w:ilvl w:val="0"/>
          <w:numId w:val="1001"/>
        </w:numPr>
        <w:pStyle w:val="Compact"/>
      </w:pPr>
      <w:r>
        <w:t xml:space="preserve">voxel-wise lesion masks (IPH, EAH, oedema, IVH),</w:t>
      </w:r>
    </w:p>
    <w:p>
      <w:pPr>
        <w:numPr>
          <w:ilvl w:val="0"/>
          <w:numId w:val="1001"/>
        </w:numPr>
        <w:pStyle w:val="Compact"/>
      </w:pPr>
      <w:r>
        <w:t xml:space="preserve">class-level lesion volumes,</w:t>
      </w:r>
    </w:p>
    <w:p>
      <w:pPr>
        <w:numPr>
          <w:ilvl w:val="0"/>
          <w:numId w:val="1001"/>
        </w:numPr>
        <w:pStyle w:val="Compact"/>
      </w:pPr>
      <w:r>
        <w:t xml:space="preserve">optional atlas-based regional localisation.</w:t>
      </w:r>
    </w:p>
    <w:p>
      <w:pPr>
        <w:pStyle w:val="FirstParagraph"/>
      </w:pPr>
      <w:r>
        <w:t xml:space="preserve">This local implementation adds builder-focused hardening: unified CLI (</w:t>
      </w:r>
      <w:r>
        <w:rPr>
          <w:rStyle w:val="VerbatimChar"/>
        </w:rPr>
        <w:t xml:space="preserve">./blast</w:t>
      </w:r>
      <w:r>
        <w:t xml:space="preserve">), SLURM submission, run metadata/events, safety defaults around pre-trained inference, and log/status tooling.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uilder-fit"/>
      <w:r>
        <w:t xml:space="preserve">Builder Fit</w:t>
      </w:r>
      <w:bookmarkEnd w:id="24"/>
    </w:p>
    <w:p>
      <w:pPr>
        <w:pStyle w:val="Heading3"/>
      </w:pPr>
      <w:bookmarkStart w:id="25" w:name="what-works-well"/>
      <w:r>
        <w:t xml:space="preserve">What works well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Inference-first workflow:</w:t>
      </w:r>
      <w:r>
        <w:t xml:space="preserve"> </w:t>
      </w:r>
      <w:r>
        <w:t xml:space="preserve">pre-trained checkpoints are default; retraining is explicitly gated.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Unified operations surface: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/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--submit</w:t>
      </w:r>
      <w:r>
        <w:t xml:space="preserve"> </w:t>
      </w:r>
      <w:r>
        <w:t xml:space="preserve">for SLURM +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logs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Reproducibility artifacts:</w:t>
      </w:r>
      <w:r>
        <w:t xml:space="preserve"> </w:t>
      </w:r>
      <w:r>
        <w:rPr>
          <w:rStyle w:val="VerbatimChar"/>
        </w:rPr>
        <w:t xml:space="preserve">run_metadata.json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log.txt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Real scheduler validation:</w:t>
      </w:r>
      <w:r>
        <w:t xml:space="preserve"> </w:t>
      </w:r>
      <w:r>
        <w:t xml:space="preserve">full-feature SLURM runs were submitted and completed in this environment.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Robustness fix applied:</w:t>
      </w:r>
      <w:r>
        <w:t xml:space="preserve"> </w:t>
      </w:r>
      <w:r>
        <w:t xml:space="preserve">SimpleITK transform composition incompatibility was resolved (</w:t>
      </w:r>
      <w:r>
        <w:rPr>
          <w:rStyle w:val="VerbatimChar"/>
        </w:rPr>
        <w:t xml:space="preserve">CompositeTransform</w:t>
      </w:r>
      <w:r>
        <w:t xml:space="preserve"> </w:t>
      </w:r>
      <w:r>
        <w:t xml:space="preserve">path with fallback).</w:t>
      </w:r>
    </w:p>
    <w:p>
      <w:pPr>
        <w:pStyle w:val="Heading3"/>
      </w:pPr>
      <w:bookmarkStart w:id="26" w:name="practical-friction-points"/>
      <w:r>
        <w:t xml:space="preserve">Practical friction points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Localisation output is heavy:</w:t>
      </w:r>
      <w:r>
        <w:t xml:space="preserve"> </w:t>
      </w:r>
      <w:r>
        <w:t xml:space="preserve">CSV becomes very wide; pandas fragmentation warnings appear (performance concern, not correctness failure in final run).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Input heterogeneity:</w:t>
      </w:r>
      <w:r>
        <w:t xml:space="preserve"> </w:t>
      </w:r>
      <w:r>
        <w:t xml:space="preserve">some NIfTI files required orientation sanitization (</w:t>
      </w:r>
      <w:r>
        <w:rPr>
          <w:rStyle w:val="VerbatimChar"/>
        </w:rPr>
        <w:t xml:space="preserve">--sanitize-input</w:t>
      </w:r>
      <w:r>
        <w:t xml:space="preserve">) for ITK compatibility.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Cluster environment dependency:</w:t>
      </w:r>
      <w:r>
        <w:t xml:space="preserve"> </w:t>
      </w:r>
      <w:r>
        <w:t xml:space="preserve">GPU requested does not guarantee CUDA-ready PyTorch runtime unless environment is aligned.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erformance-and-generalization"/>
      <w:r>
        <w:t xml:space="preserve">Performance and Generalization</w:t>
      </w:r>
      <w:bookmarkEnd w:id="27"/>
    </w:p>
    <w:p>
      <w:pPr>
        <w:pStyle w:val="Heading3"/>
      </w:pPr>
      <w:bookmarkStart w:id="28" w:name="paper-claims-high-level"/>
      <w:r>
        <w:t xml:space="preserve">Paper claims (high-level)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multiclass segmentation/volume quantification on a large multi-centre cohort,</w:t>
      </w:r>
    </w:p>
    <w:p>
      <w:pPr>
        <w:numPr>
          <w:ilvl w:val="0"/>
          <w:numId w:val="1004"/>
        </w:numPr>
        <w:pStyle w:val="Compact"/>
      </w:pPr>
      <w:r>
        <w:t xml:space="preserve">external detection validation,</w:t>
      </w:r>
    </w:p>
    <w:p>
      <w:pPr>
        <w:numPr>
          <w:ilvl w:val="0"/>
          <w:numId w:val="1004"/>
        </w:numPr>
        <w:pStyle w:val="Compact"/>
      </w:pPr>
      <w:r>
        <w:t xml:space="preserve">clinically relevant volume/progression outputs.</w:t>
      </w:r>
    </w:p>
    <w:p>
      <w:pPr>
        <w:pStyle w:val="Heading3"/>
      </w:pPr>
      <w:bookmarkStart w:id="29" w:name="what-this-implementation-verifies"/>
      <w:r>
        <w:t xml:space="preserve">What this implementation verifies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Operational fidelity:</w:t>
      </w:r>
      <w:r>
        <w:t xml:space="preserve"> </w:t>
      </w:r>
      <w:r>
        <w:t xml:space="preserve">full-feature pipeline executes end-to-end on real jobs.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Output fidelity:</w:t>
      </w:r>
      <w:r>
        <w:t xml:space="preserve"> </w:t>
      </w:r>
      <w:r>
        <w:t xml:space="preserve">expected artifacts are produced (mask, prob maps, class volumes, localisation outputs).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Not yet paper-level replication:</w:t>
      </w:r>
      <w:r>
        <w:t xml:space="preserve"> </w:t>
      </w:r>
      <w:r>
        <w:t xml:space="preserve">single/few-case runs do not reproduce cohort-level DSC/AUC/Bland-Altman statistics.</w:t>
      </w:r>
    </w:p>
    <w:p>
      <w:pPr>
        <w:pStyle w:val="FirstParagraph"/>
      </w:pPr>
      <w:r>
        <w:t xml:space="preserve">Builder takeaway: this stack is suitable for research inference workflows, but paper-equivalent performance claims require cohort evaluation with matched ground truth.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linical-and-research-applicability"/>
      <w:r>
        <w:t xml:space="preserve">Clinical and Research Applicability</w:t>
      </w:r>
      <w:bookmarkEnd w:id="3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Research workflow:</w:t>
      </w:r>
      <w:r>
        <w:t xml:space="preserve"> </w:t>
      </w:r>
      <w:r>
        <w:t xml:space="preserve">strong fit (single/batch processing, scheduler integration, audit logs, volumetric outputs).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Clinical workflow:</w:t>
      </w:r>
      <w:r>
        <w:t xml:space="preserve"> </w:t>
      </w:r>
      <w:r>
        <w:t xml:space="preserve">out of scope for this implementation and paper release notes; should not be used as a clinical decision system without additional governance/validation.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integration-quality-this-repo"/>
      <w:r>
        <w:t xml:space="preserve">Integration Quality (this repo)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blast_ct/submit.py</w:t>
      </w:r>
      <w:r>
        <w:t xml:space="preserve"> </w:t>
      </w:r>
      <w:r>
        <w:t xml:space="preserve">and wrapper</w:t>
      </w:r>
      <w:r>
        <w:t xml:space="preserve"> </w:t>
      </w:r>
      <w:r>
        <w:rPr>
          <w:rStyle w:val="VerbatimChar"/>
        </w:rPr>
        <w:t xml:space="preserve">./blast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subcommands for local + SLURM observability.</w:t>
      </w:r>
    </w:p>
    <w:p>
      <w:pPr>
        <w:numPr>
          <w:ilvl w:val="0"/>
          <w:numId w:val="1007"/>
        </w:numPr>
        <w:pStyle w:val="Compact"/>
      </w:pPr>
      <w:r>
        <w:t xml:space="preserve">Added Dockerfile and smoke tests for basic reliability checks.</w:t>
      </w:r>
    </w:p>
    <w:p>
      <w:pPr>
        <w:numPr>
          <w:ilvl w:val="0"/>
          <w:numId w:val="1007"/>
        </w:numPr>
        <w:pStyle w:val="Compact"/>
      </w:pPr>
      <w:r>
        <w:t xml:space="preserve">Kept output and job handling reproducible and inspectable.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limitations-and-risks"/>
      <w:r>
        <w:t xml:space="preserve">Limitations and Risks</w:t>
      </w:r>
      <w:bookmarkEnd w:id="32"/>
    </w:p>
    <w:p>
      <w:pPr>
        <w:numPr>
          <w:ilvl w:val="0"/>
          <w:numId w:val="1008"/>
        </w:numPr>
        <w:pStyle w:val="Compact"/>
      </w:pPr>
      <w:r>
        <w:t xml:space="preserve">No built-in cohort evaluator in this repo yet (for automatic paper-style metrics).</w:t>
      </w:r>
    </w:p>
    <w:p>
      <w:pPr>
        <w:numPr>
          <w:ilvl w:val="0"/>
          <w:numId w:val="1008"/>
        </w:numPr>
        <w:pStyle w:val="Compact"/>
      </w:pPr>
      <w:r>
        <w:t xml:space="preserve">Localisation table generation is functionally correct in tested runs but computationally noisy (pandas warning profile).</w:t>
      </w:r>
    </w:p>
    <w:p>
      <w:pPr>
        <w:numPr>
          <w:ilvl w:val="0"/>
          <w:numId w:val="1008"/>
        </w:numPr>
        <w:pStyle w:val="Compact"/>
      </w:pPr>
      <w:r>
        <w:t xml:space="preserve">Runtime behavior still depends on site-specific scheduler and Python/CUDA stack consistency.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builder-conclusion"/>
      <w:r>
        <w:t xml:space="preserve">Builder Conclusion</w:t>
      </w:r>
      <w:bookmarkEnd w:id="33"/>
    </w:p>
    <w:p>
      <w:pPr>
        <w:pStyle w:val="FirstParagraph"/>
      </w:pPr>
      <w:r>
        <w:t xml:space="preserve">This BLAST-CT implementation is</w:t>
      </w:r>
      <w:r>
        <w:t xml:space="preserve"> </w:t>
      </w:r>
      <w:r>
        <w:rPr>
          <w:b/>
        </w:rPr>
        <w:t xml:space="preserve">research-usable and operationally credible</w:t>
      </w:r>
      <w:r>
        <w:t xml:space="preserve"> </w:t>
      </w:r>
      <w:r>
        <w:t xml:space="preserve">after hardening:</w:t>
      </w:r>
    </w:p>
    <w:p>
      <w:pPr>
        <w:numPr>
          <w:ilvl w:val="0"/>
          <w:numId w:val="1009"/>
        </w:numPr>
        <w:pStyle w:val="Compact"/>
      </w:pPr>
      <w:r>
        <w:t xml:space="preserve">single and batch inference are production-like for lab workflows,</w:t>
      </w:r>
    </w:p>
    <w:p>
      <w:pPr>
        <w:numPr>
          <w:ilvl w:val="0"/>
          <w:numId w:val="1009"/>
        </w:numPr>
        <w:pStyle w:val="Compact"/>
      </w:pPr>
      <w:r>
        <w:t xml:space="preserve">SLURM submission is proven on real jobs,</w:t>
      </w:r>
    </w:p>
    <w:p>
      <w:pPr>
        <w:numPr>
          <w:ilvl w:val="0"/>
          <w:numId w:val="1009"/>
        </w:numPr>
        <w:pStyle w:val="Compact"/>
      </w:pPr>
      <w:r>
        <w:t xml:space="preserve">full-feature pipeline (ensemble + localisation + exports) runs successfully.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substitute for cohort-level validation. For paper-level confidence, next steps are systematic benchmark evaluation and metric reporting against labeled datasets.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updated: 2026-03-06.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biomedia-mira/blast-ct" TargetMode="External" /><Relationship Type="http://schemas.openxmlformats.org/officeDocument/2006/relationships/hyperlink" Id="rId21" Target="https://github.com/phindagijimana/Blast-CT-implementation/blob/main/review/blast_br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github.com/biomedia-mira/blast-ct" TargetMode="External" /><Relationship Type="http://schemas.openxmlformats.org/officeDocument/2006/relationships/hyperlink" Id="rId21" Target="https://github.com/phindagijimana/Blast-CT-implementation/blob/main/review/blast_b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2026-04-24T03:36:06Z</dcterms:created>
  <dcterms:modified xsi:type="dcterms:W3CDTF">2026-04-24T03:36:06Z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