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66f5a01b6edbe06564f05f0b443c1392716b432"/>
      <w:r>
        <w:t xml:space="preserve">Builder Review — EBM_TLE (Lopez et al. 2022) + local deployment</w:t>
      </w:r>
      <w:bookmarkEnd w:id="20"/>
    </w:p>
    <w:p>
      <w:pPr>
        <w:pStyle w:val="FirstParagraph"/>
      </w:pPr>
      <w:r>
        <w:t xml:space="preserve">Evaluation of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EBM/MTLE-HS methods paper and this workspace’s implementation, using the</w:t>
      </w:r>
      <w:r>
        <w:t xml:space="preserve"> </w:t>
      </w:r>
      <w:r>
        <w:rPr>
          <w:b/>
        </w:rPr>
        <w:t xml:space="preserve">Inzira Labs Builder Review</w:t>
      </w:r>
      <w:r>
        <w:t xml:space="preserve"> </w:t>
      </w:r>
      <w:r>
        <w:t xml:space="preserve">style (usability, reproducibility, performance, generalization, clinical use, interpretability, integration, limitations, and builder-oriented conclusions). Full criteria</w:t>
      </w:r>
      <w:r>
        <w:t xml:space="preserve"> </w:t>
      </w:r>
      <w:r>
        <w:rPr>
          <w:b/>
        </w:rPr>
        <w:t xml:space="preserve">Word</w:t>
      </w:r>
      <w:r>
        <w:t xml:space="preserve"> </w:t>
      </w:r>
      <w:r>
        <w:t xml:space="preserve">templates, if you use them, can stay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only; this Markdown review is what ships in-repo alongside</w:t>
      </w:r>
      <w:r>
        <w:t xml:space="preserve"> </w:t>
      </w:r>
      <w:hyperlink r:id="rId21">
        <w:r>
          <w:rPr>
            <w:rStyle w:val="Hyperlink"/>
          </w:rPr>
          <w:t xml:space="preserve">USER_GUIDE.md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 https://doi.org/10.1111/epi.17316 (PMC: https://pmc.ncbi.nlm.nih.gov/articles/PMC9540015/)</w:t>
      </w:r>
    </w:p>
    <w:p>
      <w:pPr>
        <w:pStyle w:val="BodyText"/>
      </w:pPr>
      <w:r>
        <w:rPr>
          <w:b/>
        </w:rPr>
        <w:t xml:space="preserve">Typical local layout: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CLI,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);</w:t>
      </w:r>
      <w:r>
        <w:t xml:space="preserve"> </w:t>
      </w:r>
      <w:r>
        <w:rPr>
          <w:rStyle w:val="VerbatimChar"/>
          <w:b/>
        </w:rPr>
        <w:t xml:space="preserve">pySuStaIn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kde_ebm</w:t>
      </w:r>
      <w:r>
        <w:rPr>
          <w:b/>
        </w:rPr>
        <w:t xml:space="preserve"> </w:t>
      </w:r>
      <w:r>
        <w:rPr>
          <w:b/>
        </w:rPr>
        <w:t xml:space="preserve">from GitHub</w:t>
      </w:r>
      <w:r>
        <w:t xml:space="preserve"> </w:t>
      </w:r>
      <w:r>
        <w:t xml:space="preserve">via pip; optional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.ebm/logs/</w:t>
      </w:r>
      <w:r>
        <w:t xml:space="preserve">; paper summary in</w:t>
      </w:r>
      <w:r>
        <w:t xml:space="preserve"> </w:t>
      </w:r>
      <w:r>
        <w:rPr>
          <w:rStyle w:val="VerbatimChar"/>
        </w:rPr>
        <w:t xml:space="preserve">EBM_TLE.md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event-based model (EBM)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clinical associations strongest for</w:t>
      </w:r>
      <w:r>
        <w:t xml:space="preserve"> </w:t>
      </w:r>
      <w:r>
        <w:rPr>
          <w:b/>
        </w:rPr>
        <w:t xml:space="preserve">Stage 0 vs non-0</w:t>
      </w:r>
      <w:r>
        <w:t xml:space="preserve"> </w:t>
      </w:r>
      <w:r>
        <w:t xml:space="preserve">on T1. The statistical stack is in the</w:t>
      </w:r>
      <w:r>
        <w:t xml:space="preserve"> </w:t>
      </w:r>
      <w:r>
        <w:rPr>
          <w:b/>
        </w:rPr>
        <w:t xml:space="preserve">UCL POND</w:t>
      </w:r>
      <w:r>
        <w:t xml:space="preserve"> </w:t>
      </w:r>
      <w:r>
        <w:t xml:space="preserve">lineage: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(mixtures) 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—overlapping authorship with the tooling.</w:t>
      </w:r>
    </w:p>
    <w:p>
      <w:pPr>
        <w:pStyle w:val="BodyText"/>
      </w:pPr>
      <w:r>
        <w:t xml:space="preserve">This workspace adds a</w:t>
      </w:r>
      <w:r>
        <w:t xml:space="preserve"> </w:t>
      </w:r>
      <w:r>
        <w:rPr>
          <w:b/>
        </w:rPr>
        <w:t xml:space="preserve">deployment shell</w:t>
      </w:r>
      <w:r>
        <w:t xml:space="preserve">: venv +</w:t>
      </w:r>
      <w:r>
        <w:t xml:space="preserve"> </w:t>
      </w:r>
      <w:r>
        <w:rPr>
          <w:rStyle w:val="VerbatimChar"/>
          <w:b/>
        </w:rPr>
        <w:t xml:space="preserve">./ebm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) and thin wrappers—not a reimplementation of ENIGMA extraction or the paper’s exact mega-analysis.</w:t>
      </w:r>
    </w:p>
    <w:tbl>
      <w:tblPr>
        <w:tblStyle w:val="Table"/>
        <w:tblW w:type="pct" w:w="5000.0"/>
        <w:tblLook w:firstRow="1"/>
      </w:tblPr>
      <w:tblGrid>
        <w:gridCol w:w="2534"/>
        <w:gridCol w:w="3484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driver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./ebm</w:t>
            </w:r>
          </w:p>
        </w:tc>
        <w:tc>
          <w:p>
            <w:pPr>
              <w:pStyle w:val="Compact"/>
              <w:jc w:val="left"/>
            </w:pPr>
            <w:r>
              <w:t xml:space="preserve">Bash: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; other commands call</w:t>
            </w:r>
            <w:r>
              <w:t xml:space="preserve"> </w:t>
            </w:r>
            <w:r>
              <w:rPr>
                <w:rStyle w:val="VerbatimChar"/>
              </w:rPr>
              <w:t xml:space="preserve">python -m ebm_tle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package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src/ebm_tle/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, lifecycle commands;</w:t>
            </w:r>
            <w:r>
              <w:t xml:space="preserve"> </w:t>
            </w:r>
            <w:r>
              <w:rPr>
                <w:rStyle w:val="VerbatimChar"/>
              </w:rPr>
              <w:t xml:space="preserve">synthetic.py</w:t>
            </w:r>
            <w:r>
              <w:t xml:space="preserve"> </w:t>
            </w:r>
            <w:r>
              <w:t xml:space="preserve">avoids broken</w:t>
            </w:r>
            <w:r>
              <w:t xml:space="preserve"> 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package imports in upstream pySuStaIn.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ucl-pond/pySuStaIn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kde_ebm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(Git installs).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kde_ebm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awkde</w:t>
            </w:r>
            <w:r>
              <w:t xml:space="preserve">, numpy/scipy/sklearn, etc. (git + network on first install).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state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.ebm/run/pid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.ebm/logs/fit.log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latform-fit-and-reproducibility"/>
      <w:r>
        <w:t xml:space="preserve">Platform fit and reproducibility</w:t>
      </w:r>
      <w:bookmarkEnd w:id="25"/>
    </w:p>
    <w:p>
      <w:pPr>
        <w:pStyle w:val="Heading3"/>
      </w:pPr>
      <w:bookmarkStart w:id="26" w:name="usability"/>
      <w:r>
        <w:t xml:space="preserve">Usability</w:t>
      </w:r>
      <w:bookmarkEnd w:id="26"/>
    </w:p>
    <w:p>
      <w:pPr>
        <w:pStyle w:val="FirstParagraph"/>
      </w:pPr>
      <w:r>
        <w:rPr>
          <w:b/>
        </w:rPr>
        <w:t xml:space="preserve">Published offering</w:t>
      </w:r>
    </w:p>
    <w:p>
      <w:pPr>
        <w:numPr>
          <w:ilvl w:val="0"/>
          <w:numId w:val="1001"/>
        </w:numPr>
        <w:pStyle w:val="Compact"/>
      </w:pPr>
      <w:r>
        <w:t xml:space="preserve">Large multi-site case–control cohort;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 narrative; staging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This implementation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Strength:</w:t>
      </w:r>
      <w:r>
        <w:t xml:space="preserve"> </w:t>
      </w:r>
      <w:r>
        <w:t xml:space="preserve">One surface 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: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 </w:t>
      </w:r>
      <w:r>
        <w:t xml:space="preserve">(synthetic sanity),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(your biomarker table), plus</w:t>
      </w:r>
      <w:r>
        <w:t xml:space="preserve"> </w:t>
      </w:r>
      <w:r>
        <w:rPr>
          <w:rStyle w:val="VerbatimChar"/>
        </w:rPr>
        <w:t xml:space="preserve">./ebm start|stop|logs</w:t>
      </w:r>
      <w:r>
        <w:t xml:space="preserve"> </w:t>
      </w:r>
      <w:r>
        <w:t xml:space="preserve">for background demo runs.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Friction:</w:t>
      </w:r>
      <w:r>
        <w:t xml:space="preserve"> </w:t>
      </w:r>
      <w:r>
        <w:t xml:space="preserve">First install pulls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awkde</w:t>
      </w:r>
      <w:r>
        <w:t xml:space="preserve"> </w:t>
      </w:r>
      <w:r>
        <w:t xml:space="preserve">from GitHub;</w:t>
      </w:r>
      <w:r>
        <w:t xml:space="preserve"> </w:t>
      </w:r>
      <w:r>
        <w:rPr>
          <w:b/>
        </w:rPr>
        <w:t xml:space="preserve">MCMC wall time</w:t>
      </w:r>
      <w:r>
        <w:t xml:space="preserve"> </w:t>
      </w:r>
      <w:r>
        <w:t xml:space="preserve">grows with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and pySuStaIn’s internal phases—plan for HPC for research-scale iterations.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Hidden steps:</w:t>
      </w:r>
      <w:r>
        <w:t xml:space="preserve"> </w:t>
      </w:r>
      <w:r>
        <w:t xml:space="preserve">Real Lopez-style work still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(FreeSurfer or equivalent) merged into CSV; this repo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run recon-all.</w:t>
      </w:r>
    </w:p>
    <w:p>
      <w:pPr>
        <w:pStyle w:val="Heading3"/>
      </w:pPr>
      <w:bookmarkStart w:id="27" w:name="reproducibility"/>
      <w:r>
        <w:t xml:space="preserve">Reproducibility</w:t>
      </w:r>
      <w:bookmarkEnd w:id="27"/>
    </w:p>
    <w:p>
      <w:pPr>
        <w:pStyle w:val="FirstParagraph"/>
      </w:pPr>
      <w:r>
        <w:rPr>
          <w:b/>
        </w:rPr>
        <w:t xml:space="preserve">What the paper supports</w:t>
      </w:r>
    </w:p>
    <w:p>
      <w:pPr>
        <w:numPr>
          <w:ilvl w:val="0"/>
          <w:numId w:val="1003"/>
        </w:numPr>
        <w:pStyle w:val="Compact"/>
      </w:pPr>
      <w:r>
        <w:t xml:space="preserve">Fixed methodological story (KDE EBM, ENIGMA features, bootstrap uncertainty in the publication).</w:t>
      </w:r>
    </w:p>
    <w:p>
      <w:pPr>
        <w:pStyle w:val="FirstParagraph"/>
      </w:pPr>
      <w:r>
        <w:rPr>
          <w:b/>
        </w:rPr>
        <w:t xml:space="preserve">Gaps for an external builder</w:t>
      </w:r>
    </w:p>
    <w:p>
      <w:pPr>
        <w:numPr>
          <w:ilvl w:val="0"/>
          <w:numId w:val="1004"/>
        </w:numPr>
        <w:pStyle w:val="Compact"/>
      </w:pPr>
      <w:r>
        <w:t xml:space="preserve">No bundled</w:t>
      </w:r>
      <w:r>
        <w:t xml:space="preserve"> </w:t>
      </w:r>
      <w:r>
        <w:rPr>
          <w:b/>
        </w:rPr>
        <w:t xml:space="preserve">pretrained pickle</w:t>
      </w:r>
      <w:r>
        <w:t xml:space="preserve"> </w:t>
      </w:r>
      <w:r>
        <w:t xml:space="preserve">from the paper; you</w:t>
      </w:r>
      <w:r>
        <w:t xml:space="preserve"> </w:t>
      </w:r>
      <w:r>
        <w:rPr>
          <w:b/>
        </w:rPr>
        <w:t xml:space="preserve">retrain</w:t>
      </w:r>
      <w:r>
        <w:t xml:space="preserve"> </w:t>
      </w:r>
      <w:r>
        <w:t xml:space="preserve">on your CSV/cohort or obtain artifacts from authors if ever shared.</w:t>
      </w:r>
    </w:p>
    <w:p>
      <w:pPr>
        <w:numPr>
          <w:ilvl w:val="0"/>
          <w:numId w:val="1004"/>
        </w:numPr>
        <w:pStyle w:val="Compact"/>
      </w:pPr>
      <w:r>
        <w:t xml:space="preserve">End-to-end replication of paper figures requires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access and their pipelines—not shipped here.</w:t>
      </w:r>
    </w:p>
    <w:p>
      <w:pPr>
        <w:pStyle w:val="FirstParagraph"/>
      </w:pPr>
      <w:r>
        <w:rPr>
          <w:b/>
        </w:rPr>
        <w:t xml:space="preserve">Observed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Our deployment</w:t>
      </w:r>
      <w:r>
        <w:t xml:space="preserve"> </w:t>
      </w:r>
      <w:r>
        <w:t xml:space="preserve">reproduces</w:t>
      </w:r>
      <w:r>
        <w:t xml:space="preserve"> </w:t>
      </w:r>
      <w:r>
        <w:rPr>
          <w:i/>
        </w:rPr>
        <w:t xml:space="preserve">runnable infrastructure</w:t>
      </w:r>
      <w:r>
        <w:t xml:space="preserve"> </w:t>
      </w:r>
      <w:r>
        <w:t xml:space="preserve">(imports, demo fit,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path); it does not re-validate paper metrics on ENIGMA data.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ebm_tle/synthetic.py</w:t>
      </w:r>
      <w:r>
        <w:t xml:space="preserve"> </w:t>
      </w:r>
      <w:r>
        <w:t xml:space="preserve">replaces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package imports (</w:t>
      </w:r>
      <w:r>
        <w:rPr>
          <w:rStyle w:val="VerbatimChar"/>
        </w:rPr>
        <w:t xml:space="preserve">from simfuncs import *</w:t>
      </w:r>
      <w:r>
        <w:t xml:space="preserve"> </w:t>
      </w:r>
      <w:r>
        <w:t xml:space="preserve">fails when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is installed as a package).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71c9e887ed16098e6306ba7d67d4055c5326e05"/>
      <w:r>
        <w:t xml:space="preserve">Performance, generalization, and comparison</w:t>
      </w:r>
      <w:bookmarkEnd w:id="28"/>
    </w:p>
    <w:p>
      <w:pPr>
        <w:pStyle w:val="Heading3"/>
      </w:pPr>
      <w:bookmarkStart w:id="29" w:name="performance-real-vs-reported"/>
      <w:r>
        <w:t xml:space="preserve">Performance (real vs reported)</w:t>
      </w:r>
      <w:bookmarkEnd w:id="29"/>
    </w:p>
    <w:p>
      <w:pPr>
        <w:pStyle w:val="FirstParagraph"/>
      </w:pPr>
      <w:r>
        <w:rPr>
          <w:b/>
        </w:rPr>
        <w:t xml:space="preserve">Paper</w:t>
      </w:r>
    </w:p>
    <w:p>
      <w:pPr>
        <w:numPr>
          <w:ilvl w:val="0"/>
          <w:numId w:val="1006"/>
        </w:numPr>
        <w:pStyle w:val="Compact"/>
      </w:pPr>
      <w:r>
        <w:t xml:space="preserve">Heavy MCMC + bootstrap; multicenter</w:t>
      </w:r>
      <w:r>
        <w:t xml:space="preserve"> </w:t>
      </w:r>
      <w:r>
        <w:rPr>
          <w:i/>
        </w:rPr>
        <w:t xml:space="preserve">N</w:t>
      </w:r>
      <w:r>
        <w:t xml:space="preserve">; staging and sequence inference are compute-intensive relative to a single GLM.</w:t>
      </w:r>
    </w:p>
    <w:p>
      <w:pPr>
        <w:pStyle w:val="FirstParagraph"/>
      </w:pPr>
      <w:r>
        <w:rPr>
          <w:b/>
        </w:rPr>
        <w:t xml:space="preserve">Builder expectation</w:t>
      </w:r>
    </w:p>
    <w:p>
      <w:pPr>
        <w:numPr>
          <w:ilvl w:val="0"/>
          <w:numId w:val="1007"/>
        </w:numPr>
        <w:pStyle w:val="Compact"/>
      </w:pPr>
      <w:r>
        <w:t xml:space="preserve">Default</w:t>
      </w:r>
      <w:r>
        <w:t xml:space="preserve"> </w:t>
      </w:r>
      <w:r>
        <w:rPr>
          <w:rStyle w:val="VerbatimChar"/>
          <w:b/>
        </w:rPr>
        <w:t xml:space="preserve">demo</w:t>
      </w:r>
      <w:r>
        <w:t xml:space="preserve"> </w:t>
      </w:r>
      <w:r>
        <w:t xml:space="preserve">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 smoke tests; raise</w:t>
      </w:r>
      <w:r>
        <w:t xml:space="preserve"> </w:t>
      </w:r>
      <w:r>
        <w:rPr>
          <w:rStyle w:val="VerbatimChar"/>
          <w:b/>
        </w:rPr>
        <w:t xml:space="preserve">--mcmc</w:t>
      </w:r>
      <w:r>
        <w:t xml:space="preserve"> </w:t>
      </w:r>
      <w:r>
        <w:t xml:space="preserve">for analyses meant to align with published practice (longer runs).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./ebm check</w:t>
      </w:r>
      <w:r>
        <w:t xml:space="preserve"> </w:t>
      </w:r>
      <w:r>
        <w:t xml:space="preserve">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benchmark MCMC; it validates environment and paths.</w:t>
      </w:r>
    </w:p>
    <w:p>
      <w:pPr>
        <w:pStyle w:val="Heading3"/>
      </w:pPr>
      <w:bookmarkStart w:id="30" w:name="generalization"/>
      <w:r>
        <w:t xml:space="preserve">Generalization</w:t>
      </w:r>
      <w:bookmarkEnd w:id="30"/>
    </w:p>
    <w:p>
      <w:pPr>
        <w:numPr>
          <w:ilvl w:val="0"/>
          <w:numId w:val="1008"/>
        </w:numPr>
        <w:pStyle w:val="Compact"/>
      </w:pPr>
      <w:r>
        <w:t xml:space="preserve">Model ordering and mixtures are</w:t>
      </w:r>
      <w:r>
        <w:t xml:space="preserve"> </w:t>
      </w:r>
      <w:r>
        <w:rPr>
          <w:b/>
        </w:rPr>
        <w:t xml:space="preserve">dataset-specific</w:t>
      </w:r>
      <w:r>
        <w:t xml:space="preserve">; applying a model trained elsewhere requires</w:t>
      </w:r>
      <w:r>
        <w:t xml:space="preserve"> </w:t>
      </w:r>
      <w:r>
        <w:rPr>
          <w:b/>
        </w:rPr>
        <w:t xml:space="preserve">matched</w:t>
      </w:r>
      <w:r>
        <w:t xml:space="preserve"> </w:t>
      </w:r>
      <w:r>
        <w:t xml:space="preserve">biomarker definitions and preprocessing.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Site/scanner</w:t>
      </w:r>
      <w:r>
        <w:t xml:space="preserve"> </w:t>
      </w:r>
      <w:r>
        <w:t xml:space="preserve">effects in real morphometry still matter; the paper discusses center heterogeneity (e.g. Stage 0 rates).</w:t>
      </w:r>
    </w:p>
    <w:p>
      <w:pPr>
        <w:pStyle w:val="Heading3"/>
      </w:pPr>
      <w:bookmarkStart w:id="31" w:name="comparison-to-existing-methods"/>
      <w:r>
        <w:t xml:space="preserve">Comparison to existing methods</w:t>
      </w:r>
      <w:bookmarkEnd w:id="31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Granger / longitudinal</w:t>
      </w:r>
      <w:r>
        <w:t xml:space="preserve"> </w:t>
      </w:r>
      <w:r>
        <w:t xml:space="preserve">approaches differ; EBM here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mixture + monotonicity assumptions.</w:t>
      </w:r>
      <w:r>
        <w:t xml:space="preserve"> </w:t>
      </w:r>
      <w:r>
        <w:rPr>
          <w:b/>
        </w:rPr>
        <w:t xml:space="preserve">Builder takeaway:</w:t>
      </w:r>
      <w:r>
        <w:t xml:space="preserve"> </w:t>
      </w:r>
      <w:r>
        <w:t xml:space="preserve">same tooling family as other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disease-progression work (e.g. AD), adapted to MTLE-HS morphometry in the publication.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0f681d1ed324eb165cb7abafaaf9502be529245"/>
      <w:r>
        <w:t xml:space="preserve">Clinical relevance, interpretability, and integration</w:t>
      </w:r>
      <w:bookmarkEnd w:id="32"/>
    </w:p>
    <w:p>
      <w:pPr>
        <w:pStyle w:val="Heading3"/>
      </w:pPr>
      <w:bookmarkStart w:id="33" w:name="clinical-relevance"/>
      <w:r>
        <w:t xml:space="preserve">Clinical relevance</w:t>
      </w:r>
      <w:bookmarkEnd w:id="33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 and sequence support</w:t>
      </w:r>
      <w:r>
        <w:t xml:space="preserve"> </w:t>
      </w:r>
      <w:r>
        <w:rPr>
          <w:b/>
        </w:rPr>
        <w:t xml:space="preserve">hypothesis generation</w:t>
      </w:r>
      <w:r>
        <w:t xml:space="preserve"> </w:t>
      </w:r>
      <w:r>
        <w:t xml:space="preserve">and cohort description; the paper emphasizes limits of fine-stage vs clinical variables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Clinical production</w:t>
      </w:r>
      <w:r>
        <w:t xml:space="preserve"> </w:t>
      </w:r>
      <w:r>
        <w:t xml:space="preserve">(diagnosis, prognosis, surgical candidacy) is</w:t>
      </w:r>
      <w:r>
        <w:t xml:space="preserve"> </w:t>
      </w:r>
      <w:r>
        <w:rPr>
          <w:b/>
        </w:rPr>
        <w:t xml:space="preserve">out of scope</w:t>
      </w:r>
      <w:r>
        <w:t xml:space="preserve"> </w:t>
      </w:r>
      <w:r>
        <w:t xml:space="preserve">for this repo and under-supported by fine-grained stage–outcome links in that paper.</w:t>
      </w:r>
    </w:p>
    <w:p>
      <w:pPr>
        <w:pStyle w:val="Heading3"/>
      </w:pPr>
      <w:bookmarkStart w:id="34" w:name="interpretability-and-trust"/>
      <w:r>
        <w:t xml:space="preserve">Interpretability and trust</w:t>
      </w:r>
      <w:bookmarkEnd w:id="34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Strength:</w:t>
      </w:r>
      <w:r>
        <w:t xml:space="preserve"> </w:t>
      </w:r>
      <w:r>
        <w:t xml:space="preserve">Outputs include</w:t>
      </w:r>
      <w:r>
        <w:t xml:space="preserve"> </w:t>
      </w:r>
      <w:r>
        <w:rPr>
          <w:rStyle w:val="VerbatimChar"/>
          <w:b/>
        </w:rPr>
        <w:t xml:space="preserve">ml_stage</w:t>
      </w:r>
      <w:r>
        <w:t xml:space="preserve">, subtype/stage probabilities, and pySuStaIn</w:t>
      </w:r>
      <w:r>
        <w:t xml:space="preserve"> </w:t>
      </w:r>
      <w:r>
        <w:rPr>
          <w:rStyle w:val="VerbatimChar"/>
          <w:b/>
        </w:rPr>
        <w:t xml:space="preserve">pickle_files/</w:t>
      </w:r>
      <w:r>
        <w:t xml:space="preserve"> </w:t>
      </w:r>
      <w:r>
        <w:t xml:space="preserve">for inspection with upstream tooling.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Trust limits:</w:t>
      </w:r>
      <w:r>
        <w:t xml:space="preserve"> </w:t>
      </w:r>
      <w:r>
        <w:t xml:space="preserve">Stages depend on</w:t>
      </w:r>
      <w:r>
        <w:t xml:space="preserve"> </w:t>
      </w:r>
      <w:r>
        <w:rPr>
          <w:b/>
        </w:rPr>
        <w:t xml:space="preserve">KDE separation</w:t>
      </w:r>
      <w:r>
        <w:t xml:space="preserve"> </w:t>
      </w:r>
      <w:r>
        <w:t xml:space="preserve">and chosen biomarkers; bad segmentation or wrong columns in CSV dominate failures.</w:t>
      </w:r>
    </w:p>
    <w:p>
      <w:pPr>
        <w:pStyle w:val="Heading3"/>
      </w:pPr>
      <w:bookmarkStart w:id="35" w:name="integration-potential"/>
      <w:r>
        <w:t xml:space="preserve">Integration potential</w:t>
      </w:r>
      <w:bookmarkEnd w:id="35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Research integration:</w:t>
      </w:r>
      <w:r>
        <w:t xml:space="preserve"> </w:t>
      </w:r>
      <w:r>
        <w:t xml:space="preserve">Natural downstream of</w:t>
      </w:r>
      <w:r>
        <w:t xml:space="preserve"> </w:t>
      </w:r>
      <w:r>
        <w:rPr>
          <w:b/>
        </w:rPr>
        <w:t xml:space="preserve">BIDS + FreeSurfer/ENIGMA-style</w:t>
      </w:r>
      <w:r>
        <w:t xml:space="preserve"> </w:t>
      </w:r>
      <w:r>
        <w:t xml:space="preserve">summary tables →</w:t>
      </w:r>
      <w:r>
        <w:t xml:space="preserve"> </w:t>
      </w:r>
      <w:r>
        <w:rPr>
          <w:rStyle w:val="VerbatimChar"/>
          <w:b/>
        </w:rPr>
        <w:t xml:space="preserve">ebm fit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Clinical integration:</w:t>
      </w:r>
      <w:r>
        <w:t xml:space="preserve"> </w:t>
      </w:r>
      <w:r>
        <w:t xml:space="preserve">Not provided; governance and intended-use labeling remain with the deploying institution.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imitations-and-failure-modes"/>
      <w:r>
        <w:t xml:space="preserve">Limitations and failure modes</w:t>
      </w:r>
      <w:bookmarkEnd w:id="36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imaging pipeline</w:t>
      </w:r>
      <w:r>
        <w:t xml:space="preserve"> </w:t>
      </w:r>
      <w:r>
        <w:t xml:space="preserve">in-repo; CSV quality is the builder’s responsibility.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./ebm install</w:t>
      </w:r>
      <w:r>
        <w:t xml:space="preserve"> </w:t>
      </w:r>
      <w:r>
        <w:t xml:space="preserve">needs network access to clone</w:t>
      </w:r>
      <w:r>
        <w:t xml:space="preserve"> </w:t>
      </w:r>
      <w:r>
        <w:rPr>
          <w:rStyle w:val="VerbatimChar"/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awkde</w:t>
      </w:r>
      <w:r>
        <w:t xml:space="preserve"> </w:t>
      </w:r>
      <w:r>
        <w:t xml:space="preserve">from GitHub.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Background</w:t>
      </w:r>
      <w:r>
        <w:rPr>
          <w:b/>
        </w:rPr>
        <w:t xml:space="preserve"> </w:t>
      </w:r>
      <w:r>
        <w:rPr>
          <w:rStyle w:val="VerbatimChar"/>
          <w:b/>
        </w:rPr>
        <w:t xml:space="preserve">start</w:t>
      </w:r>
      <w:r>
        <w:t xml:space="preserve"> </w:t>
      </w:r>
      <w:r>
        <w:t xml:space="preserve">runs the</w:t>
      </w:r>
      <w:r>
        <w:t xml:space="preserve"> </w:t>
      </w:r>
      <w:r>
        <w:rPr>
          <w:b/>
        </w:rPr>
        <w:t xml:space="preserve">synthetic demo</w:t>
      </w:r>
      <w:r>
        <w:t xml:space="preserve"> </w:t>
      </w:r>
      <w:r>
        <w:t xml:space="preserve">by default—not a generic job queue; change</w:t>
      </w:r>
      <w:r>
        <w:t xml:space="preserve"> </w:t>
      </w:r>
      <w:r>
        <w:rPr>
          <w:rStyle w:val="VerbatimChar"/>
        </w:rPr>
        <w:t xml:space="preserve">cli.cmd_start</w:t>
      </w:r>
      <w:r>
        <w:t xml:space="preserve"> </w:t>
      </w:r>
      <w:r>
        <w:t xml:space="preserve">to background</w:t>
      </w:r>
      <w:r>
        <w:t xml:space="preserve"> </w:t>
      </w:r>
      <w:r>
        <w:rPr>
          <w:rStyle w:val="VerbatimChar"/>
          <w:b/>
        </w:rPr>
        <w:t xml:space="preserve">fit</w:t>
      </w:r>
      <w:r>
        <w:t xml:space="preserve"> </w:t>
      </w:r>
      <w:r>
        <w:t xml:space="preserve">if needed.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Headless: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 </w:t>
      </w:r>
      <w:r>
        <w:t xml:space="preserve">(default in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); plotting in SuStaIn may still touch matplotlib.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NFS/home latency</w:t>
      </w:r>
      <w:r>
        <w:t xml:space="preserve"> </w:t>
      </w:r>
      <w:r>
        <w:t xml:space="preserve">can slow venv I/O and large pickle writes; local SSD may help heavy runs.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builder-insight"/>
      <w:r>
        <w:t xml:space="preserve">Builder insight</w:t>
      </w:r>
      <w:bookmarkEnd w:id="37"/>
    </w:p>
    <w:p>
      <w:pPr>
        <w:pStyle w:val="FirstParagraph"/>
      </w:pPr>
      <w:r>
        <w:t xml:space="preserve">EBM_TLE is</w:t>
      </w:r>
      <w:r>
        <w:t xml:space="preserve"> </w:t>
      </w:r>
      <w:r>
        <w:rPr>
          <w:b/>
        </w:rPr>
        <w:t xml:space="preserve">strong on wiring the same open stack</w:t>
      </w:r>
      <w:r>
        <w:t xml:space="preserve"> </w:t>
      </w:r>
      <w:r>
        <w:t xml:space="preserve">the paper’s methods imply (</w:t>
      </w:r>
      <w:r>
        <w:rPr>
          <w:rStyle w:val="VerbatimChar"/>
          <w:b/>
        </w:rPr>
        <w:t xml:space="preserve">kde_ebm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MixtureSustain</w:t>
      </w:r>
      <w:r>
        <w:t xml:space="preserve">) into a</w:t>
      </w:r>
      <w:r>
        <w:t xml:space="preserve"> </w:t>
      </w:r>
      <w:r>
        <w:rPr>
          <w:b/>
        </w:rPr>
        <w:t xml:space="preserve">small, operable CLI</w:t>
      </w:r>
      <w:r>
        <w:t xml:space="preserve"> </w:t>
      </w:r>
      <w:r>
        <w:t xml:space="preserve">for internal research.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feature engineering and validation</w:t>
      </w:r>
      <w:r>
        <w:t xml:space="preserve">: building ENIGMA-like tables, choosing biomarkers and |</w:t>
      </w:r>
      <w:r>
        <w:rPr>
          <w:i/>
        </w:rPr>
        <w:t xml:space="preserve">d</w:t>
      </w:r>
      <w:r>
        <w:t xml:space="preserve">| thresholds, and interpreting stages in light of the paper’s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findings—not installing Python packages.</w:t>
      </w:r>
    </w:p>
    <w:p>
      <w:pPr>
        <w:pStyle w:val="BodyText"/>
      </w:pPr>
      <w:r>
        <w:rPr>
          <w:b/>
        </w:rPr>
        <w:t xml:space="preserve">Potential extensions (system-level)</w:t>
      </w:r>
    </w:p>
    <w:p>
      <w:pPr>
        <w:numPr>
          <w:ilvl w:val="0"/>
          <w:numId w:val="1014"/>
        </w:numPr>
        <w:pStyle w:val="Compact"/>
      </w:pPr>
      <w:r>
        <w:t xml:space="preserve">Example</w:t>
      </w:r>
      <w:r>
        <w:t xml:space="preserve"> </w:t>
      </w:r>
      <w:r>
        <w:rPr>
          <w:rStyle w:val="VerbatimChar"/>
          <w:b/>
        </w:rPr>
        <w:t xml:space="preserve">examples/cohort_template.csv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Makefile</w:t>
      </w:r>
      <w:r>
        <w:t xml:space="preserve"> </w:t>
      </w:r>
      <w:r>
        <w:t xml:space="preserve">target for smoke</w:t>
      </w:r>
      <w:r>
        <w:t xml:space="preserve"> </w:t>
      </w:r>
      <w:r>
        <w:rPr>
          <w:rStyle w:val="VerbatimChar"/>
        </w:rPr>
        <w:t xml:space="preserve">fit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Slurm wrapper</w:t>
      </w:r>
      <w:r>
        <w:t xml:space="preserve"> </w:t>
      </w:r>
      <w:r>
        <w:t xml:space="preserve">for long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jobs with frozen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hash in logs.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Optional</w:t>
      </w:r>
      <w:r>
        <w:t xml:space="preserve"> </w:t>
      </w:r>
      <w:r>
        <w:t xml:space="preserve">patch or upstream PR for vendored</w:t>
      </w:r>
      <w:r>
        <w:t xml:space="preserve"> </w:t>
      </w:r>
      <w:r>
        <w:rPr>
          <w:rStyle w:val="VerbatimChar"/>
          <w:b/>
        </w:rPr>
        <w:t xml:space="preserve">sim</w:t>
      </w:r>
      <w:r>
        <w:t xml:space="preserve"> </w:t>
      </w:r>
      <w:r>
        <w:t xml:space="preserve">package imports (use relative</w:t>
      </w:r>
      <w:r>
        <w:t xml:space="preserve"> </w:t>
      </w:r>
      <w:r>
        <w:rPr>
          <w:rStyle w:val="VerbatimChar"/>
        </w:rPr>
        <w:t xml:space="preserve">from .simfuncs import *</w:t>
      </w:r>
      <w:r>
        <w:t xml:space="preserve">) so</w:t>
      </w:r>
      <w:r>
        <w:t xml:space="preserve"> </w:t>
      </w:r>
      <w:r>
        <w:rPr>
          <w:rStyle w:val="VerbatimChar"/>
        </w:rPr>
        <w:t xml:space="preserve">synthetic.py</w:t>
      </w:r>
      <w:r>
        <w:t xml:space="preserve"> </w:t>
      </w:r>
      <w:r>
        <w:t xml:space="preserve">could be retired.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commands-quick-reference"/>
      <w:r>
        <w:t xml:space="preserve">Commands (quick reference)</w:t>
      </w:r>
      <w:bookmarkEnd w:id="38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          # once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           # venv + pip install (-e pySuStaIn + kde_ebm)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             # background demo → .ebm/logs/fit.log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Outputs:</w:t>
      </w:r>
      <w:r>
        <w:t xml:space="preserve"> </w:t>
      </w:r>
      <w:r>
        <w:rPr>
          <w:rStyle w:val="VerbatimChar"/>
        </w:rPr>
        <w:t xml:space="preserve">demo_stages.csv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fit_meta.json</w:t>
      </w:r>
      <w:r>
        <w:t xml:space="preserve">,</w:t>
      </w:r>
      <w:r>
        <w:t xml:space="preserve"> </w:t>
      </w:r>
      <w:r>
        <w:rPr>
          <w:rStyle w:val="VerbatimChar"/>
          <w:b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. Package version</w:t>
      </w:r>
      <w:r>
        <w:t xml:space="preserve"> </w:t>
      </w:r>
      <w:r>
        <w:rPr>
          <w:b/>
        </w:rPr>
        <w:t xml:space="preserve">0.1.0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pyproject.toml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references-selected"/>
      <w:r>
        <w:t xml:space="preserve">References (selected)</w:t>
      </w:r>
      <w:bookmarkEnd w:id="39"/>
    </w:p>
    <w:p>
      <w:pPr>
        <w:numPr>
          <w:ilvl w:val="0"/>
          <w:numId w:val="1015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 MTLE-HS KDE EBM (DOI above).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EBM_TLE.md</w:t>
      </w:r>
      <w:r>
        <w:t xml:space="preserve"> </w:t>
      </w:r>
      <w:r>
        <w:t xml:space="preserve">— concise paper summary in this folder.</w:t>
      </w:r>
    </w:p>
    <w:p>
      <w:pPr>
        <w:numPr>
          <w:ilvl w:val="0"/>
          <w:numId w:val="1015"/>
        </w:numPr>
        <w:pStyle w:val="Compact"/>
      </w:pPr>
      <w:r>
        <w:t xml:space="preserve">pySuStaIn / kde_ebm — UCL POND tooling (installed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GitHub).</w:t>
      </w:r>
    </w:p>
    <w:p>
      <w:pPr>
        <w:numPr>
          <w:ilvl w:val="0"/>
          <w:numId w:val="1015"/>
        </w:numPr>
        <w:pStyle w:val="Compact"/>
      </w:pPr>
      <w:r>
        <w:t xml:space="preserve">Builder Review criteria (local or internal docs) — full dimension list if needed for alignment with other reviews.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Last updated: 2026-04-14.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USER_GUIDE.md" TargetMode="External" /><Relationship Type="http://schemas.openxmlformats.org/officeDocument/2006/relationships/hyperlink" Id="rId24" Target="https://github.com/ucl-pond/kde_ebm" TargetMode="External" /><Relationship Type="http://schemas.openxmlformats.org/officeDocument/2006/relationships/hyperlink" Id="rId23" Target="https://github.com/ucl-pond/pySuSta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USER_GUIDE.md" TargetMode="External" /><Relationship Type="http://schemas.openxmlformats.org/officeDocument/2006/relationships/hyperlink" Id="rId24" Target="https://github.com/ucl-pond/kde_ebm" TargetMode="External" /><Relationship Type="http://schemas.openxmlformats.org/officeDocument/2006/relationships/hyperlink" Id="rId23" Target="https://github.com/ucl-pond/pySuSt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2026-04-24T02:07:30Z</dcterms:created>
  <dcterms:modified xsi:type="dcterms:W3CDTF">2026-04-24T02:07:30Z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