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bbd97c555da570b2867339fd94e0ab2678e24f3"/>
      <w:r>
        <w:t xml:space="preserve">Builder Review — TCGA Pan-Cancer (Weinstein et al. 2013) + GDC tooling</w:t>
      </w:r>
      <w:bookmarkEnd w:id="20"/>
    </w:p>
    <w:p>
      <w:pPr>
        <w:pStyle w:val="FirstParagraph"/>
      </w:pPr>
      <w:r>
        <w:rPr>
          <w:b/>
        </w:rPr>
        <w:t xml:space="preserve">Builder Review</w:t>
      </w:r>
      <w:r>
        <w:t xml:space="preserve"> </w:t>
      </w:r>
      <w:r>
        <w:t xml:space="preserve">of the</w:t>
      </w:r>
      <w:r>
        <w:t xml:space="preserve"> </w:t>
      </w:r>
      <w:r>
        <w:rPr>
          <w:i/>
        </w:rPr>
        <w:t xml:space="preserve">Nature Genetics</w:t>
      </w:r>
      <w:r>
        <w:t xml:space="preserve"> </w:t>
      </w:r>
      <w:r>
        <w:t xml:space="preserve">Pan-Cancer</w:t>
      </w:r>
      <w:r>
        <w:t xml:space="preserve"> </w:t>
      </w:r>
      <w:r>
        <w:rPr>
          <w:b/>
        </w:rPr>
        <w:t xml:space="preserve">overview</w:t>
      </w:r>
      <w:r>
        <w:t xml:space="preserve"> </w:t>
      </w:r>
      <w:r>
        <w:t xml:space="preserve">and a</w:t>
      </w:r>
      <w:r>
        <w:t xml:space="preserve"> </w:t>
      </w:r>
      <w:hyperlink r:id="rId21">
        <w:r>
          <w:rPr>
            <w:rStyle w:val="Hyperlink"/>
          </w:rPr>
          <w:t xml:space="preserve">cancer_atlas</w:t>
        </w:r>
      </w:hyperlink>
      <w:r>
        <w:t xml:space="preserve">-style tool layer: usability, reproducibility, performance, generalization, research/clinical fit, interpretability, integration, limits, and builder takeaway.</w:t>
      </w:r>
    </w:p>
    <w:p>
      <w:pPr>
        <w:pStyle w:val="BodyText"/>
      </w:pPr>
      <w:r>
        <w:rPr>
          <w:b/>
        </w:rPr>
        <w:t xml:space="preserve">Primary reference:</w:t>
      </w:r>
      <w:r>
        <w:t xml:space="preserve"> </w:t>
      </w:r>
      <w:r>
        <w:t xml:space="preserve">Weinstein JN, Collisson EA, Mills GB,</w:t>
      </w:r>
      <w:r>
        <w:t xml:space="preserve"> </w:t>
      </w:r>
      <w:r>
        <w:rPr>
          <w:i/>
        </w:rPr>
        <w:t xml:space="preserve">et al.</w:t>
      </w:r>
      <w:r>
        <w:t xml:space="preserve">; TCGA Research Network.</w:t>
      </w:r>
      <w:r>
        <w:t xml:space="preserve"> </w:t>
      </w:r>
      <w:r>
        <w:rPr>
          <w:i/>
        </w:rPr>
        <w:t xml:space="preserve">The Cancer Genome Atlas Pan-Cancer analysis project.</w:t>
      </w:r>
      <w:r>
        <w:t xml:space="preserve"> </w:t>
      </w:r>
      <w:r>
        <w:rPr>
          <w:i/>
        </w:rPr>
        <w:t xml:space="preserve">Nat Genet.</w:t>
      </w:r>
      <w:r>
        <w:t xml:space="preserve"> </w:t>
      </w:r>
      <w:r>
        <w:t xml:space="preserve">2013;45(10):1113–1120. https://doi.org/10.1038/ng.2764 —</w:t>
      </w:r>
      <w:r>
        <w:t xml:space="preserve"> </w:t>
      </w:r>
      <w:hyperlink r:id="rId22">
        <w:r>
          <w:rPr>
            <w:rStyle w:val="Hyperlink"/>
          </w:rPr>
          <w:t xml:space="preserve">PMC3919969</w:t>
        </w:r>
      </w:hyperlink>
    </w:p>
    <w:p>
      <w:pPr>
        <w:pStyle w:val="BodyText"/>
      </w:pPr>
      <w:r>
        <w:rPr>
          <w:b/>
        </w:rPr>
        <w:t xml:space="preserve">Typical code layout:</w:t>
      </w:r>
      <w:r>
        <w:t xml:space="preserve"> </w:t>
      </w:r>
      <w:r>
        <w:rPr>
          <w:rStyle w:val="VerbatimChar"/>
        </w:rPr>
        <w:t xml:space="preserve">pancancer/</w:t>
      </w:r>
      <w:r>
        <w:t xml:space="preserve"> </w:t>
      </w:r>
      <w:r>
        <w:t xml:space="preserve">(Python),</w:t>
      </w:r>
      <w:r>
        <w:t xml:space="preserve"> </w:t>
      </w:r>
      <w:r>
        <w:rPr>
          <w:rStyle w:val="VerbatimChar"/>
          <w:b/>
        </w:rPr>
        <w:t xml:space="preserve">./atlas</w:t>
      </w:r>
      <w:r>
        <w:t xml:space="preserve"> </w:t>
      </w:r>
      <w:r>
        <w:t xml:space="preserve">(</w:t>
      </w:r>
      <w:r>
        <w:rPr>
          <w:rStyle w:val="VerbatimChar"/>
        </w:rPr>
        <w:t xml:space="preserve">install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,</w:t>
      </w:r>
      <w:r>
        <w:t xml:space="preserve"> </w:t>
      </w:r>
      <w:r>
        <w:rPr>
          <w:rStyle w:val="VerbatimChar"/>
        </w:rPr>
        <w:t xml:space="preserve">pancancer</w:t>
      </w:r>
      <w:r>
        <w:t xml:space="preserve"> </w:t>
      </w:r>
      <w:r>
        <w:t xml:space="preserve">passthrough),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cancer_atlas.md</w:t>
      </w:r>
      <w:r>
        <w:t xml:space="preserve">, report drivers; state under</w:t>
      </w:r>
      <w:r>
        <w:t xml:space="preserve"> </w:t>
      </w:r>
      <w:r>
        <w:rPr>
          <w:rStyle w:val="VerbatimChar"/>
          <w:b/>
        </w:rPr>
        <w:t xml:space="preserve">.atlas/</w:t>
      </w:r>
      <w:r>
        <w:t xml:space="preserve">.</w:t>
      </w:r>
      <w:r>
        <w:t xml:space="preserve"> </w:t>
      </w:r>
      <w:r>
        <w:rPr>
          <w:b/>
        </w:rPr>
        <w:t xml:space="preserve">Live</w:t>
      </w:r>
      <w:r>
        <w:t xml:space="preserve"> </w:t>
      </w:r>
      <w:r>
        <w:t xml:space="preserve">data:</w:t>
      </w:r>
      <w:r>
        <w:t xml:space="preserve"> </w:t>
      </w:r>
      <w:r>
        <w:rPr>
          <w:b/>
        </w:rPr>
        <w:t xml:space="preserve">NCI GDC</w:t>
      </w:r>
      <w:r>
        <w:t xml:space="preserve"> </w:t>
      </w:r>
      <w:r>
        <w:t xml:space="preserve">(https://api.gdc.cancer.gov)—no TCGA primary data in-repo. This is</w:t>
      </w:r>
      <w:r>
        <w:t xml:space="preserve"> </w:t>
      </w:r>
      <w:r>
        <w:rPr>
          <w:b/>
        </w:rPr>
        <w:t xml:space="preserve">GDC access + reporting</w:t>
      </w:r>
      <w:r>
        <w:t xml:space="preserve">, not a re-run of MutSigCV, GISTIC2, MC3, or iCluster+.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context"/>
      <w:r>
        <w:t xml:space="preserve">Context</w:t>
      </w:r>
      <w:bookmarkEnd w:id="23"/>
    </w:p>
    <w:p>
      <w:pPr>
        <w:pStyle w:val="FirstParagraph"/>
      </w:pPr>
      <w:r>
        <w:t xml:space="preserve">The paper is a</w:t>
      </w:r>
      <w:r>
        <w:t xml:space="preserve"> </w:t>
      </w:r>
      <w:r>
        <w:rPr>
          <w:b/>
        </w:rPr>
        <w:t xml:space="preserve">program overview</w:t>
      </w:r>
      <w:r>
        <w:t xml:space="preserve"> </w:t>
      </w:r>
      <w:r>
        <w:t xml:space="preserve">(not one algorithm):</w:t>
      </w:r>
      <w:r>
        <w:t xml:space="preserve"> </w:t>
      </w:r>
      <w:r>
        <w:rPr>
          <w:b/>
        </w:rPr>
        <w:t xml:space="preserve">pancan12</w:t>
      </w:r>
      <w:r>
        <w:t xml:space="preserve"> </w:t>
      </w:r>
      <w:r>
        <w:t xml:space="preserve">(twelve tumor types),</w:t>
      </w:r>
      <w:r>
        <w:t xml:space="preserve"> </w:t>
      </w:r>
      <w:r>
        <w:rPr>
          <w:b/>
        </w:rPr>
        <w:t xml:space="preserve">six</w:t>
      </w:r>
      <w:r>
        <w:t xml:space="preserve"> </w:t>
      </w:r>
      <w:r>
        <w:t xml:space="preserve">assay layers (Figure 1 / Table 1),</w:t>
      </w:r>
      <w:r>
        <w:t xml:space="preserve"> </w:t>
      </w:r>
      <w:r>
        <w:rPr>
          <w:b/>
        </w:rPr>
        <w:t xml:space="preserve">Boxes 1–3</w:t>
      </w:r>
      <w:r>
        <w:t xml:space="preserve">,</w:t>
      </w:r>
      <w:r>
        <w:t xml:space="preserve"> </w:t>
      </w:r>
      <w:r>
        <w:rPr>
          <w:b/>
        </w:rPr>
        <w:t xml:space="preserve">Figure 2</w:t>
      </w:r>
      <w:r>
        <w:t xml:space="preserve"> </w:t>
      </w:r>
      <w:r>
        <w:t xml:space="preserve">data flow (BCR → GCC/GSC → DCC → Firehose / cBioPortal / … →</w:t>
      </w:r>
      <w:r>
        <w:t xml:space="preserve"> </w:t>
      </w:r>
      <w:r>
        <w:rPr>
          <w:b/>
        </w:rPr>
        <w:t xml:space="preserve">Synapse</w:t>
      </w:r>
      <w:r>
        <w:t xml:space="preserve"> </w:t>
      </w:r>
      <w:r>
        <w:t xml:space="preserve">→ GDACs), and pointers to</w:t>
      </w:r>
      <w:r>
        <w:t xml:space="preserve"> </w:t>
      </w:r>
      <w:r>
        <w:rPr>
          <w:b/>
        </w:rPr>
        <w:t xml:space="preserve">companion</w:t>
      </w:r>
      <w:r>
        <w:t xml:space="preserve"> </w:t>
      </w:r>
      <w:r>
        <w:t xml:space="preserve">analysis papers. The 2012</w:t>
      </w:r>
      <w:r>
        <w:t xml:space="preserve"> </w:t>
      </w:r>
      <w:r>
        <w:rPr>
          <w:b/>
        </w:rPr>
        <w:t xml:space="preserve">Synapse</w:t>
      </w:r>
      <w:r>
        <w:t xml:space="preserve"> </w:t>
      </w:r>
      <w:r>
        <w:rPr>
          <w:rStyle w:val="VerbatimChar"/>
        </w:rPr>
        <w:t xml:space="preserve">pancan12</w:t>
      </w:r>
      <w:r>
        <w:t xml:space="preserve"> </w:t>
      </w:r>
      <w:r>
        <w:t xml:space="preserve">bundle is</w:t>
      </w:r>
      <w:r>
        <w:t xml:space="preserve"> </w:t>
      </w:r>
      <w:r>
        <w:rPr>
          <w:b/>
        </w:rPr>
        <w:t xml:space="preserve">historical</w:t>
      </w:r>
      <w:r>
        <w:t xml:space="preserve">;</w:t>
      </w:r>
      <w:r>
        <w:t xml:space="preserve"> </w:t>
      </w:r>
      <w:r>
        <w:rPr>
          <w:b/>
        </w:rPr>
        <w:t xml:space="preserve">GDC</w:t>
      </w:r>
      <w:r>
        <w:t xml:space="preserve"> </w:t>
      </w:r>
      <w:r>
        <w:t xml:space="preserve">is the maintained public path.</w:t>
      </w:r>
    </w:p>
    <w:p>
      <w:pPr>
        <w:pStyle w:val="BodyText"/>
      </w:pPr>
      <w:r>
        <w:t xml:space="preserve">A thin implementation adds</w:t>
      </w:r>
      <w:r>
        <w:t xml:space="preserve"> </w:t>
      </w:r>
      <w:r>
        <w:rPr>
          <w:b/>
        </w:rPr>
        <w:t xml:space="preserve">GDC</w:t>
      </w:r>
      <w:r>
        <w:t xml:space="preserve"> </w:t>
      </w:r>
      <w:r>
        <w:t xml:space="preserve">clients, Table 1–</w:t>
      </w:r>
      <w:r>
        <w:rPr>
          <w:b/>
        </w:rPr>
        <w:t xml:space="preserve">style</w:t>
      </w:r>
      <w:r>
        <w:t xml:space="preserve"> </w:t>
      </w:r>
      <w:r>
        <w:t xml:space="preserve">case×platform</w:t>
      </w:r>
      <w:r>
        <w:t xml:space="preserve"> </w:t>
      </w:r>
      <w:r>
        <w:rPr>
          <w:b/>
        </w:rPr>
        <w:t xml:space="preserve">inventory</w:t>
      </w:r>
      <w:r>
        <w:t xml:space="preserve"> </w:t>
      </w:r>
      <w:r>
        <w:t xml:space="preserve">(with modern file-type proxies), mutation-index summaries, heuristics, a</w:t>
      </w:r>
      <w:r>
        <w:t xml:space="preserve"> </w:t>
      </w:r>
      <w:r>
        <w:rPr>
          <w:b/>
        </w:rPr>
        <w:t xml:space="preserve">downstream</w:t>
      </w:r>
      <w:r>
        <w:t xml:space="preserve"> </w:t>
      </w:r>
      <w:r>
        <w:t xml:space="preserve">catalog, optional</w:t>
      </w:r>
      <w:r>
        <w:t xml:space="preserve"> </w:t>
      </w:r>
      <w:r>
        <w:rPr>
          <w:b/>
        </w:rPr>
        <w:t xml:space="preserve">local HTTP</w:t>
      </w:r>
      <w:r>
        <w:t xml:space="preserve"> </w:t>
      </w:r>
      <w:r>
        <w:t xml:space="preserve">(</w:t>
      </w:r>
      <w:r>
        <w:rPr>
          <w:rStyle w:val="VerbatimChar"/>
        </w:rPr>
        <w:t xml:space="preserve">pancancer serve</w:t>
      </w:r>
      <w:r>
        <w:t xml:space="preserve">), and</w:t>
      </w:r>
      <w:r>
        <w:t xml:space="preserve"> </w:t>
      </w:r>
      <w:r>
        <w:rPr>
          <w:rStyle w:val="VerbatimChar"/>
          <w:b/>
        </w:rPr>
        <w:t xml:space="preserve">./atlas</w:t>
      </w:r>
      <w:r>
        <w:t xml:space="preserve"> </w:t>
      </w:r>
      <w:r>
        <w:t xml:space="preserve">lifecycle—</w:t>
      </w:r>
      <w:r>
        <w:rPr>
          <w:b/>
        </w:rPr>
        <w:t xml:space="preserve">not</w:t>
      </w:r>
      <w:r>
        <w:t xml:space="preserve"> </w:t>
      </w:r>
      <w:r>
        <w:t xml:space="preserve">re-implementing consortium analysis stacks.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platform-fit-and-reproducibility"/>
      <w:r>
        <w:t xml:space="preserve">Platform fit and reproducibility</w:t>
      </w:r>
      <w:bookmarkEnd w:id="24"/>
    </w:p>
    <w:p>
      <w:pPr>
        <w:pStyle w:val="FirstParagraph"/>
      </w:pPr>
      <w:r>
        <w:rPr>
          <w:b/>
        </w:rPr>
        <w:t xml:space="preserve">Published:</w:t>
      </w:r>
      <w:r>
        <w:t xml:space="preserve"> </w:t>
      </w:r>
      <w:r>
        <w:t xml:space="preserve">conceptual map of</w:t>
      </w:r>
      <w:r>
        <w:t xml:space="preserve"> </w:t>
      </w:r>
      <w:r>
        <w:rPr>
          <w:b/>
        </w:rPr>
        <w:t xml:space="preserve">multi-omic TCGA</w:t>
      </w:r>
      <w:r>
        <w:t xml:space="preserve"> </w:t>
      </w:r>
      <w:r>
        <w:t xml:space="preserve">coordination, Table 1</w:t>
      </w:r>
      <w:r>
        <w:t xml:space="preserve"> </w:t>
      </w:r>
      <w:r>
        <w:rPr>
          <w:b/>
        </w:rPr>
        <w:t xml:space="preserve">counts</w:t>
      </w:r>
      <w:r>
        <w:t xml:space="preserve">, research themes for</w:t>
      </w:r>
      <w:r>
        <w:t xml:space="preserve"> </w:t>
      </w:r>
      <w:r>
        <w:rPr>
          <w:b/>
        </w:rPr>
        <w:t xml:space="preserve">cross-lineage</w:t>
      </w:r>
      <w:r>
        <w:t xml:space="preserve"> </w:t>
      </w:r>
      <w:r>
        <w:t xml:space="preserve">work; for builders today, access is</w:t>
      </w:r>
      <w:r>
        <w:t xml:space="preserve"> </w:t>
      </w:r>
      <w:r>
        <w:rPr>
          <w:b/>
        </w:rPr>
        <w:t xml:space="preserve">GDC Portal</w:t>
      </w:r>
      <w:r>
        <w:t xml:space="preserve"> </w:t>
      </w:r>
      <w:r>
        <w:t xml:space="preserve">+ APIs, not only Synapse snapshots.</w:t>
      </w:r>
    </w:p>
    <w:p>
      <w:pPr>
        <w:pStyle w:val="BodyText"/>
      </w:pPr>
      <w:r>
        <w:rPr>
          <w:b/>
        </w:rPr>
        <w:t xml:space="preserve">Implementation strengths (typical):</w:t>
      </w:r>
      <w:r>
        <w:t xml:space="preserve"> </w:t>
      </w:r>
      <w:r>
        <w:t xml:space="preserve">stdlib-friendly</w:t>
      </w:r>
      <w:r>
        <w:t xml:space="preserve"> </w:t>
      </w:r>
      <w:r>
        <w:rPr>
          <w:b/>
        </w:rPr>
        <w:t xml:space="preserve">core</w:t>
      </w:r>
      <w:r>
        <w:t xml:space="preserve">;</w:t>
      </w:r>
      <w:r>
        <w:t xml:space="preserve"> </w:t>
      </w:r>
      <w:r>
        <w:rPr>
          <w:rStyle w:val="VerbatimChar"/>
          <w:b/>
        </w:rPr>
        <w:t xml:space="preserve">./atlas install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</w:rPr>
        <w:t xml:space="preserve">checks</w:t>
      </w:r>
      <w:r>
        <w:t xml:space="preserve">;</w:t>
      </w:r>
      <w:r>
        <w:t xml:space="preserve"> </w:t>
      </w:r>
      <w:r>
        <w:rPr>
          <w:rStyle w:val="VerbatimChar"/>
          <w:b/>
        </w:rPr>
        <w:t xml:space="preserve">python -m pancancer full-report</w:t>
      </w:r>
      <w:r>
        <w:t xml:space="preserve"> </w:t>
      </w:r>
      <w:r>
        <w:t xml:space="preserve">for a</w:t>
      </w:r>
      <w:r>
        <w:t xml:space="preserve"> </w:t>
      </w:r>
      <w:r>
        <w:rPr>
          <w:b/>
        </w:rPr>
        <w:t xml:space="preserve">single</w:t>
      </w:r>
      <w:r>
        <w:t xml:space="preserve"> </w:t>
      </w:r>
      <w:r>
        <w:t xml:space="preserve">Markdown report aligned to paper sections;</w:t>
      </w:r>
      <w:r>
        <w:t xml:space="preserve"> </w:t>
      </w:r>
      <w:r>
        <w:rPr>
          <w:b/>
        </w:rPr>
        <w:t xml:space="preserve">README</w:t>
      </w:r>
      <w:r>
        <w:t xml:space="preserve"> </w:t>
      </w:r>
      <w:r>
        <w:t xml:space="preserve">maps code to</w:t>
      </w:r>
      <w:r>
        <w:t xml:space="preserve"> </w:t>
      </w:r>
      <w:r>
        <w:rPr>
          <w:b/>
        </w:rPr>
        <w:t xml:space="preserve">paper + GDC</w:t>
      </w:r>
      <w:r>
        <w:t xml:space="preserve"> </w:t>
      </w:r>
      <w:r>
        <w:t xml:space="preserve">sources.</w:t>
      </w:r>
    </w:p>
    <w:p>
      <w:pPr>
        <w:pStyle w:val="BodyText"/>
      </w:pPr>
      <w:r>
        <w:rPr>
          <w:b/>
        </w:rPr>
        <w:t xml:space="preserve">Friction:</w:t>
      </w:r>
      <w:r>
        <w:t xml:space="preserve"> </w:t>
      </w:r>
      <w:r>
        <w:rPr>
          <w:b/>
        </w:rPr>
        <w:t xml:space="preserve">network</w:t>
      </w:r>
      <w:r>
        <w:t xml:space="preserve"> </w:t>
      </w:r>
      <w:r>
        <w:t xml:space="preserve">for live inventory;</w:t>
      </w:r>
      <w:r>
        <w:t xml:space="preserve"> </w:t>
      </w:r>
      <w:r>
        <w:rPr>
          <w:b/>
        </w:rPr>
        <w:t xml:space="preserve">controlled-access</w:t>
      </w:r>
      <w:r>
        <w:t xml:space="preserve"> </w:t>
      </w:r>
      <w:r>
        <w:t xml:space="preserve">MAFs need</w:t>
      </w:r>
      <w:r>
        <w:t xml:space="preserve"> </w:t>
      </w:r>
      <w:r>
        <w:rPr>
          <w:b/>
        </w:rPr>
        <w:t xml:space="preserve">dbGaP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GDC token</w:t>
      </w:r>
      <w:r>
        <w:t xml:space="preserve">—UUID manifests do not bypass policy.</w:t>
      </w:r>
      <w:r>
        <w:t xml:space="preserve"> </w:t>
      </w:r>
      <w:r>
        <w:rPr>
          <w:b/>
        </w:rPr>
        <w:t xml:space="preserve">GDC</w:t>
      </w:r>
      <w:r>
        <w:t xml:space="preserve"> </w:t>
      </w:r>
      <w:r>
        <w:t xml:space="preserve">release bookkeeping ≠ 2012 Table 1</w:t>
      </w:r>
      <w:r>
        <w:t xml:space="preserve"> </w:t>
      </w:r>
      <w:r>
        <w:rPr>
          <w:b/>
        </w:rPr>
        <w:t xml:space="preserve">exact</w:t>
      </w:r>
      <w:r>
        <w:t xml:space="preserve"> </w:t>
      </w:r>
      <w:r>
        <w:t xml:space="preserve">counts without</w:t>
      </w:r>
      <w:r>
        <w:t xml:space="preserve"> </w:t>
      </w:r>
      <w:r>
        <w:rPr>
          <w:b/>
        </w:rPr>
        <w:t xml:space="preserve">historical</w:t>
      </w:r>
      <w:r>
        <w:t xml:space="preserve"> </w:t>
      </w:r>
      <w:r>
        <w:t xml:space="preserve">snapshots.</w:t>
      </w:r>
    </w:p>
    <w:p>
      <w:pPr>
        <w:pStyle w:val="BodyText"/>
      </w:pPr>
      <w:r>
        <w:rPr>
          <w:b/>
        </w:rPr>
        <w:t xml:space="preserve">Reproducibility — honest tier</w:t>
      </w:r>
    </w:p>
    <w:p>
      <w:pPr>
        <w:numPr>
          <w:ilvl w:val="0"/>
          <w:numId w:val="1001"/>
        </w:numPr>
        <w:pStyle w:val="Compact"/>
      </w:pPr>
      <w:r>
        <w:t xml:space="preserve">The paper gives</w:t>
      </w:r>
      <w:r>
        <w:t xml:space="preserve"> </w:t>
      </w:r>
      <w:r>
        <w:rPr>
          <w:b/>
        </w:rPr>
        <w:t xml:space="preserve">tumor codes</w:t>
      </w:r>
      <w:r>
        <w:t xml:space="preserve">,</w:t>
      </w:r>
      <w:r>
        <w:t xml:space="preserve"> </w:t>
      </w:r>
      <w:r>
        <w:rPr>
          <w:b/>
        </w:rPr>
        <w:t xml:space="preserve">freeze</w:t>
      </w:r>
      <w:r>
        <w:t xml:space="preserve"> </w:t>
      </w:r>
      <w:r>
        <w:t xml:space="preserve">narrative, and Table 1 as</w:t>
      </w:r>
      <w:r>
        <w:t xml:space="preserve"> </w:t>
      </w:r>
      <w:r>
        <w:rPr>
          <w:b/>
        </w:rPr>
        <w:t xml:space="preserve">manuscript</w:t>
      </w:r>
      <w:r>
        <w:t xml:space="preserve"> </w:t>
      </w:r>
      <w:r>
        <w:t xml:space="preserve">sample counts.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current</w:t>
      </w:r>
      <w:r>
        <w:t xml:space="preserve"> </w:t>
      </w:r>
      <w:r>
        <w:t xml:space="preserve">GDC</w:t>
      </w:r>
      <w:r>
        <w:t xml:space="preserve"> </w:t>
      </w:r>
      <w:r>
        <w:rPr>
          <w:b/>
        </w:rPr>
        <w:t xml:space="preserve">inventory</w:t>
      </w:r>
      <w:r>
        <w:t xml:space="preserve"> </w:t>
      </w:r>
      <w:r>
        <w:t xml:space="preserve">is an</w:t>
      </w:r>
      <w:r>
        <w:t xml:space="preserve"> </w:t>
      </w:r>
      <w:r>
        <w:rPr>
          <w:b/>
        </w:rPr>
        <w:t xml:space="preserve">analog</w:t>
      </w:r>
      <w:r>
        <w:t xml:space="preserve"> </w:t>
      </w:r>
      <w:r>
        <w:t xml:space="preserve">of Table 1, not a byte-level replay.</w:t>
      </w:r>
      <w:r>
        <w:t xml:space="preserve"> </w:t>
      </w:r>
      <w:r>
        <w:rPr>
          <w:b/>
        </w:rPr>
        <w:t xml:space="preserve">Companion</w:t>
      </w:r>
      <w:r>
        <w:t xml:space="preserve"> </w:t>
      </w:r>
      <w:r>
        <w:t xml:space="preserve">driver papers are</w:t>
      </w:r>
      <w:r>
        <w:t xml:space="preserve"> </w:t>
      </w:r>
      <w:r>
        <w:rPr>
          <w:b/>
        </w:rPr>
        <w:t xml:space="preserve">listed</w:t>
      </w:r>
      <w:r>
        <w:t xml:space="preserve"> </w:t>
      </w:r>
      <w:r>
        <w:t xml:space="preserve">in code like</w:t>
      </w:r>
      <w:r>
        <w:t xml:space="preserve"> </w:t>
      </w:r>
      <w:r>
        <w:rPr>
          <w:rStyle w:val="VerbatimChar"/>
        </w:rPr>
        <w:t xml:space="preserve">pancancer/downstream_catalog.py</w:t>
      </w:r>
      <w:r>
        <w:t xml:space="preserve"> </w:t>
      </w:r>
      <w:r>
        <w:t xml:space="preserve">in upstream repos; they are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executed in this review bundle.</w:t>
      </w:r>
    </w:p>
    <w:p>
      <w:pPr>
        <w:pStyle w:val="FirstParagraph"/>
      </w:pPr>
      <w:r>
        <w:rPr>
          <w:b/>
        </w:rPr>
        <w:t xml:space="preserve">Observed:</w:t>
      </w:r>
      <w:r>
        <w:t xml:space="preserve"> </w:t>
      </w:r>
      <w:r>
        <w:rPr>
          <w:rStyle w:val="VerbatimChar"/>
          <w:b/>
        </w:rPr>
        <w:t xml:space="preserve">./atlas checks</w:t>
      </w:r>
      <w:r>
        <w:t xml:space="preserve"> </w:t>
      </w:r>
      <w:r>
        <w:t xml:space="preserve">and health endpoints validate</w:t>
      </w:r>
      <w:r>
        <w:t xml:space="preserve"> </w:t>
      </w:r>
      <w:r>
        <w:rPr>
          <w:b/>
        </w:rPr>
        <w:t xml:space="preserve">reachability</w:t>
      </w:r>
      <w:r>
        <w:t xml:space="preserve"> </w:t>
      </w:r>
      <w:r>
        <w:t xml:space="preserve">(imports, GDC</w:t>
      </w:r>
      <w:r>
        <w:t xml:space="preserve"> </w:t>
      </w:r>
      <w:r>
        <w:rPr>
          <w:rStyle w:val="VerbatimChar"/>
        </w:rPr>
        <w:t xml:space="preserve">/status</w:t>
      </w:r>
      <w:r>
        <w:t xml:space="preserve">, case smoke)—good for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can we talk to infrastructure?</w:t>
      </w:r>
      <w:r>
        <w:rPr>
          <w:b/>
        </w:rPr>
        <w:t xml:space="preserve">”</w:t>
      </w:r>
      <w:r>
        <w:t xml:space="preserve"> </w:t>
      </w:r>
      <w:r>
        <w:t xml:space="preserve">CI, not for</w:t>
      </w:r>
      <w:r>
        <w:t xml:space="preserve"> </w:t>
      </w:r>
      <w:r>
        <w:rPr>
          <w:b/>
        </w:rPr>
        <w:t xml:space="preserve">consortium</w:t>
      </w:r>
      <w:r>
        <w:t xml:space="preserve"> </w:t>
      </w:r>
      <w:r>
        <w:t xml:space="preserve">statistic replication.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performance-generalization-comparison"/>
      <w:r>
        <w:t xml:space="preserve">Performance, generalization, comparison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Performance:</w:t>
      </w:r>
      <w:r>
        <w:t xml:space="preserve"> </w:t>
      </w:r>
      <w:r>
        <w:rPr>
          <w:rStyle w:val="VerbatimChar"/>
        </w:rPr>
        <w:t xml:space="preserve">full-report</w:t>
      </w:r>
      <w:r>
        <w:t xml:space="preserve"> </w:t>
      </w:r>
      <w:r>
        <w:t xml:space="preserve">with</w:t>
      </w:r>
      <w:r>
        <w:t xml:space="preserve"> </w:t>
      </w:r>
      <w:r>
        <w:rPr>
          <w:b/>
        </w:rPr>
        <w:t xml:space="preserve">live</w:t>
      </w:r>
      <w:r>
        <w:t xml:space="preserve"> </w:t>
      </w:r>
      <w:r>
        <w:t xml:space="preserve">inventory =</w:t>
      </w:r>
      <w:r>
        <w:t xml:space="preserve"> </w:t>
      </w:r>
      <w:r>
        <w:rPr>
          <w:b/>
        </w:rPr>
        <w:t xml:space="preserve">many</w:t>
      </w:r>
      <w:r>
        <w:t xml:space="preserve"> </w:t>
      </w:r>
      <w:r>
        <w:t xml:space="preserve">GDC POSTs (minutes on typical networks);</w:t>
      </w:r>
      <w:r>
        <w:t xml:space="preserve"> </w:t>
      </w:r>
      <w:r>
        <w:rPr>
          <w:rStyle w:val="VerbatimChar"/>
          <w:b/>
        </w:rPr>
        <w:t xml:space="preserve">--skip-inventory</w:t>
      </w:r>
      <w:r>
        <w:t xml:space="preserve"> </w:t>
      </w:r>
      <w:r>
        <w:t xml:space="preserve">/ fast targets reduce load.</w:t>
      </w:r>
      <w:r>
        <w:t xml:space="preserve"> </w:t>
      </w:r>
      <w:r>
        <w:rPr>
          <w:b/>
        </w:rPr>
        <w:t xml:space="preserve">Top-mutated</w:t>
      </w:r>
      <w:r>
        <w:t xml:space="preserve"> </w:t>
      </w:r>
      <w:r>
        <w:t xml:space="preserve">lists use GDC’s</w:t>
      </w:r>
      <w:r>
        <w:t xml:space="preserve"> </w:t>
      </w:r>
      <w:r>
        <w:rPr>
          <w:b/>
        </w:rPr>
        <w:t xml:space="preserve">index</w:t>
      </w:r>
      <w:r>
        <w:t xml:space="preserve">, not</w:t>
      </w:r>
      <w:r>
        <w:t xml:space="preserve"> </w:t>
      </w:r>
      <w:r>
        <w:rPr>
          <w:b/>
        </w:rPr>
        <w:t xml:space="preserve">MutSig</w:t>
      </w:r>
      <w:r>
        <w:t xml:space="preserve">-style significance in this layer.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Generalization:</w:t>
      </w:r>
      <w:r>
        <w:t xml:space="preserve"> </w:t>
      </w:r>
      <w:r>
        <w:rPr>
          <w:b/>
        </w:rPr>
        <w:t xml:space="preserve">Pancan12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adult</w:t>
      </w:r>
      <w:r>
        <w:t xml:space="preserve">-heavy, TCGA-centric; other programs (e.g. TARGET, PCAWG) are out of the</w:t>
      </w:r>
      <w:r>
        <w:t xml:space="preserve"> </w:t>
      </w:r>
      <w:r>
        <w:rPr>
          <w:b/>
        </w:rPr>
        <w:t xml:space="preserve">default</w:t>
      </w:r>
      <w:r>
        <w:t xml:space="preserve"> </w:t>
      </w:r>
      <w:r>
        <w:t xml:space="preserve">scope unless you extend constants/catalogs.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 clinical product—use follows</w:t>
      </w:r>
      <w:r>
        <w:t xml:space="preserve"> </w:t>
      </w:r>
      <w:r>
        <w:rPr>
          <w:b/>
        </w:rPr>
        <w:t xml:space="preserve">GDC/dbGaP</w:t>
      </w:r>
      <w:r>
        <w:t xml:space="preserve"> </w:t>
      </w:r>
      <w:r>
        <w:t xml:space="preserve">policy.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vs Synapse-only:</w:t>
      </w:r>
      <w:r>
        <w:t xml:space="preserve"> </w:t>
      </w:r>
      <w:r>
        <w:t xml:space="preserve">GDC +</w:t>
      </w:r>
      <w:r>
        <w:t xml:space="preserve"> </w:t>
      </w:r>
      <w:r>
        <w:rPr>
          <w:rStyle w:val="VerbatimChar"/>
          <w:b/>
        </w:rPr>
        <w:t xml:space="preserve">gdc-client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</w:rPr>
        <w:t xml:space="preserve">maintained</w:t>
      </w:r>
      <w:r>
        <w:t xml:space="preserve"> </w:t>
      </w:r>
      <w:r>
        <w:t xml:space="preserve">path; this pattern</w:t>
      </w:r>
      <w:r>
        <w:t xml:space="preserve"> </w:t>
      </w:r>
      <w:r>
        <w:rPr>
          <w:b/>
        </w:rPr>
        <w:t xml:space="preserve">documents</w:t>
      </w:r>
      <w:r>
        <w:t xml:space="preserve"> </w:t>
      </w:r>
      <w:r>
        <w:t xml:space="preserve">the shift.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vs full Pan-Cancer stacks:</w:t>
      </w:r>
      <w:r>
        <w:t xml:space="preserve"> </w:t>
      </w:r>
      <w:r>
        <w:rPr>
          <w:b/>
        </w:rPr>
        <w:t xml:space="preserve">MutSig / GISTIC / iCluster+</w:t>
      </w:r>
      <w:r>
        <w:t xml:space="preserve"> </w:t>
      </w:r>
      <w:r>
        <w:t xml:space="preserve">stay</w:t>
      </w:r>
      <w:r>
        <w:t xml:space="preserve"> </w:t>
      </w:r>
      <w:r>
        <w:rPr>
          <w:b/>
        </w:rPr>
        <w:t xml:space="preserve">external</w:t>
      </w:r>
      <w:r>
        <w:t xml:space="preserve">;</w:t>
      </w:r>
      <w:r>
        <w:t xml:space="preserve"> </w:t>
      </w:r>
      <w:r>
        <w:rPr>
          <w:rStyle w:val="VerbatimChar"/>
          <w:b/>
        </w:rPr>
        <w:t xml:space="preserve">program-catalog</w:t>
      </w:r>
      <w:r>
        <w:t xml:space="preserve">-style DOI lists point outward.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df38453e7b81dbf353ecd4d59ff5408f2fc5f70"/>
      <w:r>
        <w:t xml:space="preserve">Clinical relevance, interpretability, integration</w:t>
      </w:r>
      <w:bookmarkEnd w:id="26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Research / translational:</w:t>
      </w:r>
      <w:r>
        <w:t xml:space="preserve"> </w:t>
      </w:r>
      <w:r>
        <w:t xml:space="preserve">high-level</w:t>
      </w:r>
      <w:r>
        <w:t xml:space="preserve"> </w:t>
      </w:r>
      <w:r>
        <w:rPr>
          <w:b/>
        </w:rPr>
        <w:t xml:space="preserve">cross-tumor</w:t>
      </w:r>
      <w:r>
        <w:t xml:space="preserve"> </w:t>
      </w:r>
      <w:r>
        <w:t xml:space="preserve">framing matches the paper;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 diagnostic engine.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Interpretability:</w:t>
      </w:r>
      <w:r>
        <w:t xml:space="preserve"> </w:t>
      </w:r>
      <w:r>
        <w:t xml:space="preserve">static</w:t>
      </w:r>
      <w:r>
        <w:t xml:space="preserve"> </w:t>
      </w:r>
      <w:r>
        <w:rPr>
          <w:b/>
        </w:rPr>
        <w:t xml:space="preserve">2013</w:t>
      </w:r>
      <w:r>
        <w:t xml:space="preserve"> </w:t>
      </w:r>
      <w:r>
        <w:t xml:space="preserve">Table 1 next to</w:t>
      </w:r>
      <w:r>
        <w:t xml:space="preserve"> </w:t>
      </w:r>
      <w:r>
        <w:rPr>
          <w:b/>
        </w:rPr>
        <w:t xml:space="preserve">live</w:t>
      </w:r>
      <w:r>
        <w:t xml:space="preserve"> </w:t>
      </w:r>
      <w:r>
        <w:t xml:space="preserve">inventory;</w:t>
      </w:r>
      <w:r>
        <w:t xml:space="preserve"> </w:t>
      </w:r>
      <w:r>
        <w:rPr>
          <w:b/>
        </w:rPr>
        <w:t xml:space="preserve">Figure 2</w:t>
      </w:r>
      <w:r>
        <w:t xml:space="preserve"> </w:t>
      </w:r>
      <w:r>
        <w:t xml:space="preserve">flow; Box text in</w:t>
      </w:r>
      <w:r>
        <w:t xml:space="preserve"> </w:t>
      </w:r>
      <w:r>
        <w:rPr>
          <w:rStyle w:val="VerbatimChar"/>
          <w:b/>
        </w:rPr>
        <w:t xml:space="preserve">paper-info</w:t>
      </w:r>
      <w:r>
        <w:t xml:space="preserve">/reports;</w:t>
      </w:r>
      <w:r>
        <w:t xml:space="preserve"> </w:t>
      </w:r>
      <w:r>
        <w:rPr>
          <w:b/>
        </w:rPr>
        <w:t xml:space="preserve">downstream</w:t>
      </w:r>
      <w:r>
        <w:t xml:space="preserve"> </w:t>
      </w:r>
      <w:r>
        <w:t xml:space="preserve">catalog shows what is</w:t>
      </w:r>
      <w:r>
        <w:t xml:space="preserve"> </w:t>
      </w:r>
      <w:r>
        <w:rPr>
          <w:b/>
        </w:rPr>
        <w:t xml:space="preserve">out of scope</w:t>
      </w:r>
      <w:r>
        <w:t xml:space="preserve"> </w:t>
      </w:r>
      <w:r>
        <w:t xml:space="preserve">here.</w:t>
      </w:r>
      <w:r>
        <w:t xml:space="preserve"> </w:t>
      </w:r>
      <w:r>
        <w:rPr>
          <w:b/>
        </w:rPr>
        <w:t xml:space="preserve">Top genes</w:t>
      </w:r>
      <w:r>
        <w:t xml:space="preserve"> </w:t>
      </w:r>
      <w:r>
        <w:t xml:space="preserve">=</w:t>
      </w:r>
      <w:r>
        <w:t xml:space="preserve"> </w:t>
      </w:r>
      <w:r>
        <w:rPr>
          <w:b/>
        </w:rPr>
        <w:t xml:space="preserve">frequency</w:t>
      </w:r>
      <w:r>
        <w:t xml:space="preserve"> </w:t>
      </w:r>
      <w:r>
        <w:t xml:space="preserve">hints, not automatic</w:t>
      </w:r>
      <w:r>
        <w:t xml:space="preserve"> </w:t>
      </w:r>
      <w:r>
        <w:rPr>
          <w:b/>
        </w:rPr>
        <w:t xml:space="preserve">driver</w:t>
      </w:r>
      <w:r>
        <w:t xml:space="preserve"> </w:t>
      </w:r>
      <w:r>
        <w:t xml:space="preserve">calls.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Integration:</w:t>
      </w:r>
      <w:r>
        <w:t xml:space="preserve"> </w:t>
      </w:r>
      <w:r>
        <w:t xml:space="preserve">manifests for</w:t>
      </w:r>
      <w:r>
        <w:t xml:space="preserve"> </w:t>
      </w:r>
      <w:r>
        <w:rPr>
          <w:rStyle w:val="VerbatimChar"/>
          <w:b/>
        </w:rPr>
        <w:t xml:space="preserve">gdc-client</w:t>
      </w:r>
      <w:r>
        <w:t xml:space="preserve">, JSON health for</w:t>
      </w:r>
      <w:r>
        <w:t xml:space="preserve"> </w:t>
      </w:r>
      <w:r>
        <w:rPr>
          <w:b/>
        </w:rPr>
        <w:t xml:space="preserve">orchestration</w:t>
      </w:r>
      <w:r>
        <w:t xml:space="preserve">, Markdown for</w:t>
      </w:r>
      <w:r>
        <w:t xml:space="preserve"> </w:t>
      </w:r>
      <w:r>
        <w:rPr>
          <w:b/>
        </w:rPr>
        <w:t xml:space="preserve">notebooks</w:t>
      </w:r>
      <w:r>
        <w:t xml:space="preserve">/</w:t>
      </w:r>
      <w:r>
        <w:rPr>
          <w:b/>
        </w:rPr>
        <w:t xml:space="preserve">pub</w:t>
      </w:r>
      <w:r>
        <w:t xml:space="preserve"> </w:t>
      </w:r>
      <w:r>
        <w:t xml:space="preserve">pipelines.</w:t>
      </w:r>
      <w:r>
        <w:t xml:space="preserve"> </w:t>
      </w:r>
      <w:r>
        <w:rPr>
          <w:rStyle w:val="VerbatimChar"/>
          <w:b/>
        </w:rPr>
        <w:t xml:space="preserve">./atlas</w:t>
      </w:r>
      <w:r>
        <w:t xml:space="preserve"> </w:t>
      </w:r>
      <w:r>
        <w:t xml:space="preserve">=</w:t>
      </w:r>
      <w:r>
        <w:t xml:space="preserve"> </w:t>
      </w:r>
      <w:r>
        <w:rPr>
          <w:b/>
        </w:rPr>
        <w:t xml:space="preserve">ops</w:t>
      </w:r>
      <w:r>
        <w:t xml:space="preserve"> </w:t>
      </w:r>
      <w:r>
        <w:t xml:space="preserve">for a</w:t>
      </w:r>
      <w:r>
        <w:t xml:space="preserve"> </w:t>
      </w:r>
      <w:r>
        <w:rPr>
          <w:b/>
        </w:rPr>
        <w:t xml:space="preserve">local</w:t>
      </w:r>
      <w:r>
        <w:t xml:space="preserve"> </w:t>
      </w:r>
      <w:r>
        <w:t xml:space="preserve">helper, not EMR.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limitations-and-builder-insight"/>
      <w:r>
        <w:t xml:space="preserve">Limitations and builder insight</w:t>
      </w:r>
      <w:bookmarkEnd w:id="27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Not</w:t>
      </w:r>
      <w:r>
        <w:t xml:space="preserve"> </w:t>
      </w:r>
      <w:r>
        <w:t xml:space="preserve">a full replay of the</w:t>
      </w:r>
      <w:r>
        <w:t xml:space="preserve"> </w:t>
      </w:r>
      <w:r>
        <w:rPr>
          <w:b/>
        </w:rPr>
        <w:t xml:space="preserve">2012</w:t>
      </w:r>
      <w:r>
        <w:t xml:space="preserve"> </w:t>
      </w:r>
      <w:r>
        <w:t xml:space="preserve">Synapse</w:t>
      </w:r>
      <w:r>
        <w:t xml:space="preserve"> </w:t>
      </w:r>
      <w:r>
        <w:rPr>
          <w:b/>
        </w:rPr>
        <w:t xml:space="preserve">freeze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Not</w:t>
      </w:r>
      <w:r>
        <w:t xml:space="preserve"> </w:t>
      </w:r>
      <w:r>
        <w:t xml:space="preserve">a drop-in for</w:t>
      </w:r>
      <w:r>
        <w:t xml:space="preserve"> </w:t>
      </w:r>
      <w:r>
        <w:rPr>
          <w:b/>
        </w:rPr>
        <w:t xml:space="preserve">MC3, MutSigCV, GISTIC2, MEMo, iCluster+</w:t>
      </w:r>
      <w:r>
        <w:t xml:space="preserve">,</w:t>
      </w:r>
      <w:r>
        <w:t xml:space="preserve"> </w:t>
      </w:r>
      <w:r>
        <w:rPr>
          <w:i/>
        </w:rPr>
        <w:t xml:space="preserve">etc.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Local HTTP</w:t>
      </w:r>
      <w:r>
        <w:t xml:space="preserve"> </w:t>
      </w:r>
      <w:r>
        <w:t xml:space="preserve">=</w:t>
      </w:r>
      <w:r>
        <w:t xml:space="preserve"> </w:t>
      </w:r>
      <w:r>
        <w:rPr>
          <w:b/>
        </w:rPr>
        <w:t xml:space="preserve">dev</w:t>
      </w:r>
      <w:r>
        <w:t xml:space="preserve">-grade (e.g. localhost, no auth) unless you harden.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NFS</w:t>
      </w:r>
      <w:r>
        <w:t xml:space="preserve"> </w:t>
      </w:r>
      <w:r>
        <w:t xml:space="preserve">can slow</w:t>
      </w:r>
      <w:r>
        <w:t xml:space="preserve"> </w:t>
      </w:r>
      <w:r>
        <w:rPr>
          <w:b/>
        </w:rPr>
        <w:t xml:space="preserve">manifests</w:t>
      </w:r>
      <w:r>
        <w:t xml:space="preserve"> </w:t>
      </w:r>
      <w:r>
        <w:t xml:space="preserve">/ reports; use fast disk for heavy</w:t>
      </w:r>
      <w:r>
        <w:t xml:space="preserve"> </w:t>
      </w:r>
      <w:r>
        <w:rPr>
          <w:rStyle w:val="VerbatimChar"/>
          <w:b/>
        </w:rPr>
        <w:t xml:space="preserve">gdc-client</w:t>
      </w:r>
      <w:r>
        <w:t xml:space="preserve"> </w:t>
      </w:r>
      <w:r>
        <w:t xml:space="preserve">work.</w:t>
      </w:r>
    </w:p>
    <w:p>
      <w:pPr>
        <w:pStyle w:val="FirstParagraph"/>
      </w:pPr>
      <w:r>
        <w:rPr>
          <w:b/>
        </w:rPr>
        <w:t xml:space="preserve">Bottom line:</w:t>
      </w:r>
      <w:r>
        <w:t xml:space="preserve"> </w:t>
      </w:r>
      <w:r>
        <w:t xml:space="preserve">The paper is</w:t>
      </w:r>
      <w:r>
        <w:t xml:space="preserve"> </w:t>
      </w:r>
      <w:r>
        <w:rPr>
          <w:b/>
        </w:rPr>
        <w:t xml:space="preserve">strong on framing</w:t>
      </w:r>
      <w:r>
        <w:t xml:space="preserve"> </w:t>
      </w:r>
      <w:r>
        <w:t xml:space="preserve">a</w:t>
      </w:r>
      <w:r>
        <w:t xml:space="preserve"> </w:t>
      </w:r>
      <w:r>
        <w:rPr>
          <w:b/>
        </w:rPr>
        <w:t xml:space="preserve">multi-tumor</w:t>
      </w:r>
      <w:r>
        <w:t xml:space="preserve"> </w:t>
      </w:r>
      <w:r>
        <w:t xml:space="preserve">data commons; the</w:t>
      </w:r>
      <w:r>
        <w:t xml:space="preserve"> </w:t>
      </w:r>
      <w:r>
        <w:rPr>
          <w:b/>
        </w:rPr>
        <w:t xml:space="preserve">builder</w:t>
      </w:r>
      <w:r>
        <w:t xml:space="preserve"> </w:t>
      </w:r>
      <w:r>
        <w:t xml:space="preserve">choice is</w:t>
      </w:r>
      <w:r>
        <w:t xml:space="preserve"> </w:t>
      </w:r>
      <w:r>
        <w:rPr>
          <w:b/>
        </w:rPr>
        <w:t xml:space="preserve">tier</w:t>
      </w:r>
      <w:r>
        <w:t xml:space="preserve"> </w:t>
      </w:r>
      <w:r>
        <w:t xml:space="preserve">of work:</w:t>
      </w:r>
      <w:r>
        <w:t xml:space="preserve"> </w:t>
      </w:r>
      <w:r>
        <w:rPr>
          <w:b/>
        </w:rPr>
        <w:t xml:space="preserve">GDC inventory + API smoke</w:t>
      </w:r>
      <w:r>
        <w:t xml:space="preserve"> </w:t>
      </w:r>
      <w:r>
        <w:t xml:space="preserve">(this style) vs</w:t>
      </w:r>
      <w:r>
        <w:t xml:space="preserve"> </w:t>
      </w:r>
      <w:r>
        <w:rPr>
          <w:b/>
        </w:rPr>
        <w:t xml:space="preserve">full</w:t>
      </w:r>
      <w:r>
        <w:t xml:space="preserve"> </w:t>
      </w:r>
      <w:r>
        <w:t xml:space="preserve">consortium recomputation (external + controlled data).</w:t>
      </w:r>
    </w:p>
    <w:p>
      <w:pPr>
        <w:pStyle w:val="BodyText"/>
      </w:pPr>
      <w:r>
        <w:rPr>
          <w:i/>
        </w:rPr>
        <w:t xml:space="preserve">Extensions (system):</w:t>
      </w:r>
      <w:r>
        <w:t xml:space="preserve"> </w:t>
      </w:r>
      <w:r>
        <w:t xml:space="preserve">scheduled</w:t>
      </w:r>
      <w:r>
        <w:t xml:space="preserve"> </w:t>
      </w:r>
      <w:r>
        <w:rPr>
          <w:rStyle w:val="VerbatimChar"/>
          <w:b/>
        </w:rPr>
        <w:t xml:space="preserve">./atlas checks</w:t>
      </w:r>
      <w:r>
        <w:t xml:space="preserve">; pinned</w:t>
      </w:r>
      <w:r>
        <w:t xml:space="preserve"> </w:t>
      </w:r>
      <w:r>
        <w:rPr>
          <w:b/>
        </w:rPr>
        <w:t xml:space="preserve">mock</w:t>
      </w:r>
      <w:r>
        <w:t xml:space="preserve"> </w:t>
      </w:r>
      <w:r>
        <w:t xml:space="preserve">JSON for offline unit tests;</w:t>
      </w:r>
      <w:r>
        <w:t xml:space="preserve"> </w:t>
      </w:r>
      <w:r>
        <w:rPr>
          <w:b/>
        </w:rPr>
        <w:t xml:space="preserve">container</w:t>
      </w:r>
      <w:r>
        <w:t xml:space="preserve"> </w:t>
      </w:r>
      <w:r>
        <w:t xml:space="preserve">with Python +</w:t>
      </w:r>
      <w:r>
        <w:t xml:space="preserve"> </w:t>
      </w:r>
      <w:r>
        <w:rPr>
          <w:rStyle w:val="VerbatimChar"/>
        </w:rPr>
        <w:t xml:space="preserve">gdc-client</w:t>
      </w:r>
      <w:r>
        <w:t xml:space="preserve">;</w:t>
      </w:r>
      <w:r>
        <w:t xml:space="preserve"> </w:t>
      </w:r>
      <w:r>
        <w:rPr>
          <w:b/>
        </w:rPr>
        <w:t xml:space="preserve">Snakemake</w:t>
      </w:r>
      <w:r>
        <w:t xml:space="preserve"> </w:t>
      </w:r>
      <w:r>
        <w:t xml:space="preserve">stubs per</w:t>
      </w:r>
      <w:r>
        <w:t xml:space="preserve"> </w:t>
      </w:r>
      <w:r>
        <w:rPr>
          <w:b/>
        </w:rPr>
        <w:t xml:space="preserve">downstream</w:t>
      </w:r>
      <w:r>
        <w:t xml:space="preserve"> </w:t>
      </w:r>
      <w:r>
        <w:t xml:space="preserve">catalog rows.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references-selected"/>
      <w:r>
        <w:t xml:space="preserve">References (selected)</w:t>
      </w:r>
      <w:bookmarkEnd w:id="28"/>
    </w:p>
    <w:p>
      <w:pPr>
        <w:numPr>
          <w:ilvl w:val="0"/>
          <w:numId w:val="1005"/>
        </w:numPr>
        <w:pStyle w:val="Compact"/>
      </w:pPr>
      <w:r>
        <w:t xml:space="preserve">Weinstein</w:t>
      </w:r>
      <w:r>
        <w:t xml:space="preserve"> </w:t>
      </w:r>
      <w:r>
        <w:rPr>
          <w:i/>
        </w:rPr>
        <w:t xml:space="preserve">et al.</w:t>
      </w:r>
      <w:r>
        <w:t xml:space="preserve"> </w:t>
      </w:r>
      <w:r>
        <w:t xml:space="preserve">2013</w:t>
      </w:r>
      <w:r>
        <w:t xml:space="preserve"> </w:t>
      </w:r>
      <w:r>
        <w:rPr>
          <w:i/>
        </w:rPr>
        <w:t xml:space="preserve">Nat. Genet.</w:t>
      </w:r>
      <w:r>
        <w:t xml:space="preserve"> </w:t>
      </w:r>
      <w:r>
        <w:t xml:space="preserve">—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GDC API: https://docs.gdc.cancer.gov/API/Getting_Started/Getting_Started/</w:t>
      </w:r>
    </w:p>
    <w:p>
      <w:pPr>
        <w:numPr>
          <w:ilvl w:val="0"/>
          <w:numId w:val="1005"/>
        </w:numPr>
        <w:pStyle w:val="Compact"/>
      </w:pPr>
      <w:hyperlink r:id="rId21">
        <w:r>
          <w:rPr>
            <w:rStyle w:val="Hyperlink"/>
          </w:rPr>
          <w:t xml:space="preserve">cancer_atlas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atlas_br.md</w:t>
      </w:r>
      <w:r>
        <w:t xml:space="preserve"> </w:t>
      </w:r>
      <w:r>
        <w:t xml:space="preserve">upstream of this bundle.</w:t>
      </w:r>
    </w:p>
    <w:p>
      <w:pPr>
        <w:pStyle w:val="FirstParagraph"/>
      </w:pPr>
      <w:r>
        <w:rPr>
          <w:i/>
        </w:rPr>
        <w:t xml:space="preserve">Last updated: 2026-04-24.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s://doi.org/10.1038/ng.2764" TargetMode="External" /><Relationship Type="http://schemas.openxmlformats.org/officeDocument/2006/relationships/hyperlink" Id="rId21" Target="https://github.com/phindagijimana/cancer_atlas" TargetMode="External" /><Relationship Type="http://schemas.openxmlformats.org/officeDocument/2006/relationships/hyperlink" Id="rId22" Target="https://www.ncbi.nlm.nih.gov/pmc/articles/PMC3919969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9" Target="https://doi.org/10.1038/ng.2764" TargetMode="External" /><Relationship Type="http://schemas.openxmlformats.org/officeDocument/2006/relationships/hyperlink" Id="rId21" Target="https://github.com/phindagijimana/cancer_atlas" TargetMode="External" /><Relationship Type="http://schemas.openxmlformats.org/officeDocument/2006/relationships/hyperlink" Id="rId22" Target="https://www.ncbi.nlm.nih.gov/pmc/articles/PMC3919969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2026-04-24T03:09:25Z</dcterms:created>
  <dcterms:modified xsi:type="dcterms:W3CDTF">2026-04-24T03:09:25Z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