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4f42d4facb1bd357cc09ef679d85da4f7523fa"/>
      <w:r>
        <w:t xml:space="preserve">Builder Review — ILAE × MAGMA pipeline (Mushunuri et al. 2026 style)</w:t>
      </w:r>
      <w:bookmarkEnd w:id="20"/>
    </w:p>
    <w:p>
      <w:pPr>
        <w:pStyle w:val="FirstParagraph"/>
      </w:pPr>
      <w:r>
        <w:rPr>
          <w:b/>
        </w:rPr>
        <w:t xml:space="preserve">Builder Review</w:t>
      </w:r>
      <w:r>
        <w:t xml:space="preserve"> </w:t>
      </w:r>
      <w:r>
        <w:t xml:space="preserve">of the</w:t>
      </w:r>
      <w:r>
        <w:t xml:space="preserve"> </w:t>
      </w:r>
      <w:r>
        <w:rPr>
          <w:i/>
        </w:rPr>
        <w:t xml:space="preserve">Epilepsia</w:t>
      </w:r>
      <w:r>
        <w:t xml:space="preserve"> </w:t>
      </w:r>
      <w:r>
        <w:t xml:space="preserve">methods work and a</w:t>
      </w:r>
      <w:r>
        <w:t xml:space="preserve"> </w:t>
      </w:r>
      <w:r>
        <w:rPr>
          <w:b/>
        </w:rPr>
        <w:t xml:space="preserve">gene_epi</w:t>
      </w:r>
      <w:r>
        <w:t xml:space="preserve">-style implementation: usability, reproducibility, performance, generalization, clinical framing, interpretability, integration, limits, and builder takeaway.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Mushunuri et al. </w:t>
      </w:r>
      <w:r>
        <w:rPr>
          <w:i/>
        </w:rPr>
        <w:t xml:space="preserve">Epilepsia</w:t>
      </w:r>
      <w:r>
        <w:t xml:space="preserve"> </w:t>
      </w:r>
      <w:r>
        <w:t xml:space="preserve">2026. https://doi.org/10.1111/epi.70021</w:t>
      </w:r>
    </w:p>
    <w:p>
      <w:pPr>
        <w:pStyle w:val="BodyText"/>
      </w:pPr>
      <w:r>
        <w:rPr>
          <w:b/>
        </w:rPr>
        <w:t xml:space="preserve">Typical repo layout:</w:t>
      </w:r>
      <w:r>
        <w:t xml:space="preserve"> </w:t>
      </w:r>
      <w:r>
        <w:rPr>
          <w:rStyle w:val="VerbatimChar"/>
        </w:rPr>
        <w:t xml:space="preserve">mushunuri_ilae_pipeline/</w:t>
      </w:r>
      <w:r>
        <w:t xml:space="preserve"> </w:t>
      </w:r>
      <w:r>
        <w:t xml:space="preserve">(numbered scripts,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DATA_ACQUIRED.md</w:t>
      </w:r>
      <w:r>
        <w:t xml:space="preserve">),</w:t>
      </w:r>
      <w:r>
        <w:t xml:space="preserve"> </w:t>
      </w:r>
      <w:r>
        <w:rPr>
          <w:rStyle w:val="VerbatimChar"/>
          <w:b/>
        </w:rPr>
        <w:t xml:space="preserve">./gene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), state in</w:t>
      </w:r>
      <w:r>
        <w:t xml:space="preserve"> </w:t>
      </w:r>
      <w:r>
        <w:rPr>
          <w:rStyle w:val="VerbatimChar"/>
        </w:rPr>
        <w:t xml:space="preserve">.gene/</w:t>
      </w:r>
      <w:r>
        <w:t xml:space="preserve">; public assets (EPIGAD ILAE, CNCR/VU MAGMA mirrors, Zenodo H-MAGMA, GitHub eMAGMA, Schulz meQTL, GEO GPL13534). This review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re-implement MAGMA’s statistics—only the</w:t>
      </w:r>
      <w:r>
        <w:t xml:space="preserve"> </w:t>
      </w:r>
      <w:r>
        <w:rPr>
          <w:b/>
        </w:rPr>
        <w:t xml:space="preserve">compute and ops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text"/>
      <w:r>
        <w:t xml:space="preserve">Context</w:t>
      </w:r>
      <w:bookmarkEnd w:id="21"/>
    </w:p>
    <w:p>
      <w:pPr>
        <w:pStyle w:val="FirstParagraph"/>
      </w:pPr>
      <w:r>
        <w:rPr>
          <w:b/>
        </w:rPr>
        <w:t xml:space="preserve">Gene-level</w:t>
      </w:r>
      <w:r>
        <w:t xml:space="preserve"> </w:t>
      </w:r>
      <w:r>
        <w:t xml:space="preserve">follow-up of epilepsy</w:t>
      </w:r>
      <w:r>
        <w:t xml:space="preserve"> </w:t>
      </w:r>
      <w:r>
        <w:rPr>
          <w:b/>
        </w:rPr>
        <w:t xml:space="preserve">GWAS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MAGMA</w:t>
      </w:r>
      <w:r>
        <w:t xml:space="preserve">,</w:t>
      </w:r>
      <w:r>
        <w:t xml:space="preserve"> </w:t>
      </w:r>
      <w:r>
        <w:rPr>
          <w:b/>
        </w:rPr>
        <w:t xml:space="preserve">E-MAGMA</w:t>
      </w:r>
      <w:r>
        <w:t xml:space="preserve"> </w:t>
      </w:r>
      <w:r>
        <w:t xml:space="preserve">(hippocampal expression),</w:t>
      </w:r>
      <w:r>
        <w:t xml:space="preserve"> </w:t>
      </w:r>
      <w:r>
        <w:rPr>
          <w:b/>
        </w:rPr>
        <w:t xml:space="preserve">H-MAGMA</w:t>
      </w:r>
      <w:r>
        <w:t xml:space="preserve"> </w:t>
      </w:r>
      <w:r>
        <w:t xml:space="preserve">(adult/fetal Hi-C context), and</w:t>
      </w:r>
      <w:r>
        <w:t xml:space="preserve"> </w:t>
      </w:r>
      <w:r>
        <w:rPr>
          <w:b/>
        </w:rPr>
        <w:t xml:space="preserve">ME-MAGMA</w:t>
      </w:r>
      <w:r>
        <w:t xml:space="preserve"> </w:t>
      </w:r>
      <w:r>
        <w:t xml:space="preserve">(methylation QTL linkage), on</w:t>
      </w:r>
      <w:r>
        <w:t xml:space="preserve"> </w:t>
      </w:r>
      <w:r>
        <w:rPr>
          <w:b/>
        </w:rPr>
        <w:t xml:space="preserve">ILAE</w:t>
      </w:r>
      <w:r>
        <w:t xml:space="preserve"> </w:t>
      </w:r>
      <w:r>
        <w:t xml:space="preserve">summary statistics.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latform-fit-and-reproducibility"/>
      <w:r>
        <w:t xml:space="preserve">Platform fit and reproducibility</w:t>
      </w:r>
      <w:bookmarkEnd w:id="22"/>
    </w:p>
    <w:p>
      <w:pPr>
        <w:pStyle w:val="FirstParagraph"/>
      </w:pPr>
      <w:r>
        <w:rPr>
          <w:b/>
        </w:rPr>
        <w:t xml:space="preserve">Published stack:</w:t>
      </w:r>
      <w:r>
        <w:t xml:space="preserve"> </w:t>
      </w:r>
      <w:r>
        <w:t xml:space="preserve">standard post-GWAS</w:t>
      </w:r>
      <w:r>
        <w:t xml:space="preserve"> </w:t>
      </w:r>
      <w:r>
        <w:rPr>
          <w:b/>
        </w:rPr>
        <w:t xml:space="preserve">gene</w:t>
      </w:r>
      <w:r>
        <w:t xml:space="preserve"> </w:t>
      </w:r>
      <w:r>
        <w:t xml:space="preserve">analysis; clear split between summary stats and functional priors (expression, chromatin, methylation).</w:t>
      </w:r>
    </w:p>
    <w:p>
      <w:pPr>
        <w:pStyle w:val="BodyText"/>
      </w:pPr>
      <w:r>
        <w:rPr>
          <w:b/>
        </w:rPr>
        <w:t xml:space="preserve">Typical implementation strengths:</w:t>
      </w:r>
      <w:r>
        <w:t xml:space="preserve"> </w:t>
      </w:r>
      <w:r>
        <w:rPr>
          <w:rStyle w:val="VerbatimChar"/>
        </w:rPr>
        <w:t xml:space="preserve">./gene install</w:t>
      </w:r>
      <w:r>
        <w:t xml:space="preserve"> </w:t>
      </w:r>
      <w:r>
        <w:t xml:space="preserve">chains downloads + ILAE unzip +</w:t>
      </w:r>
      <w:r>
        <w:t xml:space="preserve"> </w:t>
      </w:r>
      <w:r>
        <w:rPr>
          <w:b/>
        </w:rPr>
        <w:t xml:space="preserve">three-column</w:t>
      </w:r>
      <w:r>
        <w:t xml:space="preserve"> </w:t>
      </w:r>
      <w:r>
        <w:t xml:space="preserve">p-value files;</w:t>
      </w:r>
      <w:r>
        <w:t xml:space="preserve"> </w:t>
      </w:r>
      <w:r>
        <w:rPr>
          <w:rStyle w:val="VerbatimChar"/>
        </w:rPr>
        <w:t xml:space="preserve">./gene start</w:t>
      </w:r>
      <w:r>
        <w:t xml:space="preserve"> </w:t>
      </w:r>
      <w:r>
        <w:t xml:space="preserve">batches phenotypes in the background;</w:t>
      </w:r>
      <w:r>
        <w:t xml:space="preserve"> </w:t>
      </w:r>
      <w:r>
        <w:rPr>
          <w:rStyle w:val="VerbatimChar"/>
        </w:rPr>
        <w:t xml:space="preserve">./gene checks</w:t>
      </w:r>
      <w:r>
        <w:t xml:space="preserve"> </w:t>
      </w:r>
      <w:r>
        <w:t xml:space="preserve">validates inputs and counts</w:t>
      </w:r>
      <w:r>
        <w:t xml:space="preserve"> </w:t>
      </w:r>
      <w:r>
        <w:rPr>
          <w:rStyle w:val="VerbatimChar"/>
        </w:rPr>
        <w:t xml:space="preserve">*.genes.out</w:t>
      </w:r>
      <w:r>
        <w:t xml:space="preserve">.</w:t>
      </w:r>
    </w:p>
    <w:p>
      <w:pPr>
        <w:pStyle w:val="BodyText"/>
      </w:pPr>
      <w:r>
        <w:rPr>
          <w:b/>
        </w:rPr>
        <w:t xml:space="preserve">Friction:</w:t>
      </w:r>
      <w:r>
        <w:t xml:space="preserve"> </w:t>
      </w:r>
      <w:r>
        <w:rPr>
          <w:b/>
        </w:rPr>
        <w:t xml:space="preserve">MAGMA v1.10</w:t>
      </w:r>
      <w:r>
        <w:t xml:space="preserve"> </w:t>
      </w:r>
      <w:r>
        <w:t xml:space="preserve">expects</w:t>
      </w:r>
      <w:r>
        <w:t xml:space="preserve"> </w:t>
      </w:r>
      <w:r>
        <w:rPr>
          <w:b/>
        </w:rPr>
        <w:t xml:space="preserve">SNP, P, N</w:t>
      </w:r>
      <w:r>
        <w:t xml:space="preserve"> </w:t>
      </w:r>
      <w:r>
        <w:t xml:space="preserve">(</w:t>
      </w:r>
      <w:r>
        <w:rPr>
          <w:rStyle w:val="VerbatimChar"/>
        </w:rPr>
        <w:t xml:space="preserve">ncol=3</w:t>
      </w:r>
      <w:r>
        <w:t xml:space="preserve">); ILAE</w:t>
      </w:r>
      <w:r>
        <w:t xml:space="preserve"> </w:t>
      </w:r>
      <w:r>
        <w:rPr>
          <w:rStyle w:val="VerbatimChar"/>
        </w:rPr>
        <w:t xml:space="preserve">.tbl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Effective_N</w:t>
      </w:r>
      <w:r>
        <w:t xml:space="preserve">. Large</w:t>
      </w:r>
      <w:r>
        <w:t xml:space="preserve"> </w:t>
      </w:r>
      <w:r>
        <w:rPr>
          <w:b/>
        </w:rPr>
        <w:t xml:space="preserve">ILAE</w:t>
      </w:r>
      <w:r>
        <w:t xml:space="preserve"> </w:t>
      </w:r>
      <w:r>
        <w:t xml:space="preserve">zip (~1.8 GB) and</w:t>
      </w:r>
      <w:r>
        <w:t xml:space="preserve"> </w:t>
      </w:r>
      <w:r>
        <w:rPr>
          <w:b/>
        </w:rPr>
        <w:t xml:space="preserve">g1000_eur</w:t>
      </w:r>
      <w:r>
        <w:t xml:space="preserve"> </w:t>
      </w:r>
      <w:r>
        <w:t xml:space="preserve">(~488 MB) need bandwidth and disk.</w:t>
      </w:r>
      <w:r>
        <w:t xml:space="preserve"> </w:t>
      </w:r>
      <w:r>
        <w:rPr>
          <w:b/>
        </w:rPr>
        <w:t xml:space="preserve">ME-MAGMA:</w:t>
      </w:r>
      <w:r>
        <w:t xml:space="preserve"> </w:t>
      </w:r>
      <w:r>
        <w:t xml:space="preserve">if paper annotations are not shared, a builder may use</w:t>
      </w:r>
      <w:r>
        <w:t xml:space="preserve"> </w:t>
      </w:r>
      <w:r>
        <w:rPr>
          <w:b/>
        </w:rPr>
        <w:t xml:space="preserve">Schulz 2017</w:t>
      </w:r>
      <w:r>
        <w:t xml:space="preserve"> </w:t>
      </w:r>
      <w:r>
        <w:t xml:space="preserve">imputed meQTL + 450k manifest—</w:t>
      </w:r>
      <w:r>
        <w:rPr>
          <w:b/>
        </w:rPr>
        <w:t xml:space="preserve">logic-aligned</w:t>
      </w:r>
      <w:r>
        <w:t xml:space="preserve">, not byte-identical.</w:t>
      </w:r>
    </w:p>
    <w:p>
      <w:pPr>
        <w:pStyle w:val="BodyText"/>
      </w:pPr>
      <w:r>
        <w:rPr>
          <w:b/>
        </w:rPr>
        <w:t xml:space="preserve">Reproducibility — aligned with the paper</w:t>
      </w:r>
    </w:p>
    <w:p>
      <w:pPr>
        <w:numPr>
          <w:ilvl w:val="0"/>
          <w:numId w:val="1001"/>
        </w:numPr>
        <w:pStyle w:val="Compact"/>
      </w:pPr>
      <w:r>
        <w:t xml:space="preserve">Public</w:t>
      </w:r>
      <w:r>
        <w:t xml:space="preserve"> </w:t>
      </w:r>
      <w:r>
        <w:rPr>
          <w:b/>
        </w:rPr>
        <w:t xml:space="preserve">ILAE3</w:t>
      </w:r>
      <w:r>
        <w:t xml:space="preserve"> </w:t>
      </w:r>
      <w:r>
        <w:t xml:space="preserve">sumstats (EPIGAD); public MAGMA / E- / H-MAGMA assets; pinned tool versions when documented.</w:t>
      </w:r>
    </w:p>
    <w:p>
      <w:pPr>
        <w:pStyle w:val="FirstParagraph"/>
      </w:pPr>
      <w:r>
        <w:rPr>
          <w:b/>
        </w:rPr>
        <w:t xml:space="preserve">Gaps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LD reference:</w:t>
      </w:r>
      <w:r>
        <w:t xml:space="preserve"> </w:t>
      </w:r>
      <w:r>
        <w:t xml:space="preserve">paper may use</w:t>
      </w:r>
      <w:r>
        <w:t xml:space="preserve"> </w:t>
      </w:r>
      <w:r>
        <w:rPr>
          <w:b/>
        </w:rPr>
        <w:t xml:space="preserve">ILAE2</w:t>
      </w:r>
      <w:r>
        <w:t xml:space="preserve"> </w:t>
      </w:r>
      <w:r>
        <w:t xml:space="preserve">European genotypes where available; defaults to</w:t>
      </w:r>
      <w:r>
        <w:t xml:space="preserve"> </w:t>
      </w:r>
      <w:r>
        <w:rPr>
          <w:b/>
        </w:rPr>
        <w:t xml:space="preserve">1000 Genomes EUR</w:t>
      </w:r>
      <w:r>
        <w:t xml:space="preserve"> </w:t>
      </w:r>
      <w:r>
        <w:t xml:space="preserve">are common but can shift gene</w:t>
      </w:r>
      <w:r>
        <w:t xml:space="preserve"> </w:t>
      </w:r>
      <w:r>
        <w:rPr>
          <w:i/>
        </w:rPr>
        <w:t xml:space="preserve">p</w:t>
      </w:r>
      <w:r>
        <w:t xml:space="preserve">-values vs. ILAE2-LD.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ME-MAGMA:</w:t>
      </w:r>
      <w:r>
        <w:t xml:space="preserve"> </w:t>
      </w:r>
      <w:r>
        <w:t xml:space="preserve">rebuilt annotation +</w:t>
      </w:r>
      <w:r>
        <w:t xml:space="preserve"> </w:t>
      </w:r>
      <w:r>
        <w:rPr>
          <w:i/>
        </w:rPr>
        <w:t xml:space="preserve">p</w:t>
      </w:r>
      <w:r>
        <w:t xml:space="preserve">-cutoff (e.g. </w:t>
      </w:r>
      <w:r>
        <w:rPr>
          <w:rStyle w:val="VerbatimChar"/>
        </w:rPr>
        <w:t xml:space="preserve">1e-4</w:t>
      </w:r>
      <w:r>
        <w:t xml:space="preserve">) affects inclusion; not a deterministic replay of undisclosed author files.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Role of a wrapper: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runnable, documented</w:t>
      </w:r>
      <w:r>
        <w:t xml:space="preserve"> </w:t>
      </w:r>
      <w:r>
        <w:t xml:space="preserve">pipeline—not a claim to re-validate every gene in the paper line by 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erformance-generalization-comparison"/>
      <w:r>
        <w:t xml:space="preserve">Performance, generalization, comparison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MAGMA over</w:t>
      </w:r>
      <w:r>
        <w:t xml:space="preserve"> </w:t>
      </w:r>
      <w:r>
        <w:rPr>
          <w:b/>
        </w:rPr>
        <w:t xml:space="preserve">~4.8M SNPs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~52k genes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CPU-heavy</w:t>
      </w:r>
      <w:r>
        <w:t xml:space="preserve"> </w:t>
      </w:r>
      <w:r>
        <w:t xml:space="preserve">(tens of minutes × annotations × phenotypes).</w:t>
      </w:r>
      <w:r>
        <w:t xml:space="preserve"> </w:t>
      </w:r>
      <w:r>
        <w:rPr>
          <w:b/>
        </w:rPr>
        <w:t xml:space="preserve">NFS</w:t>
      </w:r>
      <w:r>
        <w:t xml:space="preserve"> </w:t>
      </w:r>
      <w:r>
        <w:t xml:space="preserve">home latency hurts; fast local disk helps. Wrapper</w:t>
      </w:r>
      <w:r>
        <w:t xml:space="preserve"> </w:t>
      </w:r>
      <w:r>
        <w:rPr>
          <w:rStyle w:val="VerbatimChar"/>
          <w:b/>
        </w:rPr>
        <w:t xml:space="preserve">checks</w:t>
      </w:r>
      <w:r>
        <w:t xml:space="preserve"> </w:t>
      </w:r>
      <w:r>
        <w:t xml:space="preserve">confirm</w:t>
      </w:r>
      <w:r>
        <w:t xml:space="preserve"> </w:t>
      </w:r>
      <w:r>
        <w:rPr>
          <w:b/>
        </w:rPr>
        <w:t xml:space="preserve">artifacts</w:t>
      </w:r>
      <w:r>
        <w:t xml:space="preserve">, not wall-clock parity with the paper.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Generalization:</w:t>
      </w:r>
      <w:r>
        <w:t xml:space="preserve"> </w:t>
      </w:r>
      <w:r>
        <w:t xml:space="preserve">ILAE</w:t>
      </w:r>
      <w:r>
        <w:t xml:space="preserve"> </w:t>
      </w:r>
      <w:r>
        <w:rPr>
          <w:b/>
        </w:rPr>
        <w:t xml:space="preserve">.tbl</w:t>
      </w:r>
      <w:r>
        <w:t xml:space="preserve"> </w:t>
      </w:r>
      <w:r>
        <w:t xml:space="preserve">format is specific (</w:t>
      </w:r>
      <w:r>
        <w:rPr>
          <w:rStyle w:val="VerbatimChar"/>
        </w:rPr>
        <w:t xml:space="preserve">MarkerName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P-value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Effective_N</w:t>
      </w:r>
      <w:r>
        <w:t xml:space="preserve">); other cohorts need mapping or conventions. Outputs are</w:t>
      </w:r>
      <w:r>
        <w:t xml:space="preserve"> </w:t>
      </w:r>
      <w:r>
        <w:rPr>
          <w:b/>
        </w:rPr>
        <w:t xml:space="preserve">research</w:t>
      </w:r>
      <w:r>
        <w:t xml:space="preserve"> </w:t>
      </w:r>
      <w:r>
        <w:t xml:space="preserve">gene lists—not clinical directives.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Comparison:</w:t>
      </w:r>
      <w:r>
        <w:t xml:space="preserve"> </w:t>
      </w:r>
      <w:r>
        <w:t xml:space="preserve">E-/H-/ME-MAGMA differ by</w:t>
      </w:r>
      <w:r>
        <w:t xml:space="preserve"> </w:t>
      </w:r>
      <w:r>
        <w:rPr>
          <w:b/>
        </w:rPr>
        <w:t xml:space="preserve">which SNPs</w:t>
      </w:r>
      <w:r>
        <w:t xml:space="preserve"> </w:t>
      </w:r>
      <w:r>
        <w:t xml:space="preserve">count per gene—</w:t>
      </w:r>
      <w:r>
        <w:rPr>
          <w:b/>
        </w:rPr>
        <w:t xml:space="preserve">complementary</w:t>
      </w:r>
      <w:r>
        <w:t xml:space="preserve"> </w:t>
      </w:r>
      <w:r>
        <w:t xml:space="preserve">rankings, not one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f38453e7b81dbf353ecd4d59ff5408f2fc5f70"/>
      <w:r>
        <w:t xml:space="preserve">Clinical relevance, interpretability, integration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Research:</w:t>
      </w:r>
      <w:r>
        <w:t xml:space="preserve"> </w:t>
      </w:r>
      <w:r>
        <w:t xml:space="preserve">useful for</w:t>
      </w:r>
      <w:r>
        <w:t xml:space="preserve"> </w:t>
      </w:r>
      <w:r>
        <w:rPr>
          <w:b/>
        </w:rPr>
        <w:t xml:space="preserve">genetic architecture</w:t>
      </w:r>
      <w:r>
        <w:t xml:space="preserve"> </w:t>
      </w:r>
      <w:r>
        <w:t xml:space="preserve">of epilepsy subtypes (GGE vs focal vs all-epilepsy), pathways, and follow-up variant interpretation.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bedside validation or treatment choice.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*.genes.out</w:t>
      </w:r>
      <w:r>
        <w:rPr>
          <w:b/>
        </w:rPr>
        <w:t xml:space="preserve">:</w:t>
      </w:r>
      <w:r>
        <w:t xml:space="preserve"> </w:t>
      </w:r>
      <w:r>
        <w:t xml:space="preserve">gene ID, interval, SNP count,</w:t>
      </w:r>
      <w:r>
        <w:t xml:space="preserve"> </w:t>
      </w:r>
      <w:r>
        <w:rPr>
          <w:b/>
        </w:rPr>
        <w:t xml:space="preserve">ZSTAT</w:t>
      </w:r>
      <w:r>
        <w:t xml:space="preserve">,</w:t>
      </w:r>
      <w:r>
        <w:t xml:space="preserve"> </w:t>
      </w:r>
      <w:r>
        <w:rPr>
          <w:b/>
        </w:rPr>
        <w:t xml:space="preserve">P</w:t>
      </w:r>
      <w:r>
        <w:t xml:space="preserve">.</w:t>
      </w:r>
      <w:r>
        <w:t xml:space="preserve"> </w:t>
      </w:r>
      <w:r>
        <w:rPr>
          <w:b/>
        </w:rPr>
        <w:t xml:space="preserve">FDR</w:t>
      </w:r>
      <w:r>
        <w:t xml:space="preserve"> </w:t>
      </w:r>
      <w:r>
        <w:t xml:space="preserve">scripts (e.g. per-file in R)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automatically unified across annotations—interpret</w:t>
      </w:r>
      <w:r>
        <w:t xml:space="preserve"> </w:t>
      </w:r>
      <w:r>
        <w:rPr>
          <w:b/>
        </w:rPr>
        <w:t xml:space="preserve">calibration</w:t>
      </w:r>
      <w:r>
        <w:t xml:space="preserve"> </w:t>
      </w:r>
      <w:r>
        <w:t xml:space="preserve">with LD, annotation build, and GWAS</w:t>
      </w:r>
      <w:r>
        <w:t xml:space="preserve"> </w:t>
      </w:r>
      <w:r>
        <w:rPr>
          <w:b/>
        </w:rPr>
        <w:t xml:space="preserve">winner’s curse</w:t>
      </w:r>
      <w:r>
        <w:t xml:space="preserve"> </w:t>
      </w:r>
      <w:r>
        <w:t xml:space="preserve">in mind.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R/tidyverse downstream; optional VarElect; Entrez links to external DBs.</w:t>
      </w:r>
      <w:r>
        <w:t xml:space="preserve"> </w:t>
      </w:r>
      <w:r>
        <w:rPr>
          <w:rStyle w:val="VerbatimChar"/>
          <w:b/>
        </w:rPr>
        <w:t xml:space="preserve">./gene</w:t>
      </w:r>
      <w:r>
        <w:t xml:space="preserve"> </w:t>
      </w:r>
      <w:r>
        <w:t xml:space="preserve">adds</w:t>
      </w:r>
      <w:r>
        <w:t xml:space="preserve"> </w:t>
      </w:r>
      <w:r>
        <w:rPr>
          <w:b/>
        </w:rPr>
        <w:t xml:space="preserve">ops</w:t>
      </w:r>
      <w:r>
        <w:t xml:space="preserve">, not LIMS or dbGaP plumbing.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imitations-and-builder-insight"/>
      <w:r>
        <w:t xml:space="preserve">Limitations and builder insight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Mirrors</w:t>
      </w:r>
      <w:r>
        <w:t xml:space="preserve"> </w:t>
      </w:r>
      <w:r>
        <w:t xml:space="preserve">(VU, Zenodo, EPIGAD) can change; pin URLs in</w:t>
      </w:r>
      <w:r>
        <w:t xml:space="preserve"> </w:t>
      </w:r>
      <w:r>
        <w:rPr>
          <w:b/>
        </w:rPr>
        <w:t xml:space="preserve">Sources</w:t>
      </w:r>
      <w:r>
        <w:t xml:space="preserve"> </w:t>
      </w:r>
      <w:r>
        <w:t xml:space="preserve">tables.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MAGMA v1.10:</w:t>
      </w:r>
      <w:r>
        <w:t xml:space="preserve"> </w:t>
      </w:r>
      <w:r>
        <w:t xml:space="preserve">avoid</w:t>
      </w:r>
      <w:r>
        <w:t xml:space="preserve"> </w:t>
      </w:r>
      <w:r>
        <w:rPr>
          <w:rStyle w:val="VerbatimChar"/>
        </w:rPr>
        <w:t xml:space="preserve">ncol=2</w:t>
      </w:r>
      <w:r>
        <w:t xml:space="preserve"> </w:t>
      </w:r>
      <w:r>
        <w:t xml:space="preserve">+ global</w:t>
      </w:r>
      <w:r>
        <w:t xml:space="preserve"> </w:t>
      </w:r>
      <w:r>
        <w:rPr>
          <w:rStyle w:val="VerbatimChar"/>
        </w:rPr>
        <w:t xml:space="preserve">N=</w:t>
      </w:r>
      <w:r>
        <w:t xml:space="preserve"> </w:t>
      </w:r>
      <w:r>
        <w:t xml:space="preserve">patterns that conflict; standardize</w:t>
      </w:r>
      <w:r>
        <w:t xml:space="preserve"> </w:t>
      </w:r>
      <w:r>
        <w:rPr>
          <w:b/>
        </w:rPr>
        <w:t xml:space="preserve">3-column</w:t>
      </w:r>
      <w:r>
        <w:t xml:space="preserve"> </w:t>
      </w:r>
      <w:r>
        <w:t xml:space="preserve">p-values.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Incomplete runs:</w:t>
      </w:r>
      <w:r>
        <w:t xml:space="preserve"> </w:t>
      </w:r>
      <w:r>
        <w:t xml:space="preserve">partial</w:t>
      </w:r>
      <w:r>
        <w:t xml:space="preserve"> </w:t>
      </w:r>
      <w:r>
        <w:rPr>
          <w:rStyle w:val="VerbatimChar"/>
        </w:rPr>
        <w:t xml:space="preserve">*.genes.out</w:t>
      </w:r>
      <w:r>
        <w:t xml:space="preserve"> </w:t>
      </w:r>
      <w:r>
        <w:t xml:space="preserve">if batch stops;</w:t>
      </w:r>
      <w:r>
        <w:t xml:space="preserve"> </w:t>
      </w:r>
      <w:r>
        <w:rPr>
          <w:rStyle w:val="VerbatimChar"/>
          <w:b/>
        </w:rPr>
        <w:t xml:space="preserve">checks</w:t>
      </w:r>
      <w:r>
        <w:t xml:space="preserve"> </w:t>
      </w:r>
      <w:r>
        <w:t xml:space="preserve">may expect a full grid (e.g. phenotypes × annotations when ME exists).</w:t>
      </w:r>
    </w:p>
    <w:p>
      <w:pPr>
        <w:pStyle w:val="FirstParagraph"/>
      </w:pPr>
      <w:r>
        <w:rPr>
          <w:b/>
        </w:rPr>
        <w:t xml:space="preserve">Bottom line:</w:t>
      </w:r>
      <w:r>
        <w:t xml:space="preserve"> </w:t>
      </w:r>
      <w:r>
        <w:t xml:space="preserve">Strong for</w:t>
      </w:r>
      <w:r>
        <w:t xml:space="preserve"> </w:t>
      </w:r>
      <w:r>
        <w:rPr>
          <w:b/>
        </w:rPr>
        <w:t xml:space="preserve">transparent, public-data</w:t>
      </w:r>
      <w:r>
        <w:t xml:space="preserve"> </w:t>
      </w:r>
      <w:r>
        <w:t xml:space="preserve">gene follow-up on ILAE GWAS with multiple priors.</w:t>
      </w:r>
      <w:r>
        <w:t xml:space="preserve"> </w:t>
      </w:r>
      <w:r>
        <w:rPr>
          <w:b/>
        </w:rPr>
        <w:t xml:space="preserve">Builder gap:</w:t>
      </w:r>
      <w:r>
        <w:t xml:space="preserve"> </w:t>
      </w:r>
      <w:r>
        <w:rPr>
          <w:b/>
        </w:rPr>
        <w:t xml:space="preserve">harmonize</w:t>
      </w:r>
      <w:r>
        <w:t xml:space="preserve"> </w:t>
      </w:r>
      <w:r>
        <w:t xml:space="preserve">LD choice, treat</w:t>
      </w:r>
      <w:r>
        <w:t xml:space="preserve"> </w:t>
      </w:r>
      <w:r>
        <w:rPr>
          <w:b/>
        </w:rPr>
        <w:t xml:space="preserve">ME-MAGMA</w:t>
      </w:r>
      <w:r>
        <w:t xml:space="preserve"> </w:t>
      </w:r>
      <w:r>
        <w:t xml:space="preserve">as a reproducible</w:t>
      </w:r>
      <w:r>
        <w:t xml:space="preserve"> </w:t>
      </w:r>
      <w:r>
        <w:rPr>
          <w:b/>
        </w:rPr>
        <w:t xml:space="preserve">approximation</w:t>
      </w:r>
      <w:r>
        <w:t xml:space="preserve"> </w:t>
      </w:r>
      <w:r>
        <w:t xml:space="preserve">when author files are absent, and</w:t>
      </w:r>
      <w:r>
        <w:t xml:space="preserve"> </w:t>
      </w:r>
      <w:r>
        <w:rPr>
          <w:b/>
        </w:rPr>
        <w:t xml:space="preserve">budget compute</w:t>
      </w:r>
      <w:r>
        <w:t xml:space="preserve"> </w:t>
      </w:r>
      <w:r>
        <w:t xml:space="preserve">for full annotation sweeps.</w:t>
      </w:r>
    </w:p>
    <w:p>
      <w:pPr>
        <w:pStyle w:val="BodyText"/>
      </w:pPr>
      <w:r>
        <w:rPr>
          <w:i/>
        </w:rPr>
        <w:t xml:space="preserve">Extensions:</w:t>
      </w:r>
      <w:r>
        <w:t xml:space="preserve"> </w:t>
      </w:r>
      <w:r>
        <w:t xml:space="preserve">Slurm over</w:t>
      </w:r>
      <w:r>
        <w:t xml:space="preserve"> </w:t>
      </w:r>
      <w:r>
        <w:rPr>
          <w:rStyle w:val="VerbatimChar"/>
        </w:rPr>
        <w:t xml:space="preserve">./gene start</w:t>
      </w:r>
      <w:r>
        <w:t xml:space="preserve">; config YAML for phenotype paths; CI</w:t>
      </w:r>
      <w:r>
        <w:t xml:space="preserve"> </w:t>
      </w:r>
      <w:r>
        <w:rPr>
          <w:rStyle w:val="VerbatimChar"/>
          <w:b/>
        </w:rPr>
        <w:t xml:space="preserve">./gene checks</w:t>
      </w:r>
      <w:r>
        <w:t xml:space="preserve"> </w:t>
      </w:r>
      <w:r>
        <w:t xml:space="preserve">on a tiny p-value smoke 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references-selected"/>
      <w:r>
        <w:t xml:space="preserve">References (selected)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Mushunuri et al. 2026</w:t>
      </w:r>
      <w:r>
        <w:t xml:space="preserve"> </w:t>
      </w:r>
      <w:r>
        <w:rPr>
          <w:i/>
        </w:rPr>
        <w:t xml:space="preserve">Epilepsia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DOI</w:t>
        </w:r>
      </w:hyperlink>
      <w:r>
        <w:t xml:space="preserve">.</w:t>
      </w:r>
    </w:p>
    <w:p>
      <w:pPr>
        <w:numPr>
          <w:ilvl w:val="0"/>
          <w:numId w:val="1006"/>
        </w:numPr>
        <w:pStyle w:val="Compact"/>
      </w:pPr>
      <w:hyperlink r:id="rId28">
        <w:r>
          <w:rPr>
            <w:rStyle w:val="Hyperlink"/>
          </w:rPr>
          <w:t xml:space="preserve">gene_epi</w:t>
        </w:r>
      </w:hyperlink>
      <w:r>
        <w:t xml:space="preserve"> </w:t>
      </w:r>
      <w:r>
        <w:t xml:space="preserve">— implementation;</w:t>
      </w:r>
      <w:r>
        <w:t xml:space="preserve"> </w:t>
      </w:r>
      <w:r>
        <w:rPr>
          <w:rStyle w:val="VerbatimChar"/>
        </w:rPr>
        <w:t xml:space="preserve">gene_br.md</w:t>
      </w:r>
      <w:r>
        <w:t xml:space="preserve"> </w:t>
      </w:r>
      <w:r>
        <w:t xml:space="preserve">upstream of this bundle.</w:t>
      </w:r>
    </w:p>
    <w:p>
      <w:pPr>
        <w:numPr>
          <w:ilvl w:val="0"/>
          <w:numId w:val="1006"/>
        </w:numPr>
        <w:pStyle w:val="Compact"/>
      </w:pPr>
      <w:r>
        <w:t xml:space="preserve">MAGMA: https://cncr.nl/research/magma/</w:t>
      </w:r>
    </w:p>
    <w:p>
      <w:pPr>
        <w:numPr>
          <w:ilvl w:val="0"/>
          <w:numId w:val="1006"/>
        </w:numPr>
        <w:pStyle w:val="Compact"/>
      </w:pPr>
      <w:r>
        <w:t xml:space="preserve">ILAE / EPIGAD: https://www.epigad.org/</w:t>
      </w:r>
    </w:p>
    <w:p>
      <w:pPr>
        <w:pStyle w:val="FirstParagraph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i.org/10.1111/epi.70021" TargetMode="External" /><Relationship Type="http://schemas.openxmlformats.org/officeDocument/2006/relationships/hyperlink" Id="rId28" Target="https://github.com/phindagijimana/gene_epi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s://doi.org/10.1111/epi.70021" TargetMode="External" /><Relationship Type="http://schemas.openxmlformats.org/officeDocument/2006/relationships/hyperlink" Id="rId28" Target="https://github.com/phindagijimana/gene_e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2026-04-24T03:09:25Z</dcterms:created>
  <dcterms:modified xsi:type="dcterms:W3CDTF">2026-04-24T03:09:25Z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