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4be2aafe1eb7f5f817f119a2cd7ffca06ec92d"/>
      <w:r>
        <w:t xml:space="preserve">Builder Review — Jiang et al. 2024 (TLE biotypes + SuStaIn)</w:t>
      </w:r>
      <w:bookmarkEnd w:id="20"/>
    </w:p>
    <w:p>
      <w:pPr>
        <w:pStyle w:val="FirstParagraph"/>
      </w:pPr>
      <w:r>
        <w:t xml:space="preserve">Condensed look at the</w:t>
      </w:r>
      <w:r>
        <w:t xml:space="preserve"> </w:t>
      </w:r>
      <w:r>
        <w:rPr>
          <w:i/>
        </w:rPr>
        <w:t xml:space="preserve">Nature Communications</w:t>
      </w:r>
      <w:r>
        <w:t xml:space="preserve"> </w:t>
      </w:r>
      <w:r>
        <w:t xml:space="preserve">study: what a builder can realistically reuse. Layers:</w:t>
      </w:r>
      <w:r>
        <w:t xml:space="preserve"> </w:t>
      </w:r>
      <w:r>
        <w:rPr>
          <w:b/>
        </w:rPr>
        <w:t xml:space="preserve">Can it run?</w:t>
      </w:r>
      <w:r>
        <w:t xml:space="preserve"> </w:t>
      </w:r>
      <w:r>
        <w:rPr>
          <w:b/>
        </w:rPr>
        <w:t xml:space="preserve">Does it work?</w:t>
      </w:r>
      <w:r>
        <w:t xml:space="preserve"> </w:t>
      </w:r>
      <w:r>
        <w:rPr>
          <w:b/>
        </w:rPr>
        <w:t xml:space="preserve">Can it be used?</w:t>
      </w:r>
      <w:r>
        <w:t xml:space="preserve">—plus limitations and takeaway.</w:t>
      </w:r>
    </w:p>
    <w:p>
      <w:pPr>
        <w:pStyle w:val="BodyText"/>
      </w:pPr>
      <w:r>
        <w:rPr>
          <w:b/>
        </w:rPr>
        <w:t xml:space="preserve">Primary reference:</w:t>
      </w:r>
      <w:r>
        <w:t xml:space="preserve"> </w:t>
      </w:r>
      <w:r>
        <w:t xml:space="preserve">Jiang Y, Li W, Li J, et al. </w:t>
      </w:r>
      <w:r>
        <w:rPr>
          <w:i/>
        </w:rPr>
        <w:t xml:space="preserve">Identification of four biotypes in temporal lobe epilepsy via machine learning on brain images.</w:t>
      </w:r>
      <w:r>
        <w:t xml:space="preserve"> </w:t>
      </w:r>
      <w:r>
        <w:t xml:space="preserve">Nat Commun. 2024;15:2221. https://doi.org/10.1038/s41467-024-46629-6</w:t>
      </w:r>
    </w:p>
    <w:p>
      <w:pPr>
        <w:pStyle w:val="BodyText"/>
      </w:pPr>
      <w:r>
        <w:rPr>
          <w:b/>
        </w:rPr>
        <w:t xml:space="preserve">Related work:</w:t>
      </w:r>
      <w:r>
        <w:t xml:space="preserve"> </w:t>
      </w:r>
      <w:r>
        <w:t xml:space="preserve">a replication-oriented kit lives in the</w:t>
      </w:r>
      <w:r>
        <w:t xml:space="preserve"> </w:t>
      </w:r>
      <w:hyperlink r:id="rId21">
        <w:r>
          <w:rPr>
            <w:rStyle w:val="Hyperlink"/>
          </w:rPr>
          <w:t xml:space="preserve">predict_epi</w:t>
        </w:r>
      </w:hyperlink>
      <w:r>
        <w:t xml:space="preserve"> </w:t>
      </w:r>
      <w:r>
        <w:t xml:space="preserve">repo (</w:t>
      </w:r>
      <w:r>
        <w:rPr>
          <w:rStyle w:val="VerbatimChar"/>
        </w:rPr>
        <w:t xml:space="preserve">JIANG_2024_REPLICATION.md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vendor/pySuStaIn/</w:t>
      </w:r>
      <w:r>
        <w:t xml:space="preserve">, public supplementary data where published).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text"/>
      <w:r>
        <w:t xml:space="preserve">Context</w:t>
      </w:r>
      <w:bookmarkEnd w:id="22"/>
    </w:p>
    <w:p>
      <w:pPr>
        <w:pStyle w:val="FirstParagraph"/>
      </w:pPr>
      <w:r>
        <w:t xml:space="preserve">Four MRI-derived</w:t>
      </w:r>
      <w:r>
        <w:t xml:space="preserve"> </w:t>
      </w:r>
      <w:r>
        <w:rPr>
          <w:b/>
        </w:rPr>
        <w:t xml:space="preserve">biotypes</w:t>
      </w:r>
      <w:r>
        <w:t xml:space="preserve"> </w:t>
      </w:r>
      <w:r>
        <w:t xml:space="preserve">in TLE via z-scored regional morphometry and</w:t>
      </w:r>
      <w:r>
        <w:t xml:space="preserve"> </w:t>
      </w:r>
      <w:r>
        <w:rPr>
          <w:b/>
        </w:rPr>
        <w:t xml:space="preserve">SuStaIn</w:t>
      </w:r>
      <w:r>
        <w:t xml:space="preserve">, linked to clinical variables and predictors.</w:t>
      </w:r>
      <w:r>
        <w:t xml:space="preserve"> </w:t>
      </w:r>
      <w:r>
        <w:rPr>
          <w:b/>
        </w:rPr>
        <w:t xml:space="preserve">Raw imaging and subject-level feature matrices are not public;</w:t>
      </w:r>
      <w:r>
        <w:t xml:space="preserve"> </w:t>
      </w:r>
      <w:r>
        <w:t xml:space="preserve">Source Data support summary figures and tables.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an-it-run"/>
      <w:r>
        <w:t xml:space="preserve">Can it run?</w:t>
      </w:r>
      <w:bookmarkEnd w:id="23"/>
    </w:p>
    <w:p>
      <w:pPr>
        <w:pStyle w:val="FirstParagraph"/>
      </w:pPr>
      <w:r>
        <w:rPr>
          <w:b/>
        </w:rPr>
        <w:t xml:space="preserve">What the paper documents:</w:t>
      </w:r>
      <w:r>
        <w:t xml:space="preserve"> </w:t>
      </w:r>
      <w:r>
        <w:t xml:space="preserve">FreeSurfer 6.0, ROI set, z thresholds, MCMC, CVIC; supplements and Source Data on the publisher site.</w:t>
      </w:r>
    </w:p>
    <w:p>
      <w:pPr>
        <w:pStyle w:val="BodyText"/>
      </w:pPr>
      <w:r>
        <w:rPr>
          <w:b/>
        </w:rPr>
        <w:t xml:space="preserve">What you still bring:</w:t>
      </w:r>
      <w:r>
        <w:t xml:space="preserve"> </w:t>
      </w:r>
      <w:r>
        <w:t xml:space="preserve">T1 MRI → cortical/subcortical extraction → comparable z-score table with</w:t>
      </w:r>
      <w:r>
        <w:t xml:space="preserve"> </w:t>
      </w:r>
      <w:r>
        <w:rPr>
          <w:b/>
        </w:rPr>
        <w:t xml:space="preserve">your</w:t>
      </w:r>
      <w:r>
        <w:t xml:space="preserve"> </w:t>
      </w:r>
      <w:r>
        <w:t xml:space="preserve">controls. The predict_epi kit adds a CLI, loaders, figure-style plots from Source Data, and a</w:t>
      </w:r>
      <w:r>
        <w:t xml:space="preserve"> </w:t>
      </w:r>
      <w:r>
        <w:rPr>
          <w:b/>
        </w:rPr>
        <w:t xml:space="preserve">synthetic</w:t>
      </w:r>
      <w:r>
        <w:t xml:space="preserve"> </w:t>
      </w:r>
      <w:r>
        <w:t xml:space="preserve">SuStaIn demo—not a one-click full-cohort replay. Expect Python, optional HPC, and FreeSurfer (or equivalent)</w:t>
      </w:r>
      <w:r>
        <w:t xml:space="preserve"> </w:t>
      </w:r>
      <w:r>
        <w:rPr>
          <w:b/>
        </w:rPr>
        <w:t xml:space="preserve">outside</w:t>
      </w:r>
      <w:r>
        <w:t xml:space="preserve"> </w:t>
      </w:r>
      <w:r>
        <w:t xml:space="preserve">a single repo.</w:t>
      </w:r>
    </w:p>
    <w:p>
      <w:pPr>
        <w:pStyle w:val="BodyText"/>
      </w:pPr>
      <w:r>
        <w:rPr>
          <w:b/>
        </w:rPr>
        <w:t xml:space="preserve">Reproducibility without private data:</w:t>
      </w:r>
      <w:r>
        <w:t xml:space="preserve"> </w:t>
      </w:r>
      <w:r>
        <w:t xml:space="preserve">aggregate plots/tables from Source Data can match published values.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from supplements alone: subject z-scores, full MCMC chains, trajectory order, or individual biotype labels (need the authors’ matrix or refit on a new cohort). Classifiers (e.g. SVM + PCA) share that boundary. Sensitivity to random starts, MCMC length, and control regression is expected; new sites must re-derive z-scores and harmonize.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oes-it-work-will-it-generalize"/>
      <w:r>
        <w:t xml:space="preserve">Does it work? Will it generalize?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Reported metrics are</w:t>
      </w:r>
      <w:r>
        <w:t xml:space="preserve"> </w:t>
      </w:r>
      <w:r>
        <w:rPr>
          <w:b/>
        </w:rPr>
        <w:t xml:space="preserve">tied to their preprocessing and cohort</w:t>
      </w:r>
      <w:r>
        <w:t xml:space="preserve">—</w:t>
      </w:r>
      <w:r>
        <w:rPr>
          <w:b/>
        </w:rPr>
        <w:t xml:space="preserve">validate on your data</w:t>
      </w:r>
      <w:r>
        <w:t xml:space="preserve">; do not assume portability.</w:t>
      </w:r>
    </w:p>
    <w:p>
      <w:pPr>
        <w:numPr>
          <w:ilvl w:val="0"/>
          <w:numId w:val="1001"/>
        </w:numPr>
        <w:pStyle w:val="Compact"/>
      </w:pPr>
      <w:r>
        <w:t xml:space="preserve">The bundled synthetic run only exercises the Z-score / piecewise</w:t>
      </w:r>
      <w:r>
        <w:t xml:space="preserve"> </w:t>
      </w:r>
      <w:r>
        <w:rPr>
          <w:b/>
        </w:rPr>
        <w:t xml:space="preserve">model class</w:t>
      </w:r>
      <w:r>
        <w:t xml:space="preserve">—not a benchmark against the paper’s full metrics.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Single-cohort</w:t>
      </w:r>
      <w:r>
        <w:t xml:space="preserve"> </w:t>
      </w:r>
      <w:r>
        <w:t xml:space="preserve">study: cross-scanner, cross-site, pediatric, or mixed populations not established. SuStaIn subtypes depend on the normative model and ROI set; atlas or software changes shift the space. There is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public pretrained pickle that assigns to the authors’ four biotypes out of the box.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9bd50c18f03a1da63b2ff359c08f3e9d6f8d6ef"/>
      <w:r>
        <w:t xml:space="preserve">Can it be used? (clinical / integration / trust)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Biotypes and stages could support</w:t>
      </w:r>
      <w:r>
        <w:t xml:space="preserve"> </w:t>
      </w:r>
      <w:r>
        <w:rPr>
          <w:b/>
        </w:rPr>
        <w:t xml:space="preserve">stratification and trial design</w:t>
      </w:r>
      <w:r>
        <w:t xml:space="preserve"> </w:t>
      </w:r>
      <w:r>
        <w:t xml:space="preserve">if validated locally—not a CADx or deployment story in the paper; regulation would need separate evidence.</w:t>
      </w:r>
    </w:p>
    <w:p>
      <w:pPr>
        <w:numPr>
          <w:ilvl w:val="0"/>
          <w:numId w:val="1002"/>
        </w:numPr>
        <w:pStyle w:val="Compact"/>
      </w:pPr>
      <w:r>
        <w:t xml:space="preserve">Routine clinical pipelines rarely output the exact</w:t>
      </w:r>
      <w:r>
        <w:t xml:space="preserve"> </w:t>
      </w:r>
      <w:r>
        <w:rPr>
          <w:b/>
        </w:rPr>
        <w:t xml:space="preserve">ROI z-score</w:t>
      </w:r>
      <w:r>
        <w:t xml:space="preserve"> </w:t>
      </w:r>
      <w:r>
        <w:t xml:space="preserve">table SuStaIn needs;</w:t>
      </w:r>
      <w:r>
        <w:t xml:space="preserve"> </w:t>
      </w:r>
      <w:r>
        <w:rPr>
          <w:b/>
        </w:rPr>
        <w:t xml:space="preserve">research-grade</w:t>
      </w:r>
      <w:r>
        <w:t xml:space="preserve"> </w:t>
      </w:r>
      <w:r>
        <w:t xml:space="preserve">preprocessing is still required.</w:t>
      </w:r>
    </w:p>
    <w:p>
      <w:pPr>
        <w:numPr>
          <w:ilvl w:val="0"/>
          <w:numId w:val="1002"/>
        </w:numPr>
        <w:pStyle w:val="Compact"/>
      </w:pPr>
      <w:r>
        <w:t xml:space="preserve">SuStaIn is relatively</w:t>
      </w:r>
      <w:r>
        <w:t xml:space="preserve"> </w:t>
      </w:r>
      <w:r>
        <w:rPr>
          <w:b/>
        </w:rPr>
        <w:t xml:space="preserve">interpretable</w:t>
      </w:r>
      <w:r>
        <w:t xml:space="preserve"> </w:t>
      </w:r>
      <w:r>
        <w:t xml:space="preserve">(ordered ROI events, subtype means) vs. a black box;</w:t>
      </w:r>
      <w:r>
        <w:t xml:space="preserve"> </w:t>
      </w:r>
      <w:r>
        <w:rPr>
          <w:b/>
        </w:rPr>
        <w:t xml:space="preserve">trust</w:t>
      </w:r>
      <w:r>
        <w:t xml:space="preserve"> </w:t>
      </w:r>
      <w:r>
        <w:t xml:space="preserve">still depends on FreeSurfer QC, motion, segmentation—failures can cluster by biotype.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Research fit:</w:t>
      </w:r>
      <w:r>
        <w:t xml:space="preserve"> </w:t>
      </w:r>
      <w:r>
        <w:t xml:space="preserve">pySuStaIn, ENIGMA-style viz, BIDS + containers.</w:t>
      </w:r>
      <w:r>
        <w:t xml:space="preserve"> </w:t>
      </w:r>
      <w:r>
        <w:rPr>
          <w:b/>
        </w:rPr>
        <w:t xml:space="preserve">Clinical fit:</w:t>
      </w:r>
      <w:r>
        <w:t xml:space="preserve"> </w:t>
      </w:r>
      <w:r>
        <w:t xml:space="preserve">DICOM → morphometry → QC → SuStaIn → reporting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turnkey from supplements alone.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limitations"/>
      <w:r>
        <w:t xml:space="preserve">Limitations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Private features block</w:t>
      </w:r>
      <w:r>
        <w:t xml:space="preserve"> </w:t>
      </w:r>
      <w:r>
        <w:rPr>
          <w:b/>
        </w:rPr>
        <w:t xml:space="preserve">numerical</w:t>
      </w:r>
      <w:r>
        <w:t xml:space="preserve"> </w:t>
      </w:r>
      <w:r>
        <w:t xml:space="preserve">replication of the authors’ SuStaIn fits.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CVIC</w:t>
      </w:r>
      <w:r>
        <w:t xml:space="preserve"> </w:t>
      </w:r>
      <w:r>
        <w:t xml:space="preserve">and trajectory structure can shift with cohort composition.</w:t>
      </w:r>
    </w:p>
    <w:p>
      <w:pPr>
        <w:numPr>
          <w:ilvl w:val="0"/>
          <w:numId w:val="1003"/>
        </w:numPr>
        <w:pStyle w:val="Compact"/>
      </w:pPr>
      <w:r>
        <w:t xml:space="preserve">Imbalance, comorbidities, and surgical selection can distort biotype–outcome links if unmodeled.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Synthetic demo ≠ empirical</w:t>
      </w:r>
      <w:r>
        <w:t xml:space="preserve"> </w:t>
      </w:r>
      <w:r>
        <w:t xml:space="preserve">results.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uilder-insight"/>
      <w:r>
        <w:t xml:space="preserve">Builder insight</w:t>
      </w:r>
      <w:bookmarkEnd w:id="27"/>
    </w:p>
    <w:p>
      <w:pPr>
        <w:pStyle w:val="FirstParagraph"/>
      </w:pPr>
      <w:r>
        <w:t xml:space="preserve">Strong framing and public summaries; the</w:t>
      </w:r>
      <w:r>
        <w:t xml:space="preserve"> </w:t>
      </w:r>
      <w:r>
        <w:rPr>
          <w:b/>
        </w:rPr>
        <w:t xml:space="preserve">practical gap</w:t>
      </w:r>
      <w:r>
        <w:t xml:space="preserve"> </w:t>
      </w:r>
      <w:r>
        <w:t xml:space="preserve">is the missing feature matrix and</w:t>
      </w:r>
      <w:r>
        <w:t xml:space="preserve"> </w:t>
      </w:r>
      <w:r>
        <w:rPr>
          <w:b/>
        </w:rPr>
        <w:t xml:space="preserve">harmonization</w:t>
      </w:r>
      <w:r>
        <w:t xml:space="preserve"> </w:t>
      </w:r>
      <w:r>
        <w:t xml:space="preserve">for new sites. Reasonable path:</w:t>
      </w:r>
      <w:r>
        <w:t xml:space="preserve"> </w:t>
      </w:r>
      <w:r>
        <w:rPr>
          <w:b/>
        </w:rPr>
        <w:t xml:space="preserve">standardize preprocessing</w:t>
      </w:r>
      <w:r>
        <w:t xml:space="preserve">, mirror ROI/covariate regression,</w:t>
      </w:r>
      <w:r>
        <w:t xml:space="preserve"> </w:t>
      </w:r>
      <w:r>
        <w:rPr>
          <w:b/>
        </w:rPr>
        <w:t xml:space="preserve">refit</w:t>
      </w:r>
      <w:r>
        <w:t xml:space="preserve"> </w:t>
      </w:r>
      <w:r>
        <w:t xml:space="preserve">SuStaIn, then</w:t>
      </w:r>
      <w:r>
        <w:t xml:space="preserve"> </w:t>
      </w:r>
      <w:r>
        <w:rPr>
          <w:b/>
        </w:rPr>
        <w:t xml:space="preserve">prospective</w:t>
      </w:r>
      <w:r>
        <w:t xml:space="preserve"> </w:t>
      </w:r>
      <w:r>
        <w:t xml:space="preserve">validation before any deployment story.</w:t>
      </w:r>
    </w:p>
    <w:p>
      <w:pPr>
        <w:pStyle w:val="BodyText"/>
      </w:pPr>
      <w:r>
        <w:rPr>
          <w:i/>
        </w:rPr>
        <w:t xml:space="preserve">Possible next steps (where useful):</w:t>
      </w:r>
      <w:r>
        <w:t xml:space="preserve"> </w:t>
      </w:r>
      <w:r>
        <w:t xml:space="preserve">minimal simulated data matching the feature schema; pinned FreeSurfer + analysis</w:t>
      </w:r>
      <w:r>
        <w:t xml:space="preserve"> </w:t>
      </w:r>
      <w:r>
        <w:rPr>
          <w:b/>
        </w:rPr>
        <w:t xml:space="preserve">container</w:t>
      </w:r>
      <w:r>
        <w:t xml:space="preserve"> </w:t>
      </w:r>
      <w:r>
        <w:t xml:space="preserve">recipe; pre-registered</w:t>
      </w:r>
      <w:r>
        <w:t xml:space="preserve"> </w:t>
      </w:r>
      <w:r>
        <w:rPr>
          <w:b/>
        </w:rPr>
        <w:t xml:space="preserve">stability</w:t>
      </w:r>
      <w:r>
        <w:t xml:space="preserve"> </w:t>
      </w:r>
      <w:r>
        <w:t xml:space="preserve">on external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erences-selected"/>
      <w:r>
        <w:t xml:space="preserve">References (selected)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Jiang et al. 2024 Nat Commun — TLE biotypes (DOI above).</w:t>
      </w:r>
    </w:p>
    <w:p>
      <w:pPr>
        <w:numPr>
          <w:ilvl w:val="0"/>
          <w:numId w:val="1004"/>
        </w:numPr>
        <w:pStyle w:val="Compact"/>
      </w:pPr>
      <w:r>
        <w:t xml:space="preserve">Young et al. 2018 Nat Commun — SuStaIn methods.</w:t>
      </w:r>
    </w:p>
    <w:p>
      <w:pPr>
        <w:pStyle w:val="FirstParagraph"/>
      </w:pPr>
      <w:r>
        <w:rPr>
          <w:i/>
        </w:rPr>
        <w:t xml:space="preserve">Last updated: 2026-04-23.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phindagijimana/predict_epi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github.com/phindagijimana/predict_e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2026-04-24T03:09:25Z</dcterms:created>
  <dcterms:modified xsi:type="dcterms:W3CDTF">2026-04-24T03:09:25Z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