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17365D"/>
          <w:sz w:val="58"/>
        </w:rPr>
        <w:t>MedAI / EpiSynth</w:t>
      </w:r>
    </w:p>
    <w:p>
      <w:pPr>
        <w:jc w:val="center"/>
      </w:pPr>
      <w:r>
        <w:rPr>
          <w:b/>
          <w:color w:val="2F5597"/>
          <w:sz w:val="36"/>
        </w:rPr>
        <w:t>Annotation ↔ Generation Traceability Audit</w:t>
      </w:r>
    </w:p>
    <w:p>
      <w:pPr>
        <w:jc w:val="center"/>
      </w:pPr>
      <w:r>
        <w:rPr>
          <w:sz w:val="20"/>
        </w:rPr>
        <w:t>Strict evidence review of annotation claims and preservation of the generation architecture</w:t>
        <w:br/>
        <w:t>Version 2.0 • 25 September 2026</w:t>
      </w:r>
    </w:p>
    <w:tbl>
      <w:tblPr>
        <w:tblStyle w:val="TableGrid"/>
        <w:tblW w:type="auto" w:w="0"/>
        <w:tblLook w:firstColumn="1" w:firstRow="1" w:lastColumn="0" w:lastRow="0" w:noHBand="0" w:noVBand="1" w:val="04A0"/>
      </w:tblPr>
      <w:tblGrid>
        <w:gridCol w:w="10368"/>
      </w:tblGrid>
      <w:tr>
        <w:tc>
          <w:tcPr>
            <w:tcW w:type="dxa" w:w="10368"/>
            <w:shd w:fill="E2F0D9"/>
          </w:tcPr>
          <w:p>
            <w:r>
              <w:rPr>
                <w:b/>
                <w:color w:val="17365D"/>
              </w:rPr>
              <w:t>Audit conclusion</w:t>
              <w:br/>
            </w:r>
            <w:r>
              <w:t>The annotation architecture can proceed, but only as a layered application profile: published epilepsy corpora back specific annotation methods/entities; authoritative Phase 3B/3D sources govern clinical semantics; MedAI-specific G0/G1/G2/G3 and provenance objects are explicitly labeled as internal study/benchmark methods. Unresolved concepts remain blocked rather than being invented.</w:t>
            </w:r>
          </w:p>
        </w:tc>
      </w:tr>
    </w:tbl>
    <w:p/>
    <w:p>
      <w:pPr>
        <w:pStyle w:val="Heading1"/>
      </w:pPr>
      <w:r>
        <w:t>1. What was re-verified externally</w:t>
      </w:r>
    </w:p>
    <w:p>
      <w:pPr>
        <w:pStyle w:val="ListBullet"/>
      </w:pPr>
      <w:r>
        <w:t>ExECTv2 (2024): 200 synthetic epilepsy clinic letters; double annotation by trained researchers/clinicians; agreed guidelines; consensus gold; entities include diagnosis, cause, investigations, onset, patient history, prescriptions, seizure frequency, and when diagnosed; authors explicitly note incomplete concept coverage.</w:t>
      </w:r>
    </w:p>
    <w:p>
      <w:pPr>
        <w:pStyle w:val="ListBullet"/>
      </w:pPr>
      <w:r>
        <w:t>ExECT (2019): real clinic-letter extraction/manual review precedent; five source-specific certainty levels; ConText negation; investigation and medication extraction.</w:t>
      </w:r>
    </w:p>
    <w:p>
      <w:pPr>
        <w:pStyle w:val="ListBullet"/>
      </w:pPr>
      <w:r>
        <w:t>EpiDEA (2012): 104 real EMU discharge summaries; manual gold by two clinicians; cohort template included epileptogenic zone, etiology, EEG pattern, current and past antiepileptic medications.</w:t>
      </w:r>
    </w:p>
    <w:p>
      <w:pPr>
        <w:pStyle w:val="ListBullet"/>
      </w:pPr>
      <w:r>
        <w:t>SZFreqExtract (2025): 800 segments from six institutions; manual seizure-frequency phrase and attribute annotation by two authors with biomedical information-extraction experience; exact spans/attributes.</w:t>
      </w:r>
    </w:p>
    <w:tbl>
      <w:tblPr>
        <w:tblStyle w:val="TableGrid"/>
        <w:tblW w:type="auto" w:w="0"/>
        <w:tblLook w:firstColumn="1" w:firstRow="1" w:lastColumn="0" w:lastRow="0" w:noHBand="0" w:noVBand="1" w:val="04A0"/>
      </w:tblPr>
      <w:tblGrid>
        <w:gridCol w:w="10368"/>
      </w:tblGrid>
      <w:tr>
        <w:tc>
          <w:tcPr>
            <w:tcW w:type="dxa" w:w="10368"/>
            <w:shd w:fill="FFF2CC"/>
          </w:tcPr>
          <w:p>
            <w:r>
              <w:rPr>
                <w:b/>
                <w:color w:val="17365D"/>
              </w:rPr>
              <w:t>Correction from earlier shorthand</w:t>
              <w:br/>
            </w:r>
            <w:r>
              <w:t>SZFreqExtract should not be described as clinician annotation based on the audited paper alone. Its annotators are described as authors with prior biomedical text information-extraction experience. This audit corrects that wording.</w:t>
            </w:r>
          </w:p>
        </w:tc>
      </w:tr>
    </w:tbl>
    <w:p/>
    <w:p>
      <w:pPr>
        <w:pStyle w:val="Heading1"/>
      </w:pPr>
      <w:r>
        <w:t>2. Evidence classes used in this audit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3"/>
              </w:rPr>
              <w:t>Class</w:t>
            </w:r>
          </w:p>
        </w:tc>
        <w:tc>
          <w:tcPr>
            <w:tcW w:type="dxa" w:w="5184"/>
            <w:shd w:fill="D9EAF7"/>
          </w:tcPr>
          <w:p>
            <w:r>
              <w:rPr>
                <w:b/>
                <w:sz w:val="13"/>
              </w:rPr>
              <w:t>Meaning</w:t>
            </w:r>
          </w:p>
        </w:tc>
      </w:tr>
      <w:tr>
        <w:tc>
          <w:tcPr>
            <w:tcW w:type="dxa" w:w="5184"/>
          </w:tcPr>
          <w:p>
            <w:pPr>
              <w:spacing w:after="0"/>
            </w:pPr>
            <w:r>
              <w:rPr>
                <w:sz w:val="12"/>
              </w:rPr>
              <w:t>External annotation evidence</w:t>
            </w:r>
          </w:p>
        </w:tc>
        <w:tc>
          <w:tcPr>
            <w:tcW w:type="dxa" w:w="5184"/>
          </w:tcPr>
          <w:p>
            <w:pPr>
              <w:spacing w:after="0"/>
            </w:pPr>
            <w:r>
              <w:rPr>
                <w:sz w:val="12"/>
              </w:rPr>
              <w:t>Published epilepsy corpus/method explicitly supports the annotation entity, attribute, span method, or adjudication precedent.</w:t>
            </w:r>
          </w:p>
        </w:tc>
      </w:tr>
      <w:tr>
        <w:tc>
          <w:tcPr>
            <w:tcW w:type="dxa" w:w="5184"/>
          </w:tcPr>
          <w:p>
            <w:pPr>
              <w:spacing w:after="0"/>
            </w:pPr>
            <w:r>
              <w:rPr>
                <w:sz w:val="12"/>
              </w:rPr>
              <w:t>Authoritative clinical semantics</w:t>
            </w:r>
          </w:p>
        </w:tc>
        <w:tc>
          <w:tcPr>
            <w:tcW w:type="dxa" w:w="5184"/>
          </w:tcPr>
          <w:p>
            <w:pPr>
              <w:spacing w:after="0"/>
            </w:pPr>
            <w:r>
              <w:rPr>
                <w:sz w:val="12"/>
              </w:rPr>
              <w:t>Clinical concept/value comes from the already-audited standards/terminologies in Phase 1/3B/3D, not from an annotation paper.</w:t>
            </w:r>
          </w:p>
        </w:tc>
      </w:tr>
      <w:tr>
        <w:tc>
          <w:tcPr>
            <w:tcW w:type="dxa" w:w="5184"/>
          </w:tcPr>
          <w:p>
            <w:pPr>
              <w:spacing w:after="0"/>
            </w:pPr>
            <w:r>
              <w:rPr>
                <w:sz w:val="12"/>
              </w:rPr>
              <w:t>Internal MedAI method</w:t>
            </w:r>
          </w:p>
        </w:tc>
        <w:tc>
          <w:tcPr>
            <w:tcW w:type="dxa" w:w="5184"/>
          </w:tcPr>
          <w:p>
            <w:pPr>
              <w:spacing w:after="0"/>
            </w:pPr>
            <w:r>
              <w:rPr>
                <w:sz w:val="12"/>
              </w:rPr>
              <w:t>Computational representation or benchmark design created by MedAI; valid as a study method but not presented as an external clinical standard.</w:t>
            </w:r>
          </w:p>
        </w:tc>
      </w:tr>
      <w:tr>
        <w:tc>
          <w:tcPr>
            <w:tcW w:type="dxa" w:w="5184"/>
          </w:tcPr>
          <w:p>
            <w:pPr>
              <w:spacing w:after="0"/>
            </w:pPr>
            <w:r>
              <w:rPr>
                <w:sz w:val="12"/>
              </w:rPr>
              <w:t>Blocked / limited</w:t>
            </w:r>
          </w:p>
        </w:tc>
        <w:tc>
          <w:tcPr>
            <w:tcW w:type="dxa" w:w="5184"/>
          </w:tcPr>
          <w:p>
            <w:pPr>
              <w:spacing w:after="0"/>
            </w:pPr>
            <w:r>
              <w:rPr>
                <w:sz w:val="12"/>
              </w:rPr>
              <w:t>Current evidence does not justify canonical gold or universal normalization.</w:t>
            </w:r>
          </w:p>
        </w:tc>
      </w:tr>
    </w:tbl>
    <w:p/>
    <w:p>
      <w:pPr>
        <w:pStyle w:val="Heading1"/>
      </w:pPr>
      <w:r>
        <w:t>3. Generation-to-annotation traceability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sz w:val="11"/>
              </w:rPr>
              <w:t>Item</w:t>
            </w:r>
          </w:p>
        </w:tc>
        <w:tc>
          <w:tcPr>
            <w:tcW w:type="dxa" w:w="2592"/>
            <w:shd w:fill="D9EAF7"/>
          </w:tcPr>
          <w:p>
            <w:r>
              <w:rPr>
                <w:b/>
                <w:sz w:val="11"/>
              </w:rPr>
              <w:t>Evidence</w:t>
            </w:r>
          </w:p>
        </w:tc>
        <w:tc>
          <w:tcPr>
            <w:tcW w:type="dxa" w:w="2592"/>
            <w:shd w:fill="D9EAF7"/>
          </w:tcPr>
          <w:p>
            <w:r>
              <w:rPr>
                <w:b/>
                <w:sz w:val="11"/>
              </w:rPr>
              <w:t>Decision</w:t>
            </w:r>
          </w:p>
        </w:tc>
        <w:tc>
          <w:tcPr>
            <w:tcW w:type="dxa" w:w="2592"/>
            <w:shd w:fill="D9EAF7"/>
          </w:tcPr>
          <w:p>
            <w:r>
              <w:rPr>
                <w:b/>
                <w:sz w:val="11"/>
              </w:rPr>
              <w:t>Guardrail</w:t>
            </w:r>
          </w:p>
        </w:tc>
      </w:tr>
      <w:tr>
        <w:tc>
          <w:tcPr>
            <w:tcW w:type="dxa" w:w="2592"/>
          </w:tcPr>
          <w:p>
            <w:pPr>
              <w:spacing w:after="0"/>
            </w:pPr>
            <w:r>
              <w:rPr>
                <w:sz w:val="10"/>
              </w:rPr>
              <w:t>ClinicalDocument</w:t>
            </w:r>
          </w:p>
        </w:tc>
        <w:tc>
          <w:tcPr>
            <w:tcW w:type="dxa" w:w="2592"/>
          </w:tcPr>
          <w:p>
            <w:pPr>
              <w:spacing w:after="0"/>
            </w:pPr>
            <w:r>
              <w:rPr>
                <w:sz w:val="10"/>
              </w:rPr>
              <w:t>Phase 3C</w:t>
            </w:r>
          </w:p>
        </w:tc>
        <w:tc>
          <w:tcPr>
            <w:tcW w:type="dxa" w:w="2592"/>
          </w:tcPr>
          <w:p>
            <w:pPr>
              <w:spacing w:after="0"/>
            </w:pPr>
            <w:r>
              <w:rPr>
                <w:sz w:val="10"/>
              </w:rPr>
              <w:t>PRESERVE</w:t>
            </w:r>
          </w:p>
        </w:tc>
        <w:tc>
          <w:tcPr>
            <w:tcW w:type="dxa" w:w="2592"/>
          </w:tcPr>
          <w:p>
            <w:pPr>
              <w:spacing w:after="0"/>
            </w:pPr>
            <w:r>
              <w:rPr>
                <w:sz w:val="10"/>
              </w:rPr>
              <w:t>No external source needed for this software/data-model object.</w:t>
            </w:r>
          </w:p>
        </w:tc>
      </w:tr>
      <w:tr>
        <w:tc>
          <w:tcPr>
            <w:tcW w:type="dxa" w:w="2592"/>
          </w:tcPr>
          <w:p>
            <w:pPr>
              <w:spacing w:after="0"/>
            </w:pPr>
            <w:r>
              <w:rPr>
                <w:sz w:val="10"/>
              </w:rPr>
              <w:t>EvidenceSpan</w:t>
            </w:r>
          </w:p>
        </w:tc>
        <w:tc>
          <w:tcPr>
            <w:tcW w:type="dxa" w:w="2592"/>
          </w:tcPr>
          <w:p>
            <w:pPr>
              <w:spacing w:after="0"/>
            </w:pPr>
            <w:r>
              <w:rPr>
                <w:sz w:val="10"/>
              </w:rPr>
              <w:t>ExECTv2 2024; SZFreqExtract 2025; Phase 3C/4</w:t>
            </w:r>
          </w:p>
        </w:tc>
        <w:tc>
          <w:tcPr>
            <w:tcW w:type="dxa" w:w="2592"/>
          </w:tcPr>
          <w:p>
            <w:pPr>
              <w:spacing w:after="0"/>
            </w:pPr>
            <w:r>
              <w:rPr>
                <w:sz w:val="10"/>
              </w:rPr>
              <w:t>PRESERVE</w:t>
            </w:r>
          </w:p>
        </w:tc>
        <w:tc>
          <w:tcPr>
            <w:tcW w:type="dxa" w:w="2592"/>
          </w:tcPr>
          <w:p>
            <w:pPr>
              <w:spacing w:after="0"/>
            </w:pPr>
            <w:r>
              <w:rPr>
                <w:sz w:val="10"/>
              </w:rPr>
              <w:t>Exact span annotation is externally precedented; MedAI object model is internal.</w:t>
            </w:r>
          </w:p>
        </w:tc>
      </w:tr>
      <w:tr>
        <w:tc>
          <w:tcPr>
            <w:tcW w:type="dxa" w:w="2592"/>
          </w:tcPr>
          <w:p>
            <w:pPr>
              <w:spacing w:after="0"/>
            </w:pPr>
            <w:r>
              <w:rPr>
                <w:sz w:val="10"/>
              </w:rPr>
              <w:t>SourceConcept</w:t>
            </w:r>
          </w:p>
        </w:tc>
        <w:tc>
          <w:tcPr>
            <w:tcW w:type="dxa" w:w="2592"/>
          </w:tcPr>
          <w:p>
            <w:pPr>
              <w:spacing w:after="0"/>
            </w:pPr>
            <w:r>
              <w:rPr>
                <w:sz w:val="10"/>
              </w:rPr>
              <w:t>Phase 3B/3D</w:t>
            </w:r>
          </w:p>
        </w:tc>
        <w:tc>
          <w:tcPr>
            <w:tcW w:type="dxa" w:w="2592"/>
          </w:tcPr>
          <w:p>
            <w:pPr>
              <w:spacing w:after="0"/>
            </w:pPr>
            <w:r>
              <w:rPr>
                <w:sz w:val="10"/>
              </w:rPr>
              <w:t>PRESERVE</w:t>
            </w:r>
          </w:p>
        </w:tc>
        <w:tc>
          <w:tcPr>
            <w:tcW w:type="dxa" w:w="2592"/>
          </w:tcPr>
          <w:p>
            <w:pPr>
              <w:spacing w:after="0"/>
            </w:pPr>
            <w:r>
              <w:rPr>
                <w:sz w:val="10"/>
              </w:rPr>
              <w:t>Clinical meaning must come from upstream authoritative sources, not annotation corpora.</w:t>
            </w:r>
          </w:p>
        </w:tc>
      </w:tr>
      <w:tr>
        <w:tc>
          <w:tcPr>
            <w:tcW w:type="dxa" w:w="2592"/>
          </w:tcPr>
          <w:p>
            <w:pPr>
              <w:spacing w:after="0"/>
            </w:pPr>
            <w:r>
              <w:rPr>
                <w:sz w:val="10"/>
              </w:rPr>
              <w:t>PhenotypeAssertion</w:t>
            </w:r>
          </w:p>
        </w:tc>
        <w:tc>
          <w:tcPr>
            <w:tcW w:type="dxa" w:w="2592"/>
          </w:tcPr>
          <w:p>
            <w:pPr>
              <w:spacing w:after="0"/>
            </w:pPr>
            <w:r>
              <w:rPr>
                <w:sz w:val="10"/>
              </w:rPr>
              <w:t>Phase 3C</w:t>
            </w:r>
          </w:p>
        </w:tc>
        <w:tc>
          <w:tcPr>
            <w:tcW w:type="dxa" w:w="2592"/>
          </w:tcPr>
          <w:p>
            <w:pPr>
              <w:spacing w:after="0"/>
            </w:pPr>
            <w:r>
              <w:rPr>
                <w:sz w:val="10"/>
              </w:rPr>
              <w:t>PRESERVE</w:t>
            </w:r>
          </w:p>
        </w:tc>
        <w:tc>
          <w:tcPr>
            <w:tcW w:type="dxa" w:w="2592"/>
          </w:tcPr>
          <w:p>
            <w:pPr>
              <w:spacing w:after="0"/>
            </w:pPr>
            <w:r>
              <w:rPr>
                <w:sz w:val="10"/>
              </w:rPr>
              <w:t>MedAI computational representation; do not present as published ontology.</w:t>
            </w:r>
          </w:p>
        </w:tc>
      </w:tr>
      <w:tr>
        <w:tc>
          <w:tcPr>
            <w:tcW w:type="dxa" w:w="2592"/>
          </w:tcPr>
          <w:p>
            <w:pPr>
              <w:spacing w:after="0"/>
            </w:pPr>
            <w:r>
              <w:rPr>
                <w:sz w:val="10"/>
              </w:rPr>
              <w:t>DIRECT</w:t>
            </w:r>
          </w:p>
        </w:tc>
        <w:tc>
          <w:tcPr>
            <w:tcW w:type="dxa" w:w="2592"/>
          </w:tcPr>
          <w:p>
            <w:pPr>
              <w:spacing w:after="0"/>
            </w:pPr>
            <w:r>
              <w:rPr>
                <w:sz w:val="10"/>
              </w:rPr>
              <w:t>Phase 3C/4</w:t>
            </w:r>
          </w:p>
        </w:tc>
        <w:tc>
          <w:tcPr>
            <w:tcW w:type="dxa" w:w="2592"/>
          </w:tcPr>
          <w:p>
            <w:pPr>
              <w:spacing w:after="0"/>
            </w:pPr>
            <w:r>
              <w:rPr>
                <w:sz w:val="10"/>
              </w:rPr>
              <w:t>PRESERVE</w:t>
            </w:r>
          </w:p>
        </w:tc>
        <w:tc>
          <w:tcPr>
            <w:tcW w:type="dxa" w:w="2592"/>
          </w:tcPr>
          <w:p>
            <w:pPr>
              <w:spacing w:after="0"/>
            </w:pPr>
            <w:r>
              <w:rPr>
                <w:sz w:val="10"/>
              </w:rPr>
              <w:t>MedAI layer.</w:t>
            </w:r>
          </w:p>
        </w:tc>
      </w:tr>
      <w:tr>
        <w:tc>
          <w:tcPr>
            <w:tcW w:type="dxa" w:w="2592"/>
          </w:tcPr>
          <w:p>
            <w:pPr>
              <w:spacing w:after="0"/>
            </w:pPr>
            <w:r>
              <w:rPr>
                <w:sz w:val="10"/>
              </w:rPr>
              <w:t>NORMALIZED</w:t>
            </w:r>
          </w:p>
        </w:tc>
        <w:tc>
          <w:tcPr>
            <w:tcW w:type="dxa" w:w="2592"/>
          </w:tcPr>
          <w:p>
            <w:pPr>
              <w:spacing w:after="0"/>
            </w:pPr>
            <w:r>
              <w:rPr>
                <w:sz w:val="10"/>
              </w:rPr>
              <w:t>Phase 3C/4</w:t>
            </w:r>
          </w:p>
        </w:tc>
        <w:tc>
          <w:tcPr>
            <w:tcW w:type="dxa" w:w="2592"/>
          </w:tcPr>
          <w:p>
            <w:pPr>
              <w:spacing w:after="0"/>
            </w:pPr>
            <w:r>
              <w:rPr>
                <w:sz w:val="10"/>
              </w:rPr>
              <w:t>PRESERVE</w:t>
            </w:r>
          </w:p>
        </w:tc>
        <w:tc>
          <w:tcPr>
            <w:tcW w:type="dxa" w:w="2592"/>
          </w:tcPr>
          <w:p>
            <w:pPr>
              <w:spacing w:after="0"/>
            </w:pPr>
            <w:r>
              <w:rPr>
                <w:sz w:val="10"/>
              </w:rPr>
              <w:t>MedAI layer; mapping allowed only where Phase 3D/4.1 permits.</w:t>
            </w:r>
          </w:p>
        </w:tc>
      </w:tr>
      <w:tr>
        <w:tc>
          <w:tcPr>
            <w:tcW w:type="dxa" w:w="2592"/>
          </w:tcPr>
          <w:p>
            <w:pPr>
              <w:spacing w:after="0"/>
            </w:pPr>
            <w:r>
              <w:rPr>
                <w:sz w:val="10"/>
              </w:rPr>
              <w:t>DERIVED</w:t>
            </w:r>
          </w:p>
        </w:tc>
        <w:tc>
          <w:tcPr>
            <w:tcW w:type="dxa" w:w="2592"/>
          </w:tcPr>
          <w:p>
            <w:pPr>
              <w:spacing w:after="0"/>
            </w:pPr>
            <w:r>
              <w:rPr>
                <w:sz w:val="10"/>
              </w:rPr>
              <w:t>Phase 3C/4</w:t>
            </w:r>
          </w:p>
        </w:tc>
        <w:tc>
          <w:tcPr>
            <w:tcW w:type="dxa" w:w="2592"/>
          </w:tcPr>
          <w:p>
            <w:pPr>
              <w:spacing w:after="0"/>
            </w:pPr>
            <w:r>
              <w:rPr>
                <w:sz w:val="10"/>
              </w:rPr>
              <w:t>PRESERVE</w:t>
            </w:r>
          </w:p>
        </w:tc>
        <w:tc>
          <w:tcPr>
            <w:tcW w:type="dxa" w:w="2592"/>
          </w:tcPr>
          <w:p>
            <w:pPr>
              <w:spacing w:after="0"/>
            </w:pPr>
            <w:r>
              <w:rPr>
                <w:sz w:val="10"/>
              </w:rPr>
              <w:t>MedAI layer; derived clinical rules require separate validation.</w:t>
            </w:r>
          </w:p>
        </w:tc>
      </w:tr>
      <w:tr>
        <w:tc>
          <w:tcPr>
            <w:tcW w:type="dxa" w:w="2592"/>
          </w:tcPr>
          <w:p>
            <w:pPr>
              <w:spacing w:after="0"/>
            </w:pPr>
            <w:r>
              <w:rPr>
                <w:sz w:val="10"/>
              </w:rPr>
              <w:t>PatientPhenotypeView</w:t>
            </w:r>
          </w:p>
        </w:tc>
        <w:tc>
          <w:tcPr>
            <w:tcW w:type="dxa" w:w="2592"/>
          </w:tcPr>
          <w:p>
            <w:pPr>
              <w:spacing w:after="0"/>
            </w:pPr>
            <w:r>
              <w:rPr>
                <w:sz w:val="10"/>
              </w:rPr>
              <w:t>Phase 3C</w:t>
            </w:r>
          </w:p>
        </w:tc>
        <w:tc>
          <w:tcPr>
            <w:tcW w:type="dxa" w:w="2592"/>
          </w:tcPr>
          <w:p>
            <w:pPr>
              <w:spacing w:after="0"/>
            </w:pPr>
            <w:r>
              <w:rPr>
                <w:sz w:val="10"/>
              </w:rPr>
              <w:t>PRESERVE_LIMITED</w:t>
            </w:r>
          </w:p>
        </w:tc>
        <w:tc>
          <w:tcPr>
            <w:tcW w:type="dxa" w:w="2592"/>
          </w:tcPr>
          <w:p>
            <w:pPr>
              <w:spacing w:after="0"/>
            </w:pPr>
            <w:r>
              <w:rPr>
                <w:sz w:val="10"/>
              </w:rPr>
              <w:t>Not direct annotation gold.</w:t>
            </w:r>
          </w:p>
        </w:tc>
      </w:tr>
      <w:tr>
        <w:tc>
          <w:tcPr>
            <w:tcW w:type="dxa" w:w="2592"/>
          </w:tcPr>
          <w:p>
            <w:pPr>
              <w:spacing w:after="0"/>
            </w:pPr>
            <w:r>
              <w:rPr>
                <w:sz w:val="10"/>
              </w:rPr>
              <w:t>Patient attribution / experiencer</w:t>
            </w:r>
          </w:p>
        </w:tc>
        <w:tc>
          <w:tcPr>
            <w:tcW w:type="dxa" w:w="2592"/>
          </w:tcPr>
          <w:p>
            <w:pPr>
              <w:spacing w:after="0"/>
            </w:pPr>
            <w:r>
              <w:rPr>
                <w:sz w:val="10"/>
              </w:rPr>
              <w:t>ExECT 2019; Phase 4</w:t>
            </w:r>
          </w:p>
        </w:tc>
        <w:tc>
          <w:tcPr>
            <w:tcW w:type="dxa" w:w="2592"/>
          </w:tcPr>
          <w:p>
            <w:pPr>
              <w:spacing w:after="0"/>
            </w:pPr>
            <w:r>
              <w:rPr>
                <w:sz w:val="10"/>
              </w:rPr>
              <w:t>PRESERVE</w:t>
            </w:r>
          </w:p>
        </w:tc>
        <w:tc>
          <w:tcPr>
            <w:tcW w:type="dxa" w:w="2592"/>
          </w:tcPr>
          <w:p>
            <w:pPr>
              <w:spacing w:after="0"/>
            </w:pPr>
            <w:r>
              <w:rPr>
                <w:sz w:val="10"/>
              </w:rPr>
              <w:t>Supported as annotation/context precedent.</w:t>
            </w:r>
          </w:p>
        </w:tc>
      </w:tr>
      <w:tr>
        <w:tc>
          <w:tcPr>
            <w:tcW w:type="dxa" w:w="2592"/>
          </w:tcPr>
          <w:p>
            <w:pPr>
              <w:spacing w:after="0"/>
            </w:pPr>
            <w:r>
              <w:rPr>
                <w:sz w:val="10"/>
              </w:rPr>
              <w:t>Negation</w:t>
            </w:r>
          </w:p>
        </w:tc>
        <w:tc>
          <w:tcPr>
            <w:tcW w:type="dxa" w:w="2592"/>
          </w:tcPr>
          <w:p>
            <w:pPr>
              <w:spacing w:after="0"/>
            </w:pPr>
            <w:r>
              <w:rPr>
                <w:sz w:val="10"/>
              </w:rPr>
              <w:t>ExECT 2019; ExECTv2 2024; Phase 4</w:t>
            </w:r>
          </w:p>
        </w:tc>
        <w:tc>
          <w:tcPr>
            <w:tcW w:type="dxa" w:w="2592"/>
          </w:tcPr>
          <w:p>
            <w:pPr>
              <w:spacing w:after="0"/>
            </w:pPr>
            <w:r>
              <w:rPr>
                <w:sz w:val="10"/>
              </w:rPr>
              <w:t>PRESERVE</w:t>
            </w:r>
          </w:p>
        </w:tc>
        <w:tc>
          <w:tcPr>
            <w:tcW w:type="dxa" w:w="2592"/>
          </w:tcPr>
          <w:p>
            <w:pPr>
              <w:spacing w:after="0"/>
            </w:pPr>
            <w:r>
              <w:rPr>
                <w:sz w:val="10"/>
              </w:rPr>
              <w:t>Do not infer a universal negation ontology from these studies.</w:t>
            </w:r>
          </w:p>
        </w:tc>
      </w:tr>
      <w:tr>
        <w:tc>
          <w:tcPr>
            <w:tcW w:type="dxa" w:w="2592"/>
          </w:tcPr>
          <w:p>
            <w:pPr>
              <w:spacing w:after="0"/>
            </w:pPr>
            <w:r>
              <w:rPr>
                <w:sz w:val="10"/>
              </w:rPr>
              <w:t>Certainty</w:t>
            </w:r>
          </w:p>
        </w:tc>
        <w:tc>
          <w:tcPr>
            <w:tcW w:type="dxa" w:w="2592"/>
          </w:tcPr>
          <w:p>
            <w:pPr>
              <w:spacing w:after="0"/>
            </w:pPr>
            <w:r>
              <w:rPr>
                <w:sz w:val="10"/>
              </w:rPr>
              <w:t>ExECT 2019; ExECTv2 2024; Phase 3D/4</w:t>
            </w:r>
          </w:p>
        </w:tc>
        <w:tc>
          <w:tcPr>
            <w:tcW w:type="dxa" w:w="2592"/>
          </w:tcPr>
          <w:p>
            <w:pPr>
              <w:spacing w:after="0"/>
            </w:pPr>
            <w:r>
              <w:rPr>
                <w:sz w:val="10"/>
              </w:rPr>
              <w:t>LIMITED</w:t>
            </w:r>
          </w:p>
        </w:tc>
        <w:tc>
          <w:tcPr>
            <w:tcW w:type="dxa" w:w="2592"/>
          </w:tcPr>
          <w:p>
            <w:pPr>
              <w:spacing w:after="0"/>
            </w:pPr>
            <w:r>
              <w:rPr>
                <w:sz w:val="10"/>
              </w:rPr>
              <w:t>Five-level ExECT scale is source-specific, not universal MedAI truth.</w:t>
            </w:r>
          </w:p>
        </w:tc>
      </w:tr>
      <w:tr>
        <w:tc>
          <w:tcPr>
            <w:tcW w:type="dxa" w:w="2592"/>
          </w:tcPr>
          <w:p>
            <w:pPr>
              <w:spacing w:after="0"/>
            </w:pPr>
            <w:r>
              <w:rPr>
                <w:sz w:val="10"/>
              </w:rPr>
              <w:t>Temporality</w:t>
            </w:r>
          </w:p>
        </w:tc>
        <w:tc>
          <w:tcPr>
            <w:tcW w:type="dxa" w:w="2592"/>
          </w:tcPr>
          <w:p>
            <w:pPr>
              <w:spacing w:after="0"/>
            </w:pPr>
            <w:r>
              <w:rPr>
                <w:sz w:val="10"/>
              </w:rPr>
              <w:t>ExECTv2 2024; SZFreqExtract 2025; Phase 3D/4</w:t>
            </w:r>
          </w:p>
        </w:tc>
        <w:tc>
          <w:tcPr>
            <w:tcW w:type="dxa" w:w="2592"/>
          </w:tcPr>
          <w:p>
            <w:pPr>
              <w:spacing w:after="0"/>
            </w:pPr>
            <w:r>
              <w:rPr>
                <w:sz w:val="10"/>
              </w:rPr>
              <w:t>LIMITED</w:t>
            </w:r>
          </w:p>
        </w:tc>
        <w:tc>
          <w:tcPr>
            <w:tcW w:type="dxa" w:w="2592"/>
          </w:tcPr>
          <w:p>
            <w:pPr>
              <w:spacing w:after="0"/>
            </w:pPr>
            <w:r>
              <w:rPr>
                <w:sz w:val="10"/>
              </w:rPr>
              <w:t>No universal temporality ontology frozen.</w:t>
            </w:r>
          </w:p>
        </w:tc>
      </w:tr>
      <w:tr>
        <w:tc>
          <w:tcPr>
            <w:tcW w:type="dxa" w:w="2592"/>
          </w:tcPr>
          <w:p>
            <w:pPr>
              <w:spacing w:after="0"/>
            </w:pPr>
            <w:r>
              <w:rPr>
                <w:sz w:val="10"/>
              </w:rPr>
              <w:t>Seizure frequency phrase</w:t>
            </w:r>
          </w:p>
        </w:tc>
        <w:tc>
          <w:tcPr>
            <w:tcW w:type="dxa" w:w="2592"/>
          </w:tcPr>
          <w:p>
            <w:pPr>
              <w:spacing w:after="0"/>
            </w:pPr>
            <w:r>
              <w:rPr>
                <w:sz w:val="10"/>
              </w:rPr>
              <w:t>ExECTv2 2024; SZFreqExtract 2025; Decker 2022</w:t>
            </w:r>
          </w:p>
        </w:tc>
        <w:tc>
          <w:tcPr>
            <w:tcW w:type="dxa" w:w="2592"/>
          </w:tcPr>
          <w:p>
            <w:pPr>
              <w:spacing w:after="0"/>
            </w:pPr>
            <w:r>
              <w:rPr>
                <w:sz w:val="10"/>
              </w:rPr>
              <w:t>PRESERVE</w:t>
            </w:r>
          </w:p>
        </w:tc>
        <w:tc>
          <w:tcPr>
            <w:tcW w:type="dxa" w:w="2592"/>
          </w:tcPr>
          <w:p>
            <w:pPr>
              <w:spacing w:after="0"/>
            </w:pPr>
            <w:r>
              <w:rPr>
                <w:sz w:val="10"/>
              </w:rPr>
              <w:t>Use source-native definitions/crosswalk.</w:t>
            </w:r>
          </w:p>
        </w:tc>
      </w:tr>
      <w:tr>
        <w:tc>
          <w:tcPr>
            <w:tcW w:type="dxa" w:w="2592"/>
          </w:tcPr>
          <w:p>
            <w:pPr>
              <w:spacing w:after="0"/>
            </w:pPr>
            <w:r>
              <w:rPr>
                <w:sz w:val="10"/>
              </w:rPr>
              <w:t>Frequency detailed attributes</w:t>
            </w:r>
          </w:p>
        </w:tc>
        <w:tc>
          <w:tcPr>
            <w:tcW w:type="dxa" w:w="2592"/>
          </w:tcPr>
          <w:p>
            <w:pPr>
              <w:spacing w:after="0"/>
            </w:pPr>
            <w:r>
              <w:rPr>
                <w:sz w:val="10"/>
              </w:rPr>
              <w:t>SZFreqExtract 2025</w:t>
            </w:r>
          </w:p>
        </w:tc>
        <w:tc>
          <w:tcPr>
            <w:tcW w:type="dxa" w:w="2592"/>
          </w:tcPr>
          <w:p>
            <w:pPr>
              <w:spacing w:after="0"/>
            </w:pPr>
            <w:r>
              <w:rPr>
                <w:sz w:val="10"/>
              </w:rPr>
              <w:t>PRESERVE_SOURCE_NATIVE</w:t>
            </w:r>
          </w:p>
        </w:tc>
        <w:tc>
          <w:tcPr>
            <w:tcW w:type="dxa" w:w="2592"/>
          </w:tcPr>
          <w:p>
            <w:pPr>
              <w:spacing w:after="0"/>
            </w:pPr>
            <w:r>
              <w:rPr>
                <w:sz w:val="10"/>
              </w:rPr>
              <w:t>Do not rename/reinterpret without crosswalk.</w:t>
            </w:r>
          </w:p>
        </w:tc>
      </w:tr>
      <w:tr>
        <w:tc>
          <w:tcPr>
            <w:tcW w:type="dxa" w:w="2592"/>
          </w:tcPr>
          <w:p>
            <w:pPr>
              <w:spacing w:after="0"/>
            </w:pPr>
            <w:r>
              <w:rPr>
                <w:sz w:val="10"/>
              </w:rPr>
              <w:t>Epilepsy diagnosis/type/seizure type</w:t>
            </w:r>
          </w:p>
        </w:tc>
        <w:tc>
          <w:tcPr>
            <w:tcW w:type="dxa" w:w="2592"/>
          </w:tcPr>
          <w:p>
            <w:pPr>
              <w:spacing w:after="0"/>
            </w:pPr>
            <w:r>
              <w:rPr>
                <w:sz w:val="10"/>
              </w:rPr>
              <w:t>ExECT 2019; ExECTv2 2024; Phase 3B/3D</w:t>
            </w:r>
          </w:p>
        </w:tc>
        <w:tc>
          <w:tcPr>
            <w:tcW w:type="dxa" w:w="2592"/>
          </w:tcPr>
          <w:p>
            <w:pPr>
              <w:spacing w:after="0"/>
            </w:pPr>
            <w:r>
              <w:rPr>
                <w:sz w:val="10"/>
              </w:rPr>
              <w:t>PRESERVE</w:t>
            </w:r>
          </w:p>
        </w:tc>
        <w:tc>
          <w:tcPr>
            <w:tcW w:type="dxa" w:w="2592"/>
          </w:tcPr>
          <w:p>
            <w:pPr>
              <w:spacing w:after="0"/>
            </w:pPr>
            <w:r>
              <w:rPr>
                <w:sz w:val="10"/>
              </w:rPr>
              <w:t>Current canonical classification still governed by Phase 3B/3D authoritative sources.</w:t>
            </w:r>
          </w:p>
        </w:tc>
      </w:tr>
      <w:tr>
        <w:tc>
          <w:tcPr>
            <w:tcW w:type="dxa" w:w="2592"/>
          </w:tcPr>
          <w:p>
            <w:pPr>
              <w:spacing w:after="0"/>
            </w:pPr>
            <w:r>
              <w:rPr>
                <w:sz w:val="10"/>
              </w:rPr>
              <w:t>EEG/MRI investigation result</w:t>
            </w:r>
          </w:p>
        </w:tc>
        <w:tc>
          <w:tcPr>
            <w:tcW w:type="dxa" w:w="2592"/>
          </w:tcPr>
          <w:p>
            <w:pPr>
              <w:spacing w:after="0"/>
            </w:pPr>
            <w:r>
              <w:rPr>
                <w:sz w:val="10"/>
              </w:rPr>
              <w:t>ExECT 2019; ExECTv2 2024; Phase 3D</w:t>
            </w:r>
          </w:p>
        </w:tc>
        <w:tc>
          <w:tcPr>
            <w:tcW w:type="dxa" w:w="2592"/>
          </w:tcPr>
          <w:p>
            <w:pPr>
              <w:spacing w:after="0"/>
            </w:pPr>
            <w:r>
              <w:rPr>
                <w:sz w:val="10"/>
              </w:rPr>
              <w:t>PRESERVE_LIMITED</w:t>
            </w:r>
          </w:p>
        </w:tc>
        <w:tc>
          <w:tcPr>
            <w:tcW w:type="dxa" w:w="2592"/>
          </w:tcPr>
          <w:p>
            <w:pPr>
              <w:spacing w:after="0"/>
            </w:pPr>
            <w:r>
              <w:rPr>
                <w:sz w:val="10"/>
              </w:rPr>
              <w:t>Does not justify detailed EEG hierarchy or MRI lesion ontology.</w:t>
            </w:r>
          </w:p>
        </w:tc>
      </w:tr>
      <w:tr>
        <w:tc>
          <w:tcPr>
            <w:tcW w:type="dxa" w:w="2592"/>
          </w:tcPr>
          <w:p>
            <w:pPr>
              <w:spacing w:after="0"/>
            </w:pPr>
            <w:r>
              <w:rPr>
                <w:sz w:val="10"/>
              </w:rPr>
              <w:t>Medication/prescription</w:t>
            </w:r>
          </w:p>
        </w:tc>
        <w:tc>
          <w:tcPr>
            <w:tcW w:type="dxa" w:w="2592"/>
          </w:tcPr>
          <w:p>
            <w:pPr>
              <w:spacing w:after="0"/>
            </w:pPr>
            <w:r>
              <w:rPr>
                <w:sz w:val="10"/>
              </w:rPr>
              <w:t>ExECT 2019; ExECTv2 2024; Phase 3D</w:t>
            </w:r>
          </w:p>
        </w:tc>
        <w:tc>
          <w:tcPr>
            <w:tcW w:type="dxa" w:w="2592"/>
          </w:tcPr>
          <w:p>
            <w:pPr>
              <w:spacing w:after="0"/>
            </w:pPr>
            <w:r>
              <w:rPr>
                <w:sz w:val="10"/>
              </w:rPr>
              <w:t>PRESERVE</w:t>
            </w:r>
          </w:p>
        </w:tc>
        <w:tc>
          <w:tcPr>
            <w:tcW w:type="dxa" w:w="2592"/>
          </w:tcPr>
          <w:p>
            <w:pPr>
              <w:spacing w:after="0"/>
            </w:pPr>
            <w:r>
              <w:rPr>
                <w:sz w:val="10"/>
              </w:rPr>
              <w:t>Exact normalization still governed by RxNorm/source lookup rules.</w:t>
            </w:r>
          </w:p>
        </w:tc>
      </w:tr>
      <w:tr>
        <w:tc>
          <w:tcPr>
            <w:tcW w:type="dxa" w:w="2592"/>
          </w:tcPr>
          <w:p>
            <w:pPr>
              <w:spacing w:after="0"/>
            </w:pPr>
            <w:r>
              <w:rPr>
                <w:sz w:val="10"/>
              </w:rPr>
              <w:t>LatentPatientTruth (G0)</w:t>
            </w:r>
          </w:p>
        </w:tc>
        <w:tc>
          <w:tcPr>
            <w:tcW w:type="dxa" w:w="2592"/>
          </w:tcPr>
          <w:p>
            <w:pPr>
              <w:spacing w:after="0"/>
            </w:pPr>
            <w:r>
              <w:rPr>
                <w:sz w:val="10"/>
              </w:rPr>
              <w:t>Phase 5</w:t>
            </w:r>
          </w:p>
        </w:tc>
        <w:tc>
          <w:tcPr>
            <w:tcW w:type="dxa" w:w="2592"/>
          </w:tcPr>
          <w:p>
            <w:pPr>
              <w:spacing w:after="0"/>
            </w:pPr>
            <w:r>
              <w:rPr>
                <w:sz w:val="10"/>
              </w:rPr>
              <w:t>PRESERVE_SYNTHETIC_ONLY</w:t>
            </w:r>
          </w:p>
        </w:tc>
        <w:tc>
          <w:tcPr>
            <w:tcW w:type="dxa" w:w="2592"/>
          </w:tcPr>
          <w:p>
            <w:pPr>
              <w:spacing w:after="0"/>
            </w:pPr>
            <w:r>
              <w:rPr>
                <w:sz w:val="10"/>
              </w:rPr>
              <w:t>Benchmark design object, not a published clinical annotation standard.</w:t>
            </w:r>
          </w:p>
        </w:tc>
      </w:tr>
      <w:tr>
        <w:tc>
          <w:tcPr>
            <w:tcW w:type="dxa" w:w="2592"/>
          </w:tcPr>
          <w:p>
            <w:pPr>
              <w:spacing w:after="0"/>
            </w:pPr>
            <w:r>
              <w:rPr>
                <w:sz w:val="10"/>
              </w:rPr>
              <w:t>ClinicalEvent</w:t>
            </w:r>
          </w:p>
        </w:tc>
        <w:tc>
          <w:tcPr>
            <w:tcW w:type="dxa" w:w="2592"/>
          </w:tcPr>
          <w:p>
            <w:pPr>
              <w:spacing w:after="0"/>
            </w:pPr>
            <w:r>
              <w:rPr>
                <w:sz w:val="10"/>
              </w:rPr>
              <w:t>Phase 5</w:t>
            </w:r>
          </w:p>
        </w:tc>
        <w:tc>
          <w:tcPr>
            <w:tcW w:type="dxa" w:w="2592"/>
          </w:tcPr>
          <w:p>
            <w:pPr>
              <w:spacing w:after="0"/>
            </w:pPr>
            <w:r>
              <w:rPr>
                <w:sz w:val="10"/>
              </w:rPr>
              <w:t>PRESERVE_SYNTHETIC_ONLY</w:t>
            </w:r>
          </w:p>
        </w:tc>
        <w:tc>
          <w:tcPr>
            <w:tcW w:type="dxa" w:w="2592"/>
          </w:tcPr>
          <w:p>
            <w:pPr>
              <w:spacing w:after="0"/>
            </w:pPr>
            <w:r>
              <w:rPr>
                <w:sz w:val="10"/>
              </w:rPr>
              <w:t>Internal benchmark architecture.</w:t>
            </w:r>
          </w:p>
        </w:tc>
      </w:tr>
      <w:tr>
        <w:tc>
          <w:tcPr>
            <w:tcW w:type="dxa" w:w="2592"/>
          </w:tcPr>
          <w:p>
            <w:pPr>
              <w:spacing w:after="0"/>
            </w:pPr>
            <w:r>
              <w:rPr>
                <w:sz w:val="10"/>
              </w:rPr>
              <w:t>Authorized content / semantic plan (G1)</w:t>
            </w:r>
          </w:p>
        </w:tc>
        <w:tc>
          <w:tcPr>
            <w:tcW w:type="dxa" w:w="2592"/>
          </w:tcPr>
          <w:p>
            <w:pPr>
              <w:spacing w:after="0"/>
            </w:pPr>
            <w:r>
              <w:rPr>
                <w:sz w:val="10"/>
              </w:rPr>
              <w:t>Phase 6B</w:t>
            </w:r>
          </w:p>
        </w:tc>
        <w:tc>
          <w:tcPr>
            <w:tcW w:type="dxa" w:w="2592"/>
          </w:tcPr>
          <w:p>
            <w:pPr>
              <w:spacing w:after="0"/>
            </w:pPr>
            <w:r>
              <w:rPr>
                <w:sz w:val="10"/>
              </w:rPr>
              <w:t>PRESERVE_SYNTHETIC_ONLY</w:t>
            </w:r>
          </w:p>
        </w:tc>
        <w:tc>
          <w:tcPr>
            <w:tcW w:type="dxa" w:w="2592"/>
          </w:tcPr>
          <w:p>
            <w:pPr>
              <w:spacing w:after="0"/>
            </w:pPr>
            <w:r>
              <w:rPr>
                <w:sz w:val="10"/>
              </w:rPr>
              <w:t>Internal experimental control.</w:t>
            </w:r>
          </w:p>
        </w:tc>
      </w:tr>
      <w:tr>
        <w:tc>
          <w:tcPr>
            <w:tcW w:type="dxa" w:w="2592"/>
          </w:tcPr>
          <w:p>
            <w:pPr>
              <w:spacing w:after="0"/>
            </w:pPr>
            <w:r>
              <w:rPr>
                <w:sz w:val="10"/>
              </w:rPr>
              <w:t>Rendered evidence (G2)</w:t>
            </w:r>
          </w:p>
        </w:tc>
        <w:tc>
          <w:tcPr>
            <w:tcW w:type="dxa" w:w="2592"/>
          </w:tcPr>
          <w:p>
            <w:pPr>
              <w:spacing w:after="0"/>
            </w:pPr>
            <w:r>
              <w:rPr>
                <w:sz w:val="10"/>
              </w:rPr>
              <w:t>ExECTv2; SZFreqExtract; Phase 3C/4</w:t>
            </w:r>
          </w:p>
        </w:tc>
        <w:tc>
          <w:tcPr>
            <w:tcW w:type="dxa" w:w="2592"/>
          </w:tcPr>
          <w:p>
            <w:pPr>
              <w:spacing w:after="0"/>
            </w:pPr>
            <w:r>
              <w:rPr>
                <w:sz w:val="10"/>
              </w:rPr>
              <w:t>PRESERVE</w:t>
            </w:r>
          </w:p>
        </w:tc>
        <w:tc>
          <w:tcPr>
            <w:tcW w:type="dxa" w:w="2592"/>
          </w:tcPr>
          <w:p>
            <w:pPr>
              <w:spacing w:after="0"/>
            </w:pPr>
            <w:r>
              <w:rPr>
                <w:sz w:val="10"/>
              </w:rPr>
              <w:t>External span/gold precedent supports independent text annotation.</w:t>
            </w:r>
          </w:p>
        </w:tc>
      </w:tr>
      <w:tr>
        <w:tc>
          <w:tcPr>
            <w:tcW w:type="dxa" w:w="2592"/>
          </w:tcPr>
          <w:p>
            <w:pPr>
              <w:spacing w:after="0"/>
            </w:pPr>
            <w:r>
              <w:rPr>
                <w:sz w:val="10"/>
              </w:rPr>
              <w:t>Human-adjudicated gold (G3)</w:t>
            </w:r>
          </w:p>
        </w:tc>
        <w:tc>
          <w:tcPr>
            <w:tcW w:type="dxa" w:w="2592"/>
          </w:tcPr>
          <w:p>
            <w:pPr>
              <w:spacing w:after="0"/>
            </w:pPr>
            <w:r>
              <w:rPr>
                <w:sz w:val="10"/>
              </w:rPr>
              <w:t>ExECTv2 2024; EpiDEA 2012; Phase 4</w:t>
            </w:r>
          </w:p>
        </w:tc>
        <w:tc>
          <w:tcPr>
            <w:tcW w:type="dxa" w:w="2592"/>
          </w:tcPr>
          <w:p>
            <w:pPr>
              <w:spacing w:after="0"/>
            </w:pPr>
            <w:r>
              <w:rPr>
                <w:sz w:val="10"/>
              </w:rPr>
              <w:t>PRESERVE</w:t>
            </w:r>
          </w:p>
        </w:tc>
        <w:tc>
          <w:tcPr>
            <w:tcW w:type="dxa" w:w="2592"/>
          </w:tcPr>
          <w:p>
            <w:pPr>
              <w:spacing w:after="0"/>
            </w:pPr>
            <w:r>
              <w:rPr>
                <w:sz w:val="10"/>
              </w:rPr>
              <w:t>Exact workflow is MedAI study method; source studies provide precedent, not universal protocol.</w:t>
            </w:r>
          </w:p>
        </w:tc>
      </w:tr>
      <w:tr>
        <w:tc>
          <w:tcPr>
            <w:tcW w:type="dxa" w:w="2592"/>
          </w:tcPr>
          <w:p>
            <w:pPr>
              <w:spacing w:after="0"/>
            </w:pPr>
            <w:r>
              <w:rPr>
                <w:sz w:val="10"/>
              </w:rPr>
              <w:t>RequiredAssertions</w:t>
            </w:r>
          </w:p>
        </w:tc>
        <w:tc>
          <w:tcPr>
            <w:tcW w:type="dxa" w:w="2592"/>
          </w:tcPr>
          <w:p>
            <w:pPr>
              <w:spacing w:after="0"/>
            </w:pPr>
            <w:r>
              <w:rPr>
                <w:sz w:val="10"/>
              </w:rPr>
              <w:t>Phase 6B/6D</w:t>
            </w:r>
          </w:p>
        </w:tc>
        <w:tc>
          <w:tcPr>
            <w:tcW w:type="dxa" w:w="2592"/>
          </w:tcPr>
          <w:p>
            <w:pPr>
              <w:spacing w:after="0"/>
            </w:pPr>
            <w:r>
              <w:rPr>
                <w:sz w:val="10"/>
              </w:rPr>
              <w:t>PRESERVE_SYNTHETIC_ONLY</w:t>
            </w:r>
          </w:p>
        </w:tc>
        <w:tc>
          <w:tcPr>
            <w:tcW w:type="dxa" w:w="2592"/>
          </w:tcPr>
          <w:p>
            <w:pPr>
              <w:spacing w:after="0"/>
            </w:pPr>
            <w:r>
              <w:rPr>
                <w:sz w:val="10"/>
              </w:rPr>
              <w:t>Internal pilot control.</w:t>
            </w:r>
          </w:p>
        </w:tc>
      </w:tr>
      <w:tr>
        <w:tc>
          <w:tcPr>
            <w:tcW w:type="dxa" w:w="2592"/>
          </w:tcPr>
          <w:p>
            <w:pPr>
              <w:spacing w:after="0"/>
            </w:pPr>
            <w:r>
              <w:rPr>
                <w:sz w:val="10"/>
              </w:rPr>
              <w:t>ProhibitedAssertions</w:t>
            </w:r>
          </w:p>
        </w:tc>
        <w:tc>
          <w:tcPr>
            <w:tcW w:type="dxa" w:w="2592"/>
          </w:tcPr>
          <w:p>
            <w:pPr>
              <w:spacing w:after="0"/>
            </w:pPr>
            <w:r>
              <w:rPr>
                <w:sz w:val="10"/>
              </w:rPr>
              <w:t>Phase 6B/6D</w:t>
            </w:r>
          </w:p>
        </w:tc>
        <w:tc>
          <w:tcPr>
            <w:tcW w:type="dxa" w:w="2592"/>
          </w:tcPr>
          <w:p>
            <w:pPr>
              <w:spacing w:after="0"/>
            </w:pPr>
            <w:r>
              <w:rPr>
                <w:sz w:val="10"/>
              </w:rPr>
              <w:t>PRESERVE_SYNTHETIC_ONLY</w:t>
            </w:r>
          </w:p>
        </w:tc>
        <w:tc>
          <w:tcPr>
            <w:tcW w:type="dxa" w:w="2592"/>
          </w:tcPr>
          <w:p>
            <w:pPr>
              <w:spacing w:after="0"/>
            </w:pPr>
            <w:r>
              <w:rPr>
                <w:sz w:val="10"/>
              </w:rPr>
              <w:t>Internal pilot control.</w:t>
            </w:r>
          </w:p>
        </w:tc>
      </w:tr>
      <w:tr>
        <w:tc>
          <w:tcPr>
            <w:tcW w:type="dxa" w:w="2592"/>
          </w:tcPr>
          <w:p>
            <w:pPr>
              <w:spacing w:after="0"/>
            </w:pPr>
            <w:r>
              <w:rPr>
                <w:sz w:val="10"/>
              </w:rPr>
              <w:t>Generator/condition/request/output provenance</w:t>
            </w:r>
          </w:p>
        </w:tc>
        <w:tc>
          <w:tcPr>
            <w:tcW w:type="dxa" w:w="2592"/>
          </w:tcPr>
          <w:p>
            <w:pPr>
              <w:spacing w:after="0"/>
            </w:pPr>
            <w:r>
              <w:rPr>
                <w:sz w:val="10"/>
              </w:rPr>
              <w:t>Phase 6D.1/6D.2</w:t>
            </w:r>
          </w:p>
        </w:tc>
        <w:tc>
          <w:tcPr>
            <w:tcW w:type="dxa" w:w="2592"/>
          </w:tcPr>
          <w:p>
            <w:pPr>
              <w:spacing w:after="0"/>
            </w:pPr>
            <w:r>
              <w:rPr>
                <w:sz w:val="10"/>
              </w:rPr>
              <w:t>PRESERVE_SYNTHETIC_ONLY</w:t>
            </w:r>
          </w:p>
        </w:tc>
        <w:tc>
          <w:tcPr>
            <w:tcW w:type="dxa" w:w="2592"/>
          </w:tcPr>
          <w:p>
            <w:pPr>
              <w:spacing w:after="0"/>
            </w:pPr>
            <w:r>
              <w:rPr>
                <w:sz w:val="10"/>
              </w:rPr>
              <w:t>Needed for reproducibility, not clinical semantics.</w:t>
            </w:r>
          </w:p>
        </w:tc>
      </w:tr>
    </w:tbl>
    <w:p/>
    <w:p>
      <w:pPr>
        <w:pStyle w:val="Heading1"/>
      </w:pPr>
      <w:r>
        <w:t>4. What we are NOT claiming</w:t>
      </w:r>
    </w:p>
    <w:p>
      <w:pPr>
        <w:pStyle w:val="ListBullet"/>
      </w:pPr>
      <w:r>
        <w:t>Universal certainty ontology — NOT BACKED: ExECT's five-level certainty is source-specific; Phase 3D already leaves universal certainty unresolved. Handling: Preserve source-native certainty or frozen MedAI assertion status only.</w:t>
      </w:r>
    </w:p>
    <w:p>
      <w:pPr>
        <w:pStyle w:val="ListBullet"/>
      </w:pPr>
      <w:r>
        <w:t>Universal temporality ontology — NOT BACKED: Published corpora annotate temporal information, but no universal MedAI temporal ontology has been established. Handling: Keep explicit spans/source fields; no forced universal normalization.</w:t>
      </w:r>
    </w:p>
    <w:p>
      <w:pPr>
        <w:pStyle w:val="ListBullet"/>
      </w:pPr>
      <w:r>
        <w:t>Detailed EEG/SCORE annotation hierarchy — NOT YET BACKED IN CURRENT PACKAGE: ExECT/ExECTv2 broad investigation labels do not establish technical EEG annotation taxonomy. Handling: Keep Phase 3D LIMITED; require dedicated SCORE artifact extraction before expansion.</w:t>
      </w:r>
    </w:p>
    <w:p>
      <w:pPr>
        <w:pStyle w:val="ListBullet"/>
      </w:pPr>
      <w:r>
        <w:t>MRI lesion/pathology annotation ontology — NOT BACKED: Broad MRI normal/abnormal annotation does not establish lesion/pathology taxonomy. Handling: Keep source text; dedicated radiology ontology evidence needed.</w:t>
      </w:r>
    </w:p>
    <w:p>
      <w:pPr>
        <w:pStyle w:val="ListBullet"/>
      </w:pPr>
      <w:r>
        <w:t>Syndrome derivation — BLOCKED: Published mention extraction does not validate computational syndrome diagnosis. Handling: Direct mention only.</w:t>
      </w:r>
    </w:p>
    <w:p>
      <w:pPr>
        <w:pStyle w:val="ListBullet"/>
      </w:pPr>
      <w:r>
        <w:t>DRE derivation — BLOCKED: Annotation precedent does not validate deriving DRE from medication history. Handling: Direct clinician DRE statement only until separately validated.</w:t>
      </w:r>
    </w:p>
    <w:p>
      <w:pPr>
        <w:pStyle w:val="ListBullet"/>
      </w:pPr>
      <w:r>
        <w:t>Multimodal concordance/localization synthesis — BLOCKED: No annotation evidence audited here validates this as canonical gold. Handling: Derived research layer only after separate method validation.</w:t>
      </w:r>
    </w:p>
    <w:p>
      <w:pPr>
        <w:pStyle w:val="ListBullet"/>
      </w:pPr>
      <w:r>
        <w:t>Automatic latent-to-text gold projection — PROHIBITED: Generator can omit/corrupt/add content; latent truth is not rendered evidence. Handling: G0/G1 may seed candidates only; G2/G3 require independent verification.</w:t>
      </w:r>
    </w:p>
    <w:p>
      <w:pPr>
        <w:pStyle w:val="ListBullet"/>
      </w:pPr>
      <w:r>
        <w:t>Universal claim-unit segmentation rule — MEDAI-PROPOSED: Published studies support span annotation but do not define one universal clinical-proposition segmentation rule. Handling: Keep as prospective pilot method, not clinical standard.</w:t>
      </w:r>
    </w:p>
    <w:p>
      <w:pPr>
        <w:pStyle w:val="ListBullet"/>
      </w:pPr>
      <w:r>
        <w:t>Clinician realism score — DEFERRED: No frozen validated rubric in current evidence set. Handling: Phase 6E only after prospective rubric evidence/freeze.</w:t>
      </w:r>
    </w:p>
    <w:p>
      <w:pPr>
        <w:pStyle w:val="Heading1"/>
      </w:pPr>
      <w:r>
        <w:t>5. Critical preservation check against generation</w:t>
      </w:r>
    </w:p>
    <w:p>
      <w:pPr>
        <w:pStyle w:val="ListBullet"/>
      </w:pPr>
      <w:r>
        <w:t>Document identity/type/date and full provenance remain intact.</w:t>
      </w:r>
    </w:p>
    <w:p>
      <w:pPr>
        <w:pStyle w:val="ListBullet"/>
      </w:pPr>
      <w:r>
        <w:t>Exact EvidenceSpan offsets remain the anchor for direct G2 annotation.</w:t>
      </w:r>
    </w:p>
    <w:p>
      <w:pPr>
        <w:pStyle w:val="ListBullet"/>
      </w:pPr>
      <w:r>
        <w:t>SourceConcept and source/version mapping remain intact.</w:t>
      </w:r>
    </w:p>
    <w:p>
      <w:pPr>
        <w:pStyle w:val="ListBullet"/>
      </w:pPr>
      <w:r>
        <w:t>PhenotypeAssertion remains the central shared representation.</w:t>
      </w:r>
    </w:p>
    <w:p>
      <w:pPr>
        <w:pStyle w:val="ListBullet"/>
      </w:pPr>
      <w:r>
        <w:t>DIRECT, NORMALIZED and DERIVED remain distinct; normalization cannot invent conclusions and derived assertions cannot fabricate evidence spans.</w:t>
      </w:r>
    </w:p>
    <w:p>
      <w:pPr>
        <w:pStyle w:val="ListBullet"/>
      </w:pPr>
      <w:r>
        <w:t>PatientPhenotypeView remains an aggregation layer rather than direct text gold.</w:t>
      </w:r>
    </w:p>
    <w:p>
      <w:pPr>
        <w:pStyle w:val="ListBullet"/>
      </w:pPr>
      <w:r>
        <w:t>G0 latent patient truth and ClinicalEvent remain available only for synthetic records.</w:t>
      </w:r>
    </w:p>
    <w:p>
      <w:pPr>
        <w:pStyle w:val="ListBullet"/>
      </w:pPr>
      <w:r>
        <w:t>G1 allowed/required/prohibited information scope remains available for generation-error adjudication.</w:t>
      </w:r>
    </w:p>
    <w:p>
      <w:pPr>
        <w:pStyle w:val="ListBullet"/>
      </w:pPr>
      <w:r>
        <w:t>Generator/model/condition/request/output provenance from 6D.1/6D.2 remains attached.</w:t>
      </w:r>
    </w:p>
    <w:p>
      <w:pPr>
        <w:pStyle w:val="ListBullet"/>
      </w:pPr>
      <w:r>
        <w:t>Real clinical notes converge at G2/G3 and are not assigned synthetic G0/G1 truth.</w:t>
      </w:r>
    </w:p>
    <w:p>
      <w:pPr>
        <w:pStyle w:val="Heading1"/>
      </w:pPr>
      <w:r>
        <w:t>6. G0–G3 separation after audit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2"/>
              </w:rPr>
              <w:t>Layer</w:t>
            </w:r>
          </w:p>
        </w:tc>
        <w:tc>
          <w:tcPr>
            <w:tcW w:type="dxa" w:w="3456"/>
            <w:shd w:fill="D9EAF7"/>
          </w:tcPr>
          <w:p>
            <w:r>
              <w:rPr>
                <w:b/>
                <w:sz w:val="12"/>
              </w:rPr>
              <w:t>Meaning</w:t>
            </w:r>
          </w:p>
        </w:tc>
        <w:tc>
          <w:tcPr>
            <w:tcW w:type="dxa" w:w="3456"/>
            <w:shd w:fill="D9EAF7"/>
          </w:tcPr>
          <w:p>
            <w:r>
              <w:rPr>
                <w:b/>
                <w:sz w:val="12"/>
              </w:rPr>
              <w:t>Evidence status</w:t>
            </w:r>
          </w:p>
        </w:tc>
      </w:tr>
      <w:tr>
        <w:tc>
          <w:tcPr>
            <w:tcW w:type="dxa" w:w="3456"/>
          </w:tcPr>
          <w:p>
            <w:pPr>
              <w:spacing w:after="0"/>
            </w:pPr>
            <w:r>
              <w:rPr>
                <w:sz w:val="11"/>
              </w:rPr>
              <w:t>G0</w:t>
            </w:r>
          </w:p>
        </w:tc>
        <w:tc>
          <w:tcPr>
            <w:tcW w:type="dxa" w:w="3456"/>
          </w:tcPr>
          <w:p>
            <w:pPr>
              <w:spacing w:after="0"/>
            </w:pPr>
            <w:r>
              <w:rPr>
                <w:sz w:val="11"/>
              </w:rPr>
              <w:t>Latent synthetic patient/event truth before prose.</w:t>
            </w:r>
          </w:p>
        </w:tc>
        <w:tc>
          <w:tcPr>
            <w:tcW w:type="dxa" w:w="3456"/>
          </w:tcPr>
          <w:p>
            <w:pPr>
              <w:spacing w:after="0"/>
            </w:pPr>
            <w:r>
              <w:rPr>
                <w:sz w:val="11"/>
              </w:rPr>
              <w:t>Internal MedAI benchmark method; Phase 5.</w:t>
            </w:r>
          </w:p>
        </w:tc>
      </w:tr>
      <w:tr>
        <w:tc>
          <w:tcPr>
            <w:tcW w:type="dxa" w:w="3456"/>
          </w:tcPr>
          <w:p>
            <w:pPr>
              <w:spacing w:after="0"/>
            </w:pPr>
            <w:r>
              <w:rPr>
                <w:sz w:val="11"/>
              </w:rPr>
              <w:t>G1</w:t>
            </w:r>
          </w:p>
        </w:tc>
        <w:tc>
          <w:tcPr>
            <w:tcW w:type="dxa" w:w="3456"/>
          </w:tcPr>
          <w:p>
            <w:pPr>
              <w:spacing w:after="0"/>
            </w:pPr>
            <w:r>
              <w:rPr>
                <w:sz w:val="11"/>
              </w:rPr>
              <w:t>Authorized/required/prohibited content available to renderer.</w:t>
            </w:r>
          </w:p>
        </w:tc>
        <w:tc>
          <w:tcPr>
            <w:tcW w:type="dxa" w:w="3456"/>
          </w:tcPr>
          <w:p>
            <w:pPr>
              <w:spacing w:after="0"/>
            </w:pPr>
            <w:r>
              <w:rPr>
                <w:sz w:val="11"/>
              </w:rPr>
              <w:t>Internal MedAI experimental control; Phase 6B.</w:t>
            </w:r>
          </w:p>
        </w:tc>
      </w:tr>
      <w:tr>
        <w:tc>
          <w:tcPr>
            <w:tcW w:type="dxa" w:w="3456"/>
          </w:tcPr>
          <w:p>
            <w:pPr>
              <w:spacing w:after="0"/>
            </w:pPr>
            <w:r>
              <w:rPr>
                <w:sz w:val="11"/>
              </w:rPr>
              <w:t>G2</w:t>
            </w:r>
          </w:p>
        </w:tc>
        <w:tc>
          <w:tcPr>
            <w:tcW w:type="dxa" w:w="3456"/>
          </w:tcPr>
          <w:p>
            <w:pPr>
              <w:spacing w:after="0"/>
            </w:pPr>
            <w:r>
              <w:rPr>
                <w:sz w:val="11"/>
              </w:rPr>
              <w:t>What the document actually says, represented as evidence-backed assertions.</w:t>
            </w:r>
          </w:p>
        </w:tc>
        <w:tc>
          <w:tcPr>
            <w:tcW w:type="dxa" w:w="3456"/>
          </w:tcPr>
          <w:p>
            <w:pPr>
              <w:spacing w:after="0"/>
            </w:pPr>
            <w:r>
              <w:rPr>
                <w:sz w:val="11"/>
              </w:rPr>
              <w:t>External span/gold precedent + MedAI object model.</w:t>
            </w:r>
          </w:p>
        </w:tc>
      </w:tr>
      <w:tr>
        <w:tc>
          <w:tcPr>
            <w:tcW w:type="dxa" w:w="3456"/>
          </w:tcPr>
          <w:p>
            <w:pPr>
              <w:spacing w:after="0"/>
            </w:pPr>
            <w:r>
              <w:rPr>
                <w:sz w:val="11"/>
              </w:rPr>
              <w:t>G3</w:t>
            </w:r>
          </w:p>
        </w:tc>
        <w:tc>
          <w:tcPr>
            <w:tcW w:type="dxa" w:w="3456"/>
          </w:tcPr>
          <w:p>
            <w:pPr>
              <w:spacing w:after="0"/>
            </w:pPr>
            <w:r>
              <w:rPr>
                <w:sz w:val="11"/>
              </w:rPr>
              <w:t>Human-reviewed/adjudicated benchmark gold.</w:t>
            </w:r>
          </w:p>
        </w:tc>
        <w:tc>
          <w:tcPr>
            <w:tcW w:type="dxa" w:w="3456"/>
          </w:tcPr>
          <w:p>
            <w:pPr>
              <w:spacing w:after="0"/>
            </w:pPr>
            <w:r>
              <w:rPr>
                <w:sz w:val="11"/>
              </w:rPr>
              <w:t>External consensus/adjudication precedent + prospectively frozen MedAI workflow.</w:t>
            </w:r>
          </w:p>
        </w:tc>
      </w:tr>
    </w:tbl>
    <w:p/>
    <w:tbl>
      <w:tblPr>
        <w:tblStyle w:val="TableGrid"/>
        <w:tblW w:type="auto" w:w="0"/>
        <w:tblLook w:firstColumn="1" w:firstRow="1" w:lastColumn="0" w:lastRow="0" w:noHBand="0" w:noVBand="1" w:val="04A0"/>
      </w:tblPr>
      <w:tblGrid>
        <w:gridCol w:w="10368"/>
      </w:tblGrid>
      <w:tr>
        <w:tc>
          <w:tcPr>
            <w:tcW w:type="dxa" w:w="10368"/>
            <w:shd w:fill="E2F0D9"/>
          </w:tcPr>
          <w:p>
            <w:r>
              <w:rPr>
                <w:b/>
                <w:color w:val="17365D"/>
              </w:rPr>
              <w:t>Non-circularity rule</w:t>
              <w:br/>
            </w:r>
            <w:r>
              <w:t>G0 and G1 may identify what should have been available or required, but they cannot overwrite G2. If the renderer changes focal → generalized, G2 records generalized and the discrepancy is separately adjudicated as generation error.</w:t>
            </w:r>
          </w:p>
        </w:tc>
      </w:tr>
    </w:tbl>
    <w:p/>
    <w:p>
      <w:pPr>
        <w:pStyle w:val="Heading1"/>
      </w:pPr>
      <w:r>
        <w:t>7. Release gate</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2"/>
              </w:rPr>
              <w:t>Requirement</w:t>
            </w:r>
          </w:p>
        </w:tc>
        <w:tc>
          <w:tcPr>
            <w:tcW w:type="dxa" w:w="5184"/>
            <w:shd w:fill="D9EAF7"/>
          </w:tcPr>
          <w:p>
            <w:r>
              <w:rPr>
                <w:b/>
                <w:sz w:val="12"/>
              </w:rPr>
              <w:t>Status</w:t>
            </w:r>
          </w:p>
        </w:tc>
      </w:tr>
      <w:tr>
        <w:tc>
          <w:tcPr>
            <w:tcW w:type="dxa" w:w="5184"/>
          </w:tcPr>
          <w:p>
            <w:pPr>
              <w:spacing w:after="0"/>
            </w:pPr>
            <w:r>
              <w:rPr>
                <w:sz w:val="11"/>
              </w:rPr>
              <w:t>Every clinical semantic value used as canonical gold maps to Phase 3B/3D source-backed concept/value.</w:t>
            </w:r>
          </w:p>
        </w:tc>
        <w:tc>
          <w:tcPr>
            <w:tcW w:type="dxa" w:w="5184"/>
          </w:tcPr>
          <w:p>
            <w:pPr>
              <w:spacing w:after="0"/>
            </w:pPr>
            <w:r>
              <w:rPr>
                <w:sz w:val="11"/>
              </w:rPr>
              <w:t>PASS_WITH_EXISTING_BLOCKERS</w:t>
            </w:r>
          </w:p>
        </w:tc>
      </w:tr>
      <w:tr>
        <w:tc>
          <w:tcPr>
            <w:tcW w:type="dxa" w:w="5184"/>
          </w:tcPr>
          <w:p>
            <w:pPr>
              <w:spacing w:after="0"/>
            </w:pPr>
            <w:r>
              <w:rPr>
                <w:sz w:val="11"/>
              </w:rPr>
              <w:t>Every direct annotation retains evidence span/offset.</w:t>
            </w:r>
          </w:p>
        </w:tc>
        <w:tc>
          <w:tcPr>
            <w:tcW w:type="dxa" w:w="5184"/>
          </w:tcPr>
          <w:p>
            <w:pPr>
              <w:spacing w:after="0"/>
            </w:pPr>
            <w:r>
              <w:rPr>
                <w:sz w:val="11"/>
              </w:rPr>
              <w:t>PASS</w:t>
            </w:r>
          </w:p>
        </w:tc>
      </w:tr>
      <w:tr>
        <w:tc>
          <w:tcPr>
            <w:tcW w:type="dxa" w:w="5184"/>
          </w:tcPr>
          <w:p>
            <w:pPr>
              <w:spacing w:after="0"/>
            </w:pPr>
            <w:r>
              <w:rPr>
                <w:sz w:val="11"/>
              </w:rPr>
              <w:t>DIRECT/NORMALIZED/DERIVED distinction preserved.</w:t>
            </w:r>
          </w:p>
        </w:tc>
        <w:tc>
          <w:tcPr>
            <w:tcW w:type="dxa" w:w="5184"/>
          </w:tcPr>
          <w:p>
            <w:pPr>
              <w:spacing w:after="0"/>
            </w:pPr>
            <w:r>
              <w:rPr>
                <w:sz w:val="11"/>
              </w:rPr>
              <w:t>PASS</w:t>
            </w:r>
          </w:p>
        </w:tc>
      </w:tr>
      <w:tr>
        <w:tc>
          <w:tcPr>
            <w:tcW w:type="dxa" w:w="5184"/>
          </w:tcPr>
          <w:p>
            <w:pPr>
              <w:spacing w:after="0"/>
            </w:pPr>
            <w:r>
              <w:rPr>
                <w:sz w:val="11"/>
              </w:rPr>
              <w:t>G0/G1 synthetic provenance kept separate from G2/G3 annotation gold.</w:t>
            </w:r>
          </w:p>
        </w:tc>
        <w:tc>
          <w:tcPr>
            <w:tcW w:type="dxa" w:w="5184"/>
          </w:tcPr>
          <w:p>
            <w:pPr>
              <w:spacing w:after="0"/>
            </w:pPr>
            <w:r>
              <w:rPr>
                <w:sz w:val="11"/>
              </w:rPr>
              <w:t>PASS</w:t>
            </w:r>
          </w:p>
        </w:tc>
      </w:tr>
      <w:tr>
        <w:tc>
          <w:tcPr>
            <w:tcW w:type="dxa" w:w="5184"/>
          </w:tcPr>
          <w:p>
            <w:pPr>
              <w:spacing w:after="0"/>
            </w:pPr>
            <w:r>
              <w:rPr>
                <w:sz w:val="11"/>
              </w:rPr>
              <w:t>Generation allowed/required/prohibited assertion scope retained for adjudication.</w:t>
            </w:r>
          </w:p>
        </w:tc>
        <w:tc>
          <w:tcPr>
            <w:tcW w:type="dxa" w:w="5184"/>
          </w:tcPr>
          <w:p>
            <w:pPr>
              <w:spacing w:after="0"/>
            </w:pPr>
            <w:r>
              <w:rPr>
                <w:sz w:val="11"/>
              </w:rPr>
              <w:t>PASS</w:t>
            </w:r>
          </w:p>
        </w:tc>
      </w:tr>
      <w:tr>
        <w:tc>
          <w:tcPr>
            <w:tcW w:type="dxa" w:w="5184"/>
          </w:tcPr>
          <w:p>
            <w:pPr>
              <w:spacing w:after="0"/>
            </w:pPr>
            <w:r>
              <w:rPr>
                <w:sz w:val="11"/>
              </w:rPr>
              <w:t>Real notes do not receive synthetic-only G0/G1 fields as if observed truth.</w:t>
            </w:r>
          </w:p>
        </w:tc>
        <w:tc>
          <w:tcPr>
            <w:tcW w:type="dxa" w:w="5184"/>
          </w:tcPr>
          <w:p>
            <w:pPr>
              <w:spacing w:after="0"/>
            </w:pPr>
            <w:r>
              <w:rPr>
                <w:sz w:val="11"/>
              </w:rPr>
              <w:t>PASS</w:t>
            </w:r>
          </w:p>
        </w:tc>
      </w:tr>
      <w:tr>
        <w:tc>
          <w:tcPr>
            <w:tcW w:type="dxa" w:w="5184"/>
          </w:tcPr>
          <w:p>
            <w:pPr>
              <w:spacing w:after="0"/>
            </w:pPr>
            <w:r>
              <w:rPr>
                <w:sz w:val="11"/>
              </w:rPr>
              <w:t>Published annotation corpus labels are not silently treated as current canonical ILAE labels.</w:t>
            </w:r>
          </w:p>
        </w:tc>
        <w:tc>
          <w:tcPr>
            <w:tcW w:type="dxa" w:w="5184"/>
          </w:tcPr>
          <w:p>
            <w:pPr>
              <w:spacing w:after="0"/>
            </w:pPr>
            <w:r>
              <w:rPr>
                <w:sz w:val="11"/>
              </w:rPr>
              <w:t>PASS</w:t>
            </w:r>
          </w:p>
        </w:tc>
      </w:tr>
      <w:tr>
        <w:tc>
          <w:tcPr>
            <w:tcW w:type="dxa" w:w="5184"/>
          </w:tcPr>
          <w:p>
            <w:pPr>
              <w:spacing w:after="0"/>
            </w:pPr>
            <w:r>
              <w:rPr>
                <w:sz w:val="11"/>
              </w:rPr>
              <w:t>Unresolved certainty/temporality/EEG/MRI/DRE/syndrome/concordance items remain limited or blocked.</w:t>
            </w:r>
          </w:p>
        </w:tc>
        <w:tc>
          <w:tcPr>
            <w:tcW w:type="dxa" w:w="5184"/>
          </w:tcPr>
          <w:p>
            <w:pPr>
              <w:spacing w:after="0"/>
            </w:pPr>
            <w:r>
              <w:rPr>
                <w:sz w:val="11"/>
              </w:rPr>
              <w:t>PASS</w:t>
            </w:r>
          </w:p>
        </w:tc>
      </w:tr>
      <w:tr>
        <w:tc>
          <w:tcPr>
            <w:tcW w:type="dxa" w:w="5184"/>
          </w:tcPr>
          <w:p>
            <w:pPr>
              <w:spacing w:after="0"/>
            </w:pPr>
            <w:r>
              <w:rPr>
                <w:sz w:val="11"/>
              </w:rPr>
              <w:t>Machine projection cannot create G3 without human verification.</w:t>
            </w:r>
          </w:p>
        </w:tc>
        <w:tc>
          <w:tcPr>
            <w:tcW w:type="dxa" w:w="5184"/>
          </w:tcPr>
          <w:p>
            <w:pPr>
              <w:spacing w:after="0"/>
            </w:pPr>
            <w:r>
              <w:rPr>
                <w:sz w:val="11"/>
              </w:rPr>
              <w:t>PASS</w:t>
            </w:r>
          </w:p>
        </w:tc>
      </w:tr>
      <w:tr>
        <w:tc>
          <w:tcPr>
            <w:tcW w:type="dxa" w:w="5184"/>
          </w:tcPr>
          <w:p>
            <w:pPr>
              <w:spacing w:after="0"/>
            </w:pPr>
            <w:r>
              <w:rPr>
                <w:sz w:val="11"/>
              </w:rPr>
              <w:t>Pilot operational labels are identified as MedAI study methods, not published clinical standards.</w:t>
            </w:r>
          </w:p>
        </w:tc>
        <w:tc>
          <w:tcPr>
            <w:tcW w:type="dxa" w:w="5184"/>
          </w:tcPr>
          <w:p>
            <w:pPr>
              <w:spacing w:after="0"/>
            </w:pPr>
            <w:r>
              <w:rPr>
                <w:sz w:val="11"/>
              </w:rPr>
              <w:t>PASS</w:t>
            </w:r>
          </w:p>
        </w:tc>
      </w:tr>
    </w:tbl>
    <w:p/>
    <w:p>
      <w:pPr>
        <w:pStyle w:val="Heading1"/>
      </w:pPr>
      <w:r>
        <w:t>8. Corrected source boundaries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2"/>
              </w:rPr>
              <w:t>Topic</w:t>
            </w:r>
          </w:p>
        </w:tc>
        <w:tc>
          <w:tcPr>
            <w:tcW w:type="dxa" w:w="5184"/>
            <w:shd w:fill="D9EAF7"/>
          </w:tcPr>
          <w:p>
            <w:r>
              <w:rPr>
                <w:b/>
                <w:sz w:val="12"/>
              </w:rPr>
              <w:t>Correct statement</w:t>
            </w:r>
          </w:p>
        </w:tc>
      </w:tr>
      <w:tr>
        <w:tc>
          <w:tcPr>
            <w:tcW w:type="dxa" w:w="5184"/>
          </w:tcPr>
          <w:p>
            <w:pPr>
              <w:spacing w:after="0"/>
            </w:pPr>
            <w:r>
              <w:rPr>
                <w:sz w:val="11"/>
              </w:rPr>
              <w:t>SZFreqExtract annotators</w:t>
            </w:r>
          </w:p>
        </w:tc>
        <w:tc>
          <w:tcPr>
            <w:tcW w:type="dxa" w:w="5184"/>
          </w:tcPr>
          <w:p>
            <w:pPr>
              <w:spacing w:after="0"/>
            </w:pPr>
            <w:r>
              <w:rPr>
                <w:sz w:val="11"/>
              </w:rPr>
              <w:t>The 800 segments were manually annotated by authors RA and LC, described as having prior experience in biomedical text information extraction. Do not call them clinicians unless another source establishes that.</w:t>
            </w:r>
          </w:p>
        </w:tc>
      </w:tr>
      <w:tr>
        <w:tc>
          <w:tcPr>
            <w:tcW w:type="dxa" w:w="5184"/>
          </w:tcPr>
          <w:p>
            <w:pPr>
              <w:spacing w:after="0"/>
            </w:pPr>
            <w:r>
              <w:rPr>
                <w:sz w:val="11"/>
              </w:rPr>
              <w:t>ExECTv2 annotators</w:t>
            </w:r>
          </w:p>
        </w:tc>
        <w:tc>
          <w:tcPr>
            <w:tcW w:type="dxa" w:w="5184"/>
          </w:tcPr>
          <w:p>
            <w:pPr>
              <w:spacing w:after="0"/>
            </w:pPr>
            <w:r>
              <w:rPr>
                <w:sz w:val="11"/>
              </w:rPr>
              <w:t>Letters were double annotated by trained researchers and clinicians; the paper reports four annotators and consensus review.</w:t>
            </w:r>
          </w:p>
        </w:tc>
      </w:tr>
      <w:tr>
        <w:tc>
          <w:tcPr>
            <w:tcW w:type="dxa" w:w="5184"/>
          </w:tcPr>
          <w:p>
            <w:pPr>
              <w:spacing w:after="0"/>
            </w:pPr>
            <w:r>
              <w:rPr>
                <w:sz w:val="11"/>
              </w:rPr>
              <w:t>EpiDEA gold</w:t>
            </w:r>
          </w:p>
        </w:tc>
        <w:tc>
          <w:tcPr>
            <w:tcW w:type="dxa" w:w="5184"/>
          </w:tcPr>
          <w:p>
            <w:pPr>
              <w:spacing w:after="0"/>
            </w:pPr>
            <w:r>
              <w:rPr>
                <w:sz w:val="11"/>
              </w:rPr>
              <w:t>104 discharge summaries were annotated by two clinicians; disagreements/partial variation were reviewed/resolved in the study workflow.</w:t>
            </w:r>
          </w:p>
        </w:tc>
      </w:tr>
      <w:tr>
        <w:tc>
          <w:tcPr>
            <w:tcW w:type="dxa" w:w="5184"/>
          </w:tcPr>
          <w:p>
            <w:pPr>
              <w:spacing w:after="0"/>
            </w:pPr>
            <w:r>
              <w:rPr>
                <w:sz w:val="11"/>
              </w:rPr>
              <w:t>ExECT 2019 certainty</w:t>
            </w:r>
          </w:p>
        </w:tc>
        <w:tc>
          <w:tcPr>
            <w:tcW w:type="dxa" w:w="5184"/>
          </w:tcPr>
          <w:p>
            <w:pPr>
              <w:spacing w:after="0"/>
            </w:pPr>
            <w:r>
              <w:rPr>
                <w:sz w:val="11"/>
              </w:rPr>
              <w:t>Five certainty levels were defined for that system and applied to diagnosis/type/seizure type; do not universalize the scale.</w:t>
            </w:r>
          </w:p>
        </w:tc>
      </w:tr>
      <w:tr>
        <w:tc>
          <w:tcPr>
            <w:tcW w:type="dxa" w:w="5184"/>
          </w:tcPr>
          <w:p>
            <w:pPr>
              <w:spacing w:after="0"/>
            </w:pPr>
            <w:r>
              <w:rPr>
                <w:sz w:val="11"/>
              </w:rPr>
              <w:t>ExECTv2 coverage</w:t>
            </w:r>
          </w:p>
        </w:tc>
        <w:tc>
          <w:tcPr>
            <w:tcW w:type="dxa" w:w="5184"/>
          </w:tcPr>
          <w:p>
            <w:pPr>
              <w:spacing w:after="0"/>
            </w:pPr>
            <w:r>
              <w:rPr>
                <w:sz w:val="11"/>
              </w:rPr>
              <w:t>The authors explicitly state the annotation set does not include all epilepsy concepts, including detailed seizure semiology, technical EEG details, family history, and negated statements as a complete coverage set.</w:t>
            </w:r>
          </w:p>
        </w:tc>
      </w:tr>
    </w:tbl>
    <w:p/>
    <w:p>
      <w:pPr>
        <w:pStyle w:val="Heading1"/>
      </w:pPr>
      <w:r>
        <w:t>9. Decision</w:t>
      </w:r>
    </w:p>
    <w:tbl>
      <w:tblPr>
        <w:tblStyle w:val="TableGrid"/>
        <w:tblW w:type="auto" w:w="0"/>
        <w:tblLook w:firstColumn="1" w:firstRow="1" w:lastColumn="0" w:lastRow="0" w:noHBand="0" w:noVBand="1" w:val="04A0"/>
      </w:tblPr>
      <w:tblGrid>
        <w:gridCol w:w="10368"/>
      </w:tblGrid>
      <w:tr>
        <w:tc>
          <w:tcPr>
            <w:tcW w:type="dxa" w:w="10368"/>
            <w:shd w:fill="E2F0D9"/>
          </w:tcPr>
          <w:p>
            <w:r>
              <w:rPr>
                <w:b/>
                <w:color w:val="17365D"/>
              </w:rPr>
              <w:t>PASS WITH BLOCKERS PRESERVED</w:t>
              <w:br/>
            </w:r>
            <w:r>
              <w:t>The core annotation architecture is sufficiently evidence-traceable for the Phase 6D pilot. This PASS does not mean every annotation concept is validated. It means the architecture preserves the generation stack, externally supported annotation practices are distinguishable from MedAI study methods, and unresolved clinical semantics remain explicitly limited or blocked.</w:t>
            </w:r>
          </w:p>
        </w:tc>
      </w:tr>
    </w:tbl>
    <w:p/>
    <w:p>
      <w:pPr>
        <w:pStyle w:val="Heading1"/>
      </w:pPr>
      <w:r>
        <w:t>10. Required next step</w:t>
      </w:r>
    </w:p>
    <w:p>
      <w:r>
        <w:t>Run Phase 6D.2 only against the already-frozen pilot inputs. Preserve raw outputs before any annotation. Then apply the frozen 4B.1/6D.3 workflow. Do not expand the clinical annotation ontology in response to unexpected model outputs; unexpected content should be captured as unsupported/unmapped/error content and handled through the blocker/change-control process.</w:t>
      </w:r>
    </w:p>
    <w:p>
      <w:pPr>
        <w:pStyle w:val="Heading1"/>
      </w:pPr>
      <w:r>
        <w:t>11. Audited external references</w:t>
      </w:r>
    </w:p>
    <w:p>
      <w:pPr>
        <w:pStyle w:val="ListBullet"/>
      </w:pPr>
      <w:r>
        <w:t>Fonferko-Shadrach B, et al. Annotation of epilepsy clinic letters for natural language processing. Journal of Biomedical Semantics. 2024;15:17. DOI 10.1186/s13326-024-00316-z.</w:t>
      </w:r>
    </w:p>
    <w:p>
      <w:pPr>
        <w:pStyle w:val="ListBullet"/>
      </w:pPr>
      <w:r>
        <w:t>Fonferko-Shadrach B, et al. Using natural language processing to extract structured epilepsy data from unstructured clinic letters: development and validation of ExECT. BMJ Open. 2019;9:e023232. DOI 10.1136/bmjopen-2018-023232.</w:t>
      </w:r>
    </w:p>
    <w:p>
      <w:pPr>
        <w:pStyle w:val="ListBullet"/>
      </w:pPr>
      <w:r>
        <w:t>Cui L, et al. EpiDEA: Extracting Structured Epilepsy and Seizure Information from Patient Discharge Summaries for Cohort Identification. AMIA Annual Symposium Proceedings. 2012.</w:t>
      </w:r>
    </w:p>
    <w:p>
      <w:pPr>
        <w:pStyle w:val="ListBullet"/>
      </w:pPr>
      <w:r>
        <w:t>Leveraging pretrained language models for seizure frequency extraction from epilepsy evaluation reports. npj Digital Medicine. 2025.</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