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b/>
          <w:color w:val="17365D"/>
          <w:sz w:val="58"/>
        </w:rPr>
        <w:t>MedAI / EpiSynth</w:t>
      </w:r>
    </w:p>
    <w:p>
      <w:pPr>
        <w:jc w:val="center"/>
      </w:pPr>
      <w:r>
        <w:rPr>
          <w:b/>
          <w:color w:val="2F5597"/>
          <w:sz w:val="36"/>
        </w:rPr>
        <w:t>Annotation Source Verification Dossier</w:t>
      </w:r>
    </w:p>
    <w:p>
      <w:pPr>
        <w:jc w:val="center"/>
      </w:pPr>
      <w:r>
        <w:rPr>
          <w:sz w:val="20"/>
        </w:rPr>
        <w:t>External source re-verification + generation-to-annotation completeness check</w:t>
        <w:br/>
        <w:t>Version 1.0 • 25 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7365D"/>
              </w:rPr>
              <w:t>Why this dossier exists</w:t>
              <w:br/>
            </w:r>
            <w:r>
              <w:t>Previous MedAI documents correctly separated source-backed clinical semantics from MedAI methods, but this dossier independently re-verifies the most important annotation claims against the published literature and current ILAE sources. It adds no new annotation concepts.</w:t>
            </w:r>
          </w:p>
        </w:tc>
      </w:tr>
    </w:tbl>
    <w:p/>
    <w:p>
      <w:pPr>
        <w:pStyle w:val="Heading1"/>
      </w:pPr>
      <w:r>
        <w:t>1. Evidence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  <w:sz w:val="12"/>
              </w:rPr>
              <w:t>Evidence class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2"/>
              </w:rPr>
              <w:t>What it can justify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2"/>
              </w:rPr>
              <w:t>What it cannot justify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Authoritative clinical standard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Clinical meaning, classification level, definition, canonical terminology within scope.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Annotation workflow unless the standard explicitly defines one.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Published epilepsy annotation corpus/method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Entity/span/attribute/adjudication precedent within that study's scope.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A universal clinical ontology or current canonical terminology outside its scope.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MedAI internal method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Computational objects, benchmark controls, provenance, study workflow.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A claim that the construct is an external clinical standard.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Evidence gap / blocker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Nothing canonical until resolved.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Must not be filled by intuition.</w:t>
            </w:r>
          </w:p>
        </w:tc>
      </w:tr>
    </w:tbl>
    <w:p/>
    <w:p>
      <w:pPr>
        <w:pStyle w:val="Heading1"/>
      </w:pPr>
      <w:r>
        <w:t>2. Re-verified annotation 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  <w:sz w:val="11"/>
              </w:rPr>
              <w:t>ID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1"/>
              </w:rPr>
              <w:t>Verified claim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1"/>
              </w:rPr>
              <w:t>Status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1"/>
              </w:rPr>
              <w:t>Boundary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SV001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ExECTv2 used 200 synthetic epilepsy clinic letters and a double-annotation/consensus process to create gold annotations.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VERIFIED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Use as precedent for synthetic-document human annotation and consensus, not as a complete epilepsy ontology.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SV002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ExECTv2 explicitly reports incomplete concept coverage.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VERIFIED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Do not assume ExECTv2 covers detailed semiology, technical EEG, family history, or all negation phenomena.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SV003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ExECT defined five certainty levels for epilepsy diagnosis/type/seizure type and used explicit mentions rather than inferring epilepsy type from seizure type or investigations.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VERIFIED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Five-level scale is source-specific; the no-inference behavior supports MedAI's direct-vs-derived separation.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SV004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EpiDEA was evaluated on 104 EMU discharge summaries against a gold standard created by two epileptologists/clinicians.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VERIFIED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Useful for clinician-created gold and epilepsy-specific structured extraction; older EpSO/ILAE-era semantics remain source-native.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SV005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SZFreqExtract manually annotated 800 text segments from six institutions for seizure-frequency phrases and detailed attributes.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VERIFIED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Annotators are described as authors with biomedical information-extraction experience; do not call them clinicians without separate evidence.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SV006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ILAE 2025 seizure classification distinguishes classifiers from descriptors and has four main classes and 21 seizure types.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VERIFIED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Current seizure-classification semantics supersede older seizure taxonomies where the MedAI application profile has adopted the 2025 standard.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SV007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ILAE 2017 epilepsy classification is multilevel: seizure type, epilepsy type, epilepsy syndrome; etiology is considered throughout.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VERIFIED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Preserve these semantic levels; do not flatten them into one annotation category.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SV008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ILAE drug-resistant epilepsy definition requires failure of adequate trials of two tolerated, appropriately chosen and used drug schedules to achieve sustained seizure freedom.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VERIFIED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Definition alone does not validate a MedAI computational derivation rule from sparse medication mentions; derived DRE remains blocked until operationalization is validated.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SV009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EvidenceSpan, PhenotypeAssertion, DIRECT/NORMALIZED/DERIVED, G0/G1/G2/G3 are MedAI computational/study-method constructs.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INTERNAL-NOT-EXTERNAL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Do not describe these as published clinical standards.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SV010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Latent truth cannot automatically serve as rendered-text gold.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SUPPORTED-METHOD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0"/>
              </w:rPr>
              <w:t>G0/G1 can seed expected assertions, but G2 must reflect actual text and G3 requires human review/adjudication.</w:t>
            </w:r>
          </w:p>
        </w:tc>
      </w:tr>
    </w:tbl>
    <w:p/>
    <w:p>
      <w:pPr>
        <w:pStyle w:val="Heading1"/>
      </w:pPr>
      <w:r>
        <w:t>3. Generation → annotation completeness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  <w:sz w:val="12"/>
              </w:rPr>
              <w:t>Existing generation/shared layer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2"/>
              </w:rPr>
              <w:t>Preserved?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2"/>
              </w:rPr>
              <w:t>Annotation handling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ClinicalDocument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Shared document object retained.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Document type/date/provenance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Retained for synthetic and real documents.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EvidenceSpan + exact offsets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Core direct-annotation anchor.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SourceConcept + source/version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Clinical semantics remain traceable to authoritative source.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PhenotypeAssertion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Shared MedAI assertion object.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DIRECT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Direct text-supported assertion.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NORMALIZED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Only where Phase 3D/4.1 mapping is permitted; adds no new conclusion.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DERIVED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Separate layer; input assertion IDs + derivation rule; no fabricated span.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PatientPhenotypeView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YES, SEPARATE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Aggregation is not direct document gold.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Negation/assertion status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Existing frozen application-profile boundary retained.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Certainty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YES, LIMITED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Source-supported; no universal certainty ontology invented.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Temporality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YES, LIMITED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Explicit/source fields retained; no universal temporal ontology invented.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Experiencer/patient attribution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Patient vs non-patient context retained.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Laterality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YES, SOURCE-TEXT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No unsupported canonicalization.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Anatomical site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YES, LIMITED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Normalize only where source mapping is frozen.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G0 latent patient truth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YES, SYNTHETIC ONLY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Not assigned to real notes.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ClinicalEvent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YES, SYNTHETIC ONLY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Retained as source-event provenance.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G1 allowed/required/prohibited assertions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YES, SYNTHETIC ONLY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Retained for omission/leakage/support adjudication.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Semantic-plan provenance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YES, SYNTHETIC ONLY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Retained.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Generator/model/condition/request/output provenance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YES, SYNTHETIC ONLY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Retained from Phase 6D.2.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G2 rendered evidence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What text actually says.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G3 human-adjudicated gold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YES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Human-reviewed benchmark layer.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7365D"/>
              </w:rPr>
              <w:t>Completeness result</w:t>
              <w:br/>
            </w:r>
            <w:r>
              <w:t>The annotation branch does not replace the generation architecture. It inherits every shared semantic/provenance layer needed for traceability and keeps synthetic-only truth/authorization layers separate from real-note evidence.</w:t>
            </w:r>
          </w:p>
        </w:tc>
      </w:tr>
    </w:tbl>
    <w:p/>
    <w:p>
      <w:pPr>
        <w:pStyle w:val="Heading1"/>
      </w:pPr>
      <w:r>
        <w:t>4. Exact architecture after verification</w:t>
      </w:r>
    </w:p>
    <w:p>
      <w:pPr>
        <w:jc w:val="center"/>
      </w:pPr>
      <w:r>
        <w:rPr>
          <w:b/>
          <w:color w:val="17365D"/>
          <w:sz w:val="18"/>
        </w:rPr>
        <w:t>AUTHORITATIVE CLINICAL SOURCES (ILAE and other already-audited standards)</w:t>
      </w:r>
    </w:p>
    <w:p>
      <w:pPr>
        <w:jc w:val="center"/>
      </w:pPr>
      <w:r>
        <w:rPr>
          <w:b w:val="0"/>
          <w:color w:val="17365D"/>
          <w:sz w:val="18"/>
        </w:rPr>
        <w:t>↓</w:t>
      </w:r>
    </w:p>
    <w:p>
      <w:pPr>
        <w:jc w:val="center"/>
      </w:pPr>
      <w:r>
        <w:rPr>
          <w:b/>
          <w:color w:val="17365D"/>
          <w:sz w:val="18"/>
        </w:rPr>
        <w:t>SOURCE TAXONOMY (Phase 3B)</w:t>
      </w:r>
    </w:p>
    <w:p>
      <w:pPr>
        <w:jc w:val="center"/>
      </w:pPr>
      <w:r>
        <w:rPr>
          <w:b w:val="0"/>
          <w:color w:val="17365D"/>
          <w:sz w:val="18"/>
        </w:rPr>
        <w:t>↓</w:t>
      </w:r>
    </w:p>
    <w:p>
      <w:pPr>
        <w:jc w:val="center"/>
      </w:pPr>
      <w:r>
        <w:rPr>
          <w:b/>
          <w:color w:val="17365D"/>
          <w:sz w:val="18"/>
        </w:rPr>
        <w:t>MEDAI APPLICATION PROFILE / VALUE-SET GATE (Phase 3D/4.1)</w:t>
      </w:r>
    </w:p>
    <w:p>
      <w:pPr>
        <w:jc w:val="center"/>
      </w:pPr>
      <w:r>
        <w:rPr>
          <w:b w:val="0"/>
          <w:color w:val="17365D"/>
          <w:sz w:val="18"/>
        </w:rPr>
        <w:t>↓</w:t>
      </w:r>
    </w:p>
    <w:p>
      <w:pPr>
        <w:jc w:val="center"/>
      </w:pPr>
      <w:r>
        <w:rPr>
          <w:b/>
          <w:color w:val="17365D"/>
          <w:sz w:val="18"/>
        </w:rPr>
        <w:t>ClinicalDocument → EvidenceSpan → PhenotypeAssertion → SourceConcept</w:t>
      </w:r>
    </w:p>
    <w:p>
      <w:pPr>
        <w:jc w:val="center"/>
      </w:pPr>
      <w:r>
        <w:rPr>
          <w:b w:val="0"/>
          <w:color w:val="17365D"/>
          <w:sz w:val="18"/>
        </w:rPr>
        <w:t>↓</w:t>
      </w:r>
    </w:p>
    <w:p>
      <w:pPr>
        <w:jc w:val="center"/>
      </w:pPr>
      <w:r>
        <w:rPr>
          <w:b/>
          <w:color w:val="17365D"/>
          <w:sz w:val="18"/>
        </w:rPr>
        <w:t>GENERATION BRANCH: G0 latent truth → ClinicalEvent → G1 semantic plan → renderer</w:t>
      </w:r>
    </w:p>
    <w:p>
      <w:pPr>
        <w:jc w:val="center"/>
      </w:pPr>
      <w:r>
        <w:rPr>
          <w:b w:val="0"/>
          <w:color w:val="17365D"/>
          <w:sz w:val="18"/>
        </w:rPr>
        <w:t>↓</w:t>
      </w:r>
    </w:p>
    <w:p>
      <w:pPr>
        <w:jc w:val="center"/>
      </w:pPr>
      <w:r>
        <w:rPr>
          <w:b/>
          <w:color w:val="17365D"/>
          <w:sz w:val="18"/>
        </w:rPr>
        <w:t>FROZEN RAW DOCUMENT</w:t>
      </w:r>
    </w:p>
    <w:p>
      <w:pPr>
        <w:jc w:val="center"/>
      </w:pPr>
      <w:r>
        <w:rPr>
          <w:b w:val="0"/>
          <w:color w:val="17365D"/>
          <w:sz w:val="18"/>
        </w:rPr>
        <w:t>↓</w:t>
      </w:r>
    </w:p>
    <w:p>
      <w:pPr>
        <w:jc w:val="center"/>
      </w:pPr>
      <w:r>
        <w:rPr>
          <w:b/>
          <w:color w:val="17365D"/>
          <w:sz w:val="18"/>
        </w:rPr>
        <w:t>ANNOTATION BRANCH: G2 EvidenceSpan → DIRECT → NORMALIZED → optional DERIVED</w:t>
      </w:r>
    </w:p>
    <w:p>
      <w:pPr>
        <w:jc w:val="center"/>
      </w:pPr>
      <w:r>
        <w:rPr>
          <w:b w:val="0"/>
          <w:color w:val="17365D"/>
          <w:sz w:val="18"/>
        </w:rPr>
        <w:t>↓</w:t>
      </w:r>
    </w:p>
    <w:p>
      <w:pPr>
        <w:jc w:val="center"/>
      </w:pPr>
      <w:r>
        <w:rPr>
          <w:b/>
          <w:color w:val="17365D"/>
          <w:sz w:val="18"/>
        </w:rPr>
        <w:t>independent human review / consensus-adjudication</w:t>
      </w:r>
    </w:p>
    <w:p>
      <w:pPr>
        <w:jc w:val="center"/>
      </w:pPr>
      <w:r>
        <w:rPr>
          <w:b w:val="0"/>
          <w:color w:val="17365D"/>
          <w:sz w:val="18"/>
        </w:rPr>
        <w:t>↓</w:t>
      </w:r>
    </w:p>
    <w:p>
      <w:pPr>
        <w:jc w:val="center"/>
      </w:pPr>
      <w:r>
        <w:rPr>
          <w:b/>
          <w:color w:val="17365D"/>
          <w:sz w:val="18"/>
        </w:rPr>
        <w:t>G3 adjudicated gold</w:t>
      </w:r>
    </w:p>
    <w:p>
      <w:pPr>
        <w:jc w:val="center"/>
      </w:pPr>
      <w:r>
        <w:rPr>
          <w:b w:val="0"/>
          <w:color w:val="17365D"/>
          <w:sz w:val="18"/>
        </w:rPr>
        <w:t>↓</w:t>
      </w:r>
    </w:p>
    <w:p>
      <w:pPr>
        <w:jc w:val="center"/>
      </w:pPr>
      <w:r>
        <w:rPr>
          <w:b/>
          <w:color w:val="17365D"/>
          <w:sz w:val="18"/>
        </w:rPr>
        <w:t>truth-preservation analysis compares G2/G3 with G0/G1 without overwriting either</w:t>
      </w:r>
    </w:p>
    <w:p>
      <w:pPr>
        <w:pStyle w:val="Heading1"/>
      </w:pPr>
      <w:r>
        <w:t>5. Do-not-invent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  <w:sz w:val="12"/>
              </w:rPr>
              <w:t>Item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2"/>
              </w:rPr>
              <w:t>Status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2"/>
              </w:rPr>
              <w:t>Reason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Universal certainty ontology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BLOCKED/LIMITED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External studies use task-specific uncertainty representations; no universal MedAI ontology verified.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Universal temporality ontology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BLOCKED/LIMITED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Published temporal attributes exist, but no universal MedAI temporal ontology verified.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Detailed technical EEG/SCORE hierarchy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LIMITED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Requires dedicated source-artifact extraction before canonical expansion.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MRI lesion/pathology ontology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SOURCE_TEXT_ONLY/LIMITED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Broad investigation-result annotation does not establish lesion taxonomy.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Computed epilepsy syndrome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BLOCKED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Direct mention can be annotated; computational syndrome diagnosis needs separately validated rules.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Computed DRE from medication mentions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BLOCKED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ILAE defines DRE, but sparse text mentions do not by themselves validate computational derivation.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Multimodal concordance/localization synthesis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BLOCKED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Research-derived layer; not established canonical annotation gold.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Automatic G0/G1 → G2/G3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PROHIBITED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Generation can omit, corrupt, contradict, or add content.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Clinician realism score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DEFERRED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Requires Phase 6E rubric and validation.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Ontology expansion after seeing pilot outputs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PROHIBITED DURING PILOT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sz w:val="11"/>
              </w:rPr>
              <w:t>Unexpected content is logged as unsupported/unmapped/error and handled after frozen analysis.</w:t>
            </w:r>
          </w:p>
        </w:tc>
      </w:tr>
    </w:tbl>
    <w:p/>
    <w:p>
      <w:pPr>
        <w:pStyle w:val="Heading1"/>
      </w:pPr>
      <w:r>
        <w:t>6. Important corrections/boundaries</w:t>
      </w:r>
    </w:p>
    <w:p>
      <w:pPr>
        <w:pStyle w:val="ListBullet"/>
      </w:pPr>
      <w:r>
        <w:t>SZFreqExtract: its two annotators are described as authors with prior biomedical text information-extraction experience. This dossier does not call them clinicians.</w:t>
      </w:r>
    </w:p>
    <w:p>
      <w:pPr>
        <w:pStyle w:val="ListBullet"/>
      </w:pPr>
      <w:r>
        <w:t>ExECT certainty: the five-level scale is verified, but it belongs to that system's annotation/extraction design and is not promoted to a universal MedAI certainty ontology.</w:t>
      </w:r>
    </w:p>
    <w:p>
      <w:pPr>
        <w:pStyle w:val="ListBullet"/>
      </w:pPr>
      <w:r>
        <w:t>EpiDEA: the gold standard was created by two epileptologists; its EpSO/ILAE-era terminology remains historically/source-specific and does not override the current MedAI ILAE 2025 mapping.</w:t>
      </w:r>
    </w:p>
    <w:p>
      <w:pPr>
        <w:pStyle w:val="ListBullet"/>
      </w:pPr>
      <w:r>
        <w:t>ExECTv2: it is strong precedent for synthetic annotation, but the authors explicitly acknowledge that the annotated concepts do not cover all clinically relevant epilepsy information.</w:t>
      </w:r>
    </w:p>
    <w:p>
      <w:pPr>
        <w:pStyle w:val="ListBullet"/>
      </w:pPr>
      <w:r>
        <w:t>ILAE 2025: seizure classifiers and descriptors must remain semantically distinct; descriptors are not automatically child seizure types.</w:t>
      </w:r>
    </w:p>
    <w:p>
      <w:pPr>
        <w:pStyle w:val="ListBullet"/>
      </w:pPr>
      <w:r>
        <w:t>ILAE DRE: the clinical definition is authoritative, but computational derivation from incomplete notes remains a separate method-validation problem.</w:t>
      </w:r>
    </w:p>
    <w:p>
      <w:pPr>
        <w:pStyle w:val="Heading1"/>
      </w:pPr>
      <w:r>
        <w:t>7. Final release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  <w:color w:val="17365D"/>
              </w:rPr>
              <w:t>LOCKED - WITH EXPLICIT BLOCKERS</w:t>
              <w:br/>
            </w:r>
            <w:r>
              <w:t>The core annotation architecture is adequately backed for the Phase 6D pilot. 'Backed' means every external claim is source-traceable, every MedAI-specific construct is labeled as an internal method, and unresolved clinical semantics remain blocked. It does not mean every conceivable epilepsy concept is already represented.</w:t>
            </w:r>
          </w:p>
        </w:tc>
      </w:tr>
    </w:tbl>
    <w:p/>
    <w:p>
      <w:pPr>
        <w:pStyle w:val="Heading1"/>
      </w:pPr>
      <w:r>
        <w:t>8. Change-control rule</w:t>
      </w:r>
    </w:p>
    <w:p>
      <w:r>
        <w:t>During the frozen pilot, unexpected generated content must not trigger ontology expansion. It is recorded as unsupported, unmapped, contradictory, leaked, or otherwise out-of-profile as appropriate. Any proposed post-pilot expansion requires a new source audit, explicit mapping status, version increment, and prospective validation before it can become canonical gold.</w:t>
      </w:r>
    </w:p>
    <w:p>
      <w:pPr>
        <w:pStyle w:val="Heading1"/>
      </w:pPr>
      <w:r>
        <w:t>9. Audited external references</w:t>
      </w:r>
    </w:p>
    <w:p>
      <w:pPr>
        <w:pStyle w:val="ListBullet"/>
      </w:pPr>
      <w:r>
        <w:t>Fonferko-Shadrach B, et al. Annotation of epilepsy clinic letters for natural language processing. Journal of Biomedical Semantics. 2024;15:17. DOI 10.1186/s13326-024-00316-z.</w:t>
      </w:r>
    </w:p>
    <w:p>
      <w:pPr>
        <w:pStyle w:val="ListBullet"/>
      </w:pPr>
      <w:r>
        <w:t>Fonferko-Shadrach B, et al. Using natural language processing to extract structured epilepsy data from unstructured clinic letters: development and validation of ExECT. BMJ Open. 2019;9:e023232. DOI 10.1136/bmjopen-2018-023232.</w:t>
      </w:r>
    </w:p>
    <w:p>
      <w:pPr>
        <w:pStyle w:val="ListBullet"/>
      </w:pPr>
      <w:r>
        <w:t>Cui L, et al. EpiDEA: Extracting Structured Epilepsy and Seizure Information from Patient Discharge Summaries for Cohort Identification. AMIA Annual Symposium Proceedings. 2012;2012:1191-1200.</w:t>
      </w:r>
    </w:p>
    <w:p>
      <w:pPr>
        <w:pStyle w:val="ListBullet"/>
      </w:pPr>
      <w:r>
        <w:t>Leveraging pretrained language models for seizure frequency extraction from epilepsy evaluation reports. npj Digital Medicine. 2025. Public de-identified data/code: SZFreqExtract.</w:t>
      </w:r>
    </w:p>
    <w:p>
      <w:pPr>
        <w:pStyle w:val="ListBullet"/>
      </w:pPr>
      <w:r>
        <w:t>Beniczky S, et al. Updated classification of epileptic seizures: Position paper of the International League Against Epilepsy. Epilepsia. 2025.</w:t>
      </w:r>
    </w:p>
    <w:p>
      <w:pPr>
        <w:pStyle w:val="ListBullet"/>
      </w:pPr>
      <w:r>
        <w:t>Scheffer IE, et al. ILAE classification of the epilepsies: Position paper of the ILAE Commission for Classification and Terminology. Epilepsia. 2017.</w:t>
      </w:r>
    </w:p>
    <w:p>
      <w:pPr>
        <w:pStyle w:val="ListBullet"/>
      </w:pPr>
      <w:r>
        <w:t>Kwan P, et al. Definition of drug resistant epilepsy: Consensus proposal by the ad hoc Task Force of the ILAE Commission on Therapeutic Strategies. Epilepsia. 2010;51(6):1069-1077.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