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17365D"/>
          <w:sz w:val="60"/>
        </w:rPr>
        <w:t>MedAI / EpiSynth</w:t>
      </w:r>
    </w:p>
    <w:p>
      <w:pPr>
        <w:jc w:val="center"/>
      </w:pPr>
      <w:r>
        <w:rPr>
          <w:b/>
          <w:color w:val="2F5597"/>
          <w:sz w:val="38"/>
        </w:rPr>
        <w:t>Documentation Hierarchy &amp; Research Map</w:t>
      </w:r>
    </w:p>
    <w:p>
      <w:pPr>
        <w:jc w:val="center"/>
      </w:pPr>
      <w:r>
        <w:rPr>
          <w:sz w:val="20"/>
        </w:rPr>
        <w:t>Master navigation document for the corrected research documentation set</w:t>
        <w:br/>
        <w:t>Version 1.0 • 25 September 2026</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Purpose</w:t>
              <w:br/>
            </w:r>
            <w:r>
              <w:t>This is the map of the documentation system. It explains which documents are foundational, which depend on earlier documents, which are operational experiment packages, which are higher-level manuscript/program documents, and which older files have been superseded.</w:t>
            </w:r>
          </w:p>
        </w:tc>
      </w:tr>
    </w:tbl>
    <w:p/>
    <w:p>
      <w:pPr>
        <w:pStyle w:val="Heading1"/>
      </w:pPr>
      <w:r>
        <w:t>1. The documentation hierarchy</w:t>
      </w:r>
    </w:p>
    <w:p>
      <w:pPr>
        <w:ind w:left="0"/>
      </w:pPr>
      <w:r>
        <w:rPr>
          <w:rFonts w:ascii="Aptos" w:hAnsi="Aptos"/>
          <w:b/>
          <w:color w:val="17365D"/>
          <w:sz w:val="18"/>
        </w:rPr>
        <w:t>LEVEL 0 — PROGRAM / PUBLICATION STRATEGY</w:t>
      </w:r>
    </w:p>
    <w:p>
      <w:pPr>
        <w:ind w:left="360"/>
      </w:pPr>
      <w:r>
        <w:rPr>
          <w:rFonts w:ascii="Aptos" w:hAnsi="Aptos"/>
          <w:b w:val="0"/>
          <w:sz w:val="18"/>
        </w:rPr>
        <w:t xml:space="preserve">    ↓ defines the research program and papers</w:t>
      </w:r>
    </w:p>
    <w:p>
      <w:pPr>
        <w:ind w:left="0"/>
      </w:pPr>
      <w:r>
        <w:rPr>
          <w:rFonts w:ascii="Aptos" w:hAnsi="Aptos"/>
          <w:b/>
          <w:color w:val="17365D"/>
          <w:sz w:val="18"/>
        </w:rPr>
        <w:t>LEVEL 1 — AUTHORITATIVE EVIDENCE &amp; EXTERNAL PRECEDENT</w:t>
      </w:r>
    </w:p>
    <w:p>
      <w:pPr>
        <w:ind w:left="360"/>
      </w:pPr>
      <w:r>
        <w:rPr>
          <w:rFonts w:ascii="Aptos" w:hAnsi="Aptos"/>
          <w:b w:val="0"/>
          <w:sz w:val="18"/>
        </w:rPr>
        <w:t xml:space="preserve">    ↓ establishes what may be claimed or represented</w:t>
      </w:r>
    </w:p>
    <w:p>
      <w:pPr>
        <w:ind w:left="0"/>
      </w:pPr>
      <w:r>
        <w:rPr>
          <w:rFonts w:ascii="Aptos" w:hAnsi="Aptos"/>
          <w:b/>
          <w:color w:val="17365D"/>
          <w:sz w:val="18"/>
        </w:rPr>
        <w:t>LEVEL 2 — SEMANTIC / ONTOLOGICAL MODEL</w:t>
      </w:r>
    </w:p>
    <w:p>
      <w:pPr>
        <w:ind w:left="360"/>
      </w:pPr>
      <w:r>
        <w:rPr>
          <w:rFonts w:ascii="Aptos" w:hAnsi="Aptos"/>
          <w:b w:val="0"/>
          <w:sz w:val="18"/>
        </w:rPr>
        <w:t xml:space="preserve">    ↓ converts standards into a computational application profile</w:t>
      </w:r>
    </w:p>
    <w:p>
      <w:pPr>
        <w:ind w:left="0"/>
      </w:pPr>
      <w:r>
        <w:rPr>
          <w:rFonts w:ascii="Aptos" w:hAnsi="Aptos"/>
          <w:b/>
          <w:color w:val="17365D"/>
          <w:sz w:val="18"/>
        </w:rPr>
        <w:t>LEVEL 3 — ANNOTATION &amp; GOLD-STANDARD RULES</w:t>
      </w:r>
    </w:p>
    <w:p>
      <w:pPr>
        <w:ind w:left="360"/>
      </w:pPr>
      <w:r>
        <w:rPr>
          <w:rFonts w:ascii="Aptos" w:hAnsi="Aptos"/>
          <w:b w:val="0"/>
          <w:sz w:val="18"/>
        </w:rPr>
        <w:t xml:space="preserve">    ↓ defines how clinical text is labeled</w:t>
      </w:r>
    </w:p>
    <w:p>
      <w:pPr>
        <w:ind w:left="0"/>
      </w:pPr>
      <w:r>
        <w:rPr>
          <w:rFonts w:ascii="Aptos" w:hAnsi="Aptos"/>
          <w:b/>
          <w:color w:val="17365D"/>
          <w:sz w:val="18"/>
        </w:rPr>
        <w:t>LEVEL 4 — SYNTHETIC PATIENT / EVENT TRUTH</w:t>
      </w:r>
    </w:p>
    <w:p>
      <w:pPr>
        <w:ind w:left="360"/>
      </w:pPr>
      <w:r>
        <w:rPr>
          <w:rFonts w:ascii="Aptos" w:hAnsi="Aptos"/>
          <w:b w:val="0"/>
          <w:sz w:val="18"/>
        </w:rPr>
        <w:t xml:space="preserve">    ↓ creates latent truth before prose</w:t>
      </w:r>
    </w:p>
    <w:p>
      <w:pPr>
        <w:ind w:left="0"/>
      </w:pPr>
      <w:r>
        <w:rPr>
          <w:rFonts w:ascii="Aptos" w:hAnsi="Aptos"/>
          <w:b/>
          <w:color w:val="17365D"/>
          <w:sz w:val="18"/>
        </w:rPr>
        <w:t>LEVEL 5 — DOCUMENT GENERATION METHODOLOGY</w:t>
      </w:r>
    </w:p>
    <w:p>
      <w:pPr>
        <w:ind w:left="360"/>
      </w:pPr>
      <w:r>
        <w:rPr>
          <w:rFonts w:ascii="Aptos" w:hAnsi="Aptos"/>
          <w:b w:val="0"/>
          <w:sz w:val="18"/>
        </w:rPr>
        <w:t xml:space="preserve">    ↓ controls how truth becomes synthetic clinical documents</w:t>
      </w:r>
    </w:p>
    <w:p>
      <w:pPr>
        <w:ind w:left="0"/>
      </w:pPr>
      <w:r>
        <w:rPr>
          <w:rFonts w:ascii="Aptos" w:hAnsi="Aptos"/>
          <w:b/>
          <w:color w:val="17365D"/>
          <w:sz w:val="18"/>
        </w:rPr>
        <w:t>LEVEL 6 — PILOT EXECUTION &amp; VALIDATION</w:t>
      </w:r>
    </w:p>
    <w:p>
      <w:pPr>
        <w:ind w:left="360"/>
      </w:pPr>
      <w:r>
        <w:rPr>
          <w:rFonts w:ascii="Aptos" w:hAnsi="Aptos"/>
          <w:b w:val="0"/>
          <w:sz w:val="18"/>
        </w:rPr>
        <w:t xml:space="preserve">    ↓ empirically tests truth preservation and realism</w:t>
      </w:r>
    </w:p>
    <w:p>
      <w:pPr>
        <w:ind w:left="0"/>
      </w:pPr>
      <w:r>
        <w:rPr>
          <w:rFonts w:ascii="Aptos" w:hAnsi="Aptos"/>
          <w:b/>
          <w:color w:val="17365D"/>
          <w:sz w:val="18"/>
        </w:rPr>
        <w:t>LEVEL 7 — EPISYNTH BENCHMARK</w:t>
      </w:r>
    </w:p>
    <w:p>
      <w:pPr>
        <w:ind w:left="360"/>
      </w:pPr>
      <w:r>
        <w:rPr>
          <w:rFonts w:ascii="Aptos" w:hAnsi="Aptos"/>
          <w:b w:val="0"/>
          <w:sz w:val="18"/>
        </w:rPr>
        <w:t xml:space="preserve">    ↓ freezes dataset/tasks/splits/provenance</w:t>
      </w:r>
    </w:p>
    <w:p>
      <w:pPr>
        <w:ind w:left="0"/>
      </w:pPr>
      <w:r>
        <w:rPr>
          <w:rFonts w:ascii="Aptos" w:hAnsi="Aptos"/>
          <w:b/>
          <w:color w:val="17365D"/>
          <w:sz w:val="18"/>
        </w:rPr>
        <w:t>LEVEL 8 — MEDAI MODEL EVALUATION</w:t>
      </w:r>
    </w:p>
    <w:p>
      <w:pPr>
        <w:ind w:left="360"/>
      </w:pPr>
      <w:r>
        <w:rPr>
          <w:rFonts w:ascii="Aptos" w:hAnsi="Aptos"/>
          <w:b w:val="0"/>
          <w:sz w:val="18"/>
        </w:rPr>
        <w:t xml:space="preserve">    ↓ tests extraction/evidence-grounding systems</w:t>
      </w:r>
    </w:p>
    <w:p>
      <w:pPr>
        <w:ind w:left="0"/>
      </w:pPr>
      <w:r>
        <w:rPr>
          <w:rFonts w:ascii="Aptos" w:hAnsi="Aptos"/>
          <w:b/>
          <w:color w:val="17365D"/>
          <w:sz w:val="18"/>
        </w:rPr>
        <w:t>LEVEL 9 — REAL-WORLD VALIDATION</w:t>
      </w:r>
    </w:p>
    <w:p>
      <w:pPr>
        <w:ind w:left="360"/>
      </w:pPr>
      <w:r>
        <w:rPr>
          <w:rFonts w:ascii="Aptos" w:hAnsi="Aptos"/>
          <w:b w:val="0"/>
          <w:sz w:val="18"/>
        </w:rPr>
        <w:t xml:space="preserve">    ↓ tests synthetic-to-real transfer</w:t>
      </w:r>
    </w:p>
    <w:p>
      <w:pPr>
        <w:ind w:left="0"/>
      </w:pPr>
      <w:r>
        <w:rPr>
          <w:rFonts w:ascii="Aptos" w:hAnsi="Aptos"/>
          <w:b/>
          <w:color w:val="17365D"/>
          <w:sz w:val="18"/>
        </w:rPr>
        <w:t>LEVEL 10 — PUBLICATION / RELEASE</w:t>
      </w:r>
    </w:p>
    <w:p>
      <w:pPr>
        <w:pStyle w:val="Heading1"/>
      </w:pPr>
      <w:r>
        <w:t>2. Master dependency map</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vAlign w:val="center"/>
          </w:tcPr>
          <w:p>
            <w:r>
              <w:rPr>
                <w:b/>
                <w:sz w:val="11"/>
              </w:rPr>
              <w:t>Layer</w:t>
            </w:r>
          </w:p>
        </w:tc>
        <w:tc>
          <w:tcPr>
            <w:tcW w:type="dxa" w:w="2570"/>
            <w:shd w:fill="D9EAF7"/>
            <w:vAlign w:val="center"/>
          </w:tcPr>
          <w:p>
            <w:r>
              <w:rPr>
                <w:b/>
                <w:sz w:val="11"/>
              </w:rPr>
              <w:t>Document</w:t>
            </w:r>
          </w:p>
        </w:tc>
        <w:tc>
          <w:tcPr>
            <w:tcW w:type="dxa" w:w="2570"/>
            <w:shd w:fill="D9EAF7"/>
            <w:vAlign w:val="center"/>
          </w:tcPr>
          <w:p>
            <w:r>
              <w:rPr>
                <w:b/>
                <w:sz w:val="11"/>
              </w:rPr>
              <w:t>Depends on</w:t>
            </w:r>
          </w:p>
        </w:tc>
        <w:tc>
          <w:tcPr>
            <w:tcW w:type="dxa" w:w="2570"/>
            <w:shd w:fill="D9EAF7"/>
            <w:vAlign w:val="center"/>
          </w:tcPr>
          <w:p>
            <w:r>
              <w:rPr>
                <w:b/>
                <w:sz w:val="11"/>
              </w:rPr>
              <w:t>What it controls / establishes</w:t>
            </w:r>
          </w:p>
        </w:tc>
      </w:tr>
      <w:tr>
        <w:tc>
          <w:tcPr>
            <w:tcW w:type="dxa" w:w="2570"/>
            <w:vAlign w:val="center"/>
          </w:tcPr>
          <w:p>
            <w:pPr>
              <w:spacing w:after="0"/>
            </w:pPr>
            <w:r>
              <w:rPr>
                <w:sz w:val="10"/>
              </w:rPr>
              <w:t>0</w:t>
            </w:r>
          </w:p>
        </w:tc>
        <w:tc>
          <w:tcPr>
            <w:tcW w:type="dxa" w:w="2570"/>
            <w:vAlign w:val="center"/>
          </w:tcPr>
          <w:p>
            <w:pPr>
              <w:spacing w:after="0"/>
            </w:pPr>
            <w:r>
              <w:rPr>
                <w:sz w:val="10"/>
              </w:rPr>
              <w:t>Research Publication Program — Redesigned</w:t>
            </w:r>
          </w:p>
        </w:tc>
        <w:tc>
          <w:tcPr>
            <w:tcW w:type="dxa" w:w="2570"/>
            <w:vAlign w:val="center"/>
          </w:tcPr>
          <w:p>
            <w:pPr>
              <w:spacing w:after="0"/>
            </w:pPr>
            <w:r>
              <w:rPr>
                <w:sz w:val="10"/>
              </w:rPr>
              <w:t>Overall research goal</w:t>
            </w:r>
          </w:p>
        </w:tc>
        <w:tc>
          <w:tcPr>
            <w:tcW w:type="dxa" w:w="2570"/>
            <w:vAlign w:val="center"/>
          </w:tcPr>
          <w:p>
            <w:pPr>
              <w:spacing w:after="0"/>
            </w:pPr>
            <w:r>
              <w:rPr>
                <w:sz w:val="10"/>
              </w:rPr>
              <w:t>Portfolio of MedAI/EpiSynth papers and sequencing</w:t>
            </w:r>
          </w:p>
        </w:tc>
      </w:tr>
      <w:tr>
        <w:tc>
          <w:tcPr>
            <w:tcW w:type="dxa" w:w="2570"/>
            <w:vAlign w:val="center"/>
          </w:tcPr>
          <w:p>
            <w:pPr>
              <w:spacing w:after="0"/>
            </w:pPr>
            <w:r>
              <w:rPr>
                <w:sz w:val="10"/>
              </w:rPr>
              <w:t>0</w:t>
            </w:r>
          </w:p>
        </w:tc>
        <w:tc>
          <w:tcPr>
            <w:tcW w:type="dxa" w:w="2570"/>
            <w:vAlign w:val="center"/>
          </w:tcPr>
          <w:p>
            <w:pPr>
              <w:spacing w:after="0"/>
            </w:pPr>
            <w:r>
              <w:rPr>
                <w:sz w:val="10"/>
              </w:rPr>
              <w:t>Paper 1 Full Study Protocol &amp; Manuscript Blueprint</w:t>
            </w:r>
          </w:p>
        </w:tc>
        <w:tc>
          <w:tcPr>
            <w:tcW w:type="dxa" w:w="2570"/>
            <w:vAlign w:val="center"/>
          </w:tcPr>
          <w:p>
            <w:pPr>
              <w:spacing w:after="0"/>
            </w:pPr>
            <w:r>
              <w:rPr>
                <w:sz w:val="10"/>
              </w:rPr>
              <w:t>Program strategy</w:t>
            </w:r>
          </w:p>
        </w:tc>
        <w:tc>
          <w:tcPr>
            <w:tcW w:type="dxa" w:w="2570"/>
            <w:vAlign w:val="center"/>
          </w:tcPr>
          <w:p>
            <w:pPr>
              <w:spacing w:after="0"/>
            </w:pPr>
            <w:r>
              <w:rPr>
                <w:sz w:val="10"/>
              </w:rPr>
              <w:t>Paper-level scientific question, experiments, manuscript plan</w:t>
            </w:r>
          </w:p>
        </w:tc>
      </w:tr>
      <w:tr>
        <w:tc>
          <w:tcPr>
            <w:tcW w:type="dxa" w:w="2570"/>
            <w:vAlign w:val="center"/>
          </w:tcPr>
          <w:p>
            <w:pPr>
              <w:spacing w:after="0"/>
            </w:pPr>
            <w:r>
              <w:rPr>
                <w:sz w:val="10"/>
              </w:rPr>
              <w:t>0</w:t>
            </w:r>
          </w:p>
        </w:tc>
        <w:tc>
          <w:tcPr>
            <w:tcW w:type="dxa" w:w="2570"/>
            <w:vAlign w:val="center"/>
          </w:tcPr>
          <w:p>
            <w:pPr>
              <w:spacing w:after="0"/>
            </w:pPr>
            <w:r>
              <w:rPr>
                <w:sz w:val="10"/>
              </w:rPr>
              <w:t>Paper 1 Heterogeneous Clinical Documents Blueprint</w:t>
            </w:r>
          </w:p>
        </w:tc>
        <w:tc>
          <w:tcPr>
            <w:tcW w:type="dxa" w:w="2570"/>
            <w:vAlign w:val="center"/>
          </w:tcPr>
          <w:p>
            <w:pPr>
              <w:spacing w:after="0"/>
            </w:pPr>
            <w:r>
              <w:rPr>
                <w:sz w:val="10"/>
              </w:rPr>
              <w:t>Paper 1 protocol</w:t>
            </w:r>
          </w:p>
        </w:tc>
        <w:tc>
          <w:tcPr>
            <w:tcW w:type="dxa" w:w="2570"/>
            <w:vAlign w:val="center"/>
          </w:tcPr>
          <w:p>
            <w:pPr>
              <w:spacing w:after="0"/>
            </w:pPr>
            <w:r>
              <w:rPr>
                <w:sz w:val="10"/>
              </w:rPr>
              <w:t>Text-only heterogeneous-document scope</w:t>
            </w:r>
          </w:p>
        </w:tc>
      </w:tr>
      <w:tr>
        <w:tc>
          <w:tcPr>
            <w:tcW w:type="dxa" w:w="2570"/>
            <w:vAlign w:val="center"/>
          </w:tcPr>
          <w:p>
            <w:pPr>
              <w:spacing w:after="0"/>
            </w:pPr>
            <w:r>
              <w:rPr>
                <w:sz w:val="10"/>
              </w:rPr>
              <w:t>0</w:t>
            </w:r>
          </w:p>
        </w:tc>
        <w:tc>
          <w:tcPr>
            <w:tcW w:type="dxa" w:w="2570"/>
            <w:vAlign w:val="center"/>
          </w:tcPr>
          <w:p>
            <w:pPr>
              <w:spacing w:after="0"/>
            </w:pPr>
            <w:r>
              <w:rPr>
                <w:sz w:val="10"/>
              </w:rPr>
              <w:t>Paper 1 Literature Review Reference Guide</w:t>
            </w:r>
          </w:p>
        </w:tc>
        <w:tc>
          <w:tcPr>
            <w:tcW w:type="dxa" w:w="2570"/>
            <w:vAlign w:val="center"/>
          </w:tcPr>
          <w:p>
            <w:pPr>
              <w:spacing w:after="0"/>
            </w:pPr>
            <w:r>
              <w:rPr>
                <w:sz w:val="10"/>
              </w:rPr>
              <w:t>Paper 1 scope</w:t>
            </w:r>
          </w:p>
        </w:tc>
        <w:tc>
          <w:tcPr>
            <w:tcW w:type="dxa" w:w="2570"/>
            <w:vAlign w:val="center"/>
          </w:tcPr>
          <w:p>
            <w:pPr>
              <w:spacing w:after="0"/>
            </w:pPr>
            <w:r>
              <w:rPr>
                <w:sz w:val="10"/>
              </w:rPr>
              <w:t>Literature-reading/reference structure</w:t>
            </w:r>
          </w:p>
        </w:tc>
      </w:tr>
      <w:tr>
        <w:tc>
          <w:tcPr>
            <w:tcW w:type="dxa" w:w="2570"/>
            <w:vAlign w:val="center"/>
          </w:tcPr>
          <w:p>
            <w:pPr>
              <w:spacing w:after="0"/>
            </w:pPr>
            <w:r>
              <w:rPr>
                <w:sz w:val="10"/>
              </w:rPr>
              <w:t>1</w:t>
            </w:r>
          </w:p>
        </w:tc>
        <w:tc>
          <w:tcPr>
            <w:tcW w:type="dxa" w:w="2570"/>
            <w:vAlign w:val="center"/>
          </w:tcPr>
          <w:p>
            <w:pPr>
              <w:spacing w:after="0"/>
            </w:pPr>
            <w:r>
              <w:rPr>
                <w:sz w:val="10"/>
              </w:rPr>
              <w:t>Phase 1 — Authoritative Evidence Base</w:t>
            </w:r>
          </w:p>
        </w:tc>
        <w:tc>
          <w:tcPr>
            <w:tcW w:type="dxa" w:w="2570"/>
            <w:vAlign w:val="center"/>
          </w:tcPr>
          <w:p>
            <w:pPr>
              <w:spacing w:after="0"/>
            </w:pPr>
            <w:r>
              <w:rPr>
                <w:sz w:val="10"/>
              </w:rPr>
              <w:t>External authoritative sources</w:t>
            </w:r>
          </w:p>
        </w:tc>
        <w:tc>
          <w:tcPr>
            <w:tcW w:type="dxa" w:w="2570"/>
            <w:vAlign w:val="center"/>
          </w:tcPr>
          <w:p>
            <w:pPr>
              <w:spacing w:after="0"/>
            </w:pPr>
            <w:r>
              <w:rPr>
                <w:sz w:val="10"/>
              </w:rPr>
              <w:t>Evidence hierarchy and source registry</w:t>
            </w:r>
          </w:p>
        </w:tc>
      </w:tr>
      <w:tr>
        <w:tc>
          <w:tcPr>
            <w:tcW w:type="dxa" w:w="2570"/>
            <w:vAlign w:val="center"/>
          </w:tcPr>
          <w:p>
            <w:pPr>
              <w:spacing w:after="0"/>
            </w:pPr>
            <w:r>
              <w:rPr>
                <w:sz w:val="10"/>
              </w:rPr>
              <w:t>1</w:t>
            </w:r>
          </w:p>
        </w:tc>
        <w:tc>
          <w:tcPr>
            <w:tcW w:type="dxa" w:w="2570"/>
            <w:vAlign w:val="center"/>
          </w:tcPr>
          <w:p>
            <w:pPr>
              <w:spacing w:after="0"/>
            </w:pPr>
            <w:r>
              <w:rPr>
                <w:sz w:val="10"/>
              </w:rPr>
              <w:t>Phase 2 — Published Annotation &amp; Public Dataset Audit</w:t>
            </w:r>
          </w:p>
        </w:tc>
        <w:tc>
          <w:tcPr>
            <w:tcW w:type="dxa" w:w="2570"/>
            <w:vAlign w:val="center"/>
          </w:tcPr>
          <w:p>
            <w:pPr>
              <w:spacing w:after="0"/>
            </w:pPr>
            <w:r>
              <w:rPr>
                <w:sz w:val="10"/>
              </w:rPr>
              <w:t>Phase 1</w:t>
            </w:r>
          </w:p>
        </w:tc>
        <w:tc>
          <w:tcPr>
            <w:tcW w:type="dxa" w:w="2570"/>
            <w:vAlign w:val="center"/>
          </w:tcPr>
          <w:p>
            <w:pPr>
              <w:spacing w:after="0"/>
            </w:pPr>
            <w:r>
              <w:rPr>
                <w:sz w:val="10"/>
              </w:rPr>
              <w:t>Existing corpora, annotation precedents, external validation opportunities</w:t>
            </w:r>
          </w:p>
        </w:tc>
      </w:tr>
      <w:tr>
        <w:tc>
          <w:tcPr>
            <w:tcW w:type="dxa" w:w="2570"/>
            <w:vAlign w:val="center"/>
          </w:tcPr>
          <w:p>
            <w:pPr>
              <w:spacing w:after="0"/>
            </w:pPr>
            <w:r>
              <w:rPr>
                <w:sz w:val="10"/>
              </w:rPr>
              <w:t>1</w:t>
            </w:r>
          </w:p>
        </w:tc>
        <w:tc>
          <w:tcPr>
            <w:tcW w:type="dxa" w:w="2570"/>
            <w:vAlign w:val="center"/>
          </w:tcPr>
          <w:p>
            <w:pPr>
              <w:spacing w:after="0"/>
            </w:pPr>
            <w:r>
              <w:rPr>
                <w:sz w:val="10"/>
              </w:rPr>
              <w:t>Phase 2B — Annotation Artifact Extraction &amp; Crosswalk</w:t>
            </w:r>
          </w:p>
        </w:tc>
        <w:tc>
          <w:tcPr>
            <w:tcW w:type="dxa" w:w="2570"/>
            <w:vAlign w:val="center"/>
          </w:tcPr>
          <w:p>
            <w:pPr>
              <w:spacing w:after="0"/>
            </w:pPr>
            <w:r>
              <w:rPr>
                <w:sz w:val="10"/>
              </w:rPr>
              <w:t>Phase 2</w:t>
            </w:r>
          </w:p>
        </w:tc>
        <w:tc>
          <w:tcPr>
            <w:tcW w:type="dxa" w:w="2570"/>
            <w:vAlign w:val="center"/>
          </w:tcPr>
          <w:p>
            <w:pPr>
              <w:spacing w:after="0"/>
            </w:pPr>
            <w:r>
              <w:rPr>
                <w:sz w:val="10"/>
              </w:rPr>
              <w:t>Published annotation structures mapped to MedAI needs</w:t>
            </w:r>
          </w:p>
        </w:tc>
      </w:tr>
      <w:tr>
        <w:tc>
          <w:tcPr>
            <w:tcW w:type="dxa" w:w="2570"/>
            <w:vAlign w:val="center"/>
          </w:tcPr>
          <w:p>
            <w:pPr>
              <w:spacing w:after="0"/>
            </w:pPr>
            <w:r>
              <w:rPr>
                <w:sz w:val="10"/>
              </w:rPr>
              <w:t>2</w:t>
            </w:r>
          </w:p>
        </w:tc>
        <w:tc>
          <w:tcPr>
            <w:tcW w:type="dxa" w:w="2570"/>
            <w:vAlign w:val="center"/>
          </w:tcPr>
          <w:p>
            <w:pPr>
              <w:spacing w:after="0"/>
            </w:pPr>
            <w:r>
              <w:rPr>
                <w:sz w:val="10"/>
              </w:rPr>
              <w:t>Phase 3A — Semantic Data Dictionary</w:t>
            </w:r>
          </w:p>
        </w:tc>
        <w:tc>
          <w:tcPr>
            <w:tcW w:type="dxa" w:w="2570"/>
            <w:vAlign w:val="center"/>
          </w:tcPr>
          <w:p>
            <w:pPr>
              <w:spacing w:after="0"/>
            </w:pPr>
            <w:r>
              <w:rPr>
                <w:sz w:val="10"/>
              </w:rPr>
              <w:t>Phases 1–2B</w:t>
            </w:r>
          </w:p>
        </w:tc>
        <w:tc>
          <w:tcPr>
            <w:tcW w:type="dxa" w:w="2570"/>
            <w:vAlign w:val="center"/>
          </w:tcPr>
          <w:p>
            <w:pPr>
              <w:spacing w:after="0"/>
            </w:pPr>
            <w:r>
              <w:rPr>
                <w:sz w:val="10"/>
              </w:rPr>
              <w:t>Preliminary phenotype fields, value sets, definitions, unresolved items</w:t>
            </w:r>
          </w:p>
        </w:tc>
      </w:tr>
      <w:tr>
        <w:tc>
          <w:tcPr>
            <w:tcW w:type="dxa" w:w="2570"/>
            <w:vAlign w:val="center"/>
          </w:tcPr>
          <w:p>
            <w:pPr>
              <w:spacing w:after="0"/>
            </w:pPr>
            <w:r>
              <w:rPr>
                <w:sz w:val="10"/>
              </w:rPr>
              <w:t>2</w:t>
            </w:r>
          </w:p>
        </w:tc>
        <w:tc>
          <w:tcPr>
            <w:tcW w:type="dxa" w:w="2570"/>
            <w:vAlign w:val="center"/>
          </w:tcPr>
          <w:p>
            <w:pPr>
              <w:spacing w:after="0"/>
            </w:pPr>
            <w:r>
              <w:rPr>
                <w:sz w:val="10"/>
              </w:rPr>
              <w:t>Phase 3B — Source Taxonomy Reconstruction</w:t>
            </w:r>
          </w:p>
        </w:tc>
        <w:tc>
          <w:tcPr>
            <w:tcW w:type="dxa" w:w="2570"/>
            <w:vAlign w:val="center"/>
          </w:tcPr>
          <w:p>
            <w:pPr>
              <w:spacing w:after="0"/>
            </w:pPr>
            <w:r>
              <w:rPr>
                <w:sz w:val="10"/>
              </w:rPr>
              <w:t>Phase 1 + 3A corrections</w:t>
            </w:r>
          </w:p>
        </w:tc>
        <w:tc>
          <w:tcPr>
            <w:tcW w:type="dxa" w:w="2570"/>
            <w:vAlign w:val="center"/>
          </w:tcPr>
          <w:p>
            <w:pPr>
              <w:spacing w:after="0"/>
            </w:pPr>
            <w:r>
              <w:rPr>
                <w:sz w:val="10"/>
              </w:rPr>
              <w:t>Source-native hierarchy: seizure, epilepsy, etiology, syndrome, EEG, DRE</w:t>
            </w:r>
          </w:p>
        </w:tc>
      </w:tr>
      <w:tr>
        <w:tc>
          <w:tcPr>
            <w:tcW w:type="dxa" w:w="2570"/>
            <w:vAlign w:val="center"/>
          </w:tcPr>
          <w:p>
            <w:pPr>
              <w:spacing w:after="0"/>
            </w:pPr>
            <w:r>
              <w:rPr>
                <w:sz w:val="10"/>
              </w:rPr>
              <w:t>2</w:t>
            </w:r>
          </w:p>
        </w:tc>
        <w:tc>
          <w:tcPr>
            <w:tcW w:type="dxa" w:w="2570"/>
            <w:vAlign w:val="center"/>
          </w:tcPr>
          <w:p>
            <w:pPr>
              <w:spacing w:after="0"/>
            </w:pPr>
            <w:r>
              <w:rPr>
                <w:sz w:val="10"/>
              </w:rPr>
              <w:t>Phase 3C — Clinical Document Phenotype Model</w:t>
            </w:r>
          </w:p>
        </w:tc>
        <w:tc>
          <w:tcPr>
            <w:tcW w:type="dxa" w:w="2570"/>
            <w:vAlign w:val="center"/>
          </w:tcPr>
          <w:p>
            <w:pPr>
              <w:spacing w:after="0"/>
            </w:pPr>
            <w:r>
              <w:rPr>
                <w:sz w:val="10"/>
              </w:rPr>
              <w:t>3B</w:t>
            </w:r>
          </w:p>
        </w:tc>
        <w:tc>
          <w:tcPr>
            <w:tcW w:type="dxa" w:w="2570"/>
            <w:vAlign w:val="center"/>
          </w:tcPr>
          <w:p>
            <w:pPr>
              <w:spacing w:after="0"/>
            </w:pPr>
            <w:r>
              <w:rPr>
                <w:sz w:val="10"/>
              </w:rPr>
              <w:t>Document → evidence → assertion → normalized/derived representation</w:t>
            </w:r>
          </w:p>
        </w:tc>
      </w:tr>
      <w:tr>
        <w:tc>
          <w:tcPr>
            <w:tcW w:type="dxa" w:w="2570"/>
            <w:vAlign w:val="center"/>
          </w:tcPr>
          <w:p>
            <w:pPr>
              <w:spacing w:after="0"/>
            </w:pPr>
            <w:r>
              <w:rPr>
                <w:sz w:val="10"/>
              </w:rPr>
              <w:t>2</w:t>
            </w:r>
          </w:p>
        </w:tc>
        <w:tc>
          <w:tcPr>
            <w:tcW w:type="dxa" w:w="2570"/>
            <w:vAlign w:val="center"/>
          </w:tcPr>
          <w:p>
            <w:pPr>
              <w:spacing w:after="0"/>
            </w:pPr>
            <w:r>
              <w:rPr>
                <w:sz w:val="10"/>
              </w:rPr>
              <w:t>Phase 3D / 4.1 — Application Profile &amp; Value-Set Closure</w:t>
            </w:r>
          </w:p>
        </w:tc>
        <w:tc>
          <w:tcPr>
            <w:tcW w:type="dxa" w:w="2570"/>
            <w:vAlign w:val="center"/>
          </w:tcPr>
          <w:p>
            <w:pPr>
              <w:spacing w:after="0"/>
            </w:pPr>
            <w:r>
              <w:rPr>
                <w:sz w:val="10"/>
              </w:rPr>
              <w:t>3A–3C</w:t>
            </w:r>
          </w:p>
        </w:tc>
        <w:tc>
          <w:tcPr>
            <w:tcW w:type="dxa" w:w="2570"/>
            <w:vAlign w:val="center"/>
          </w:tcPr>
          <w:p>
            <w:pPr>
              <w:spacing w:after="0"/>
            </w:pPr>
            <w:r>
              <w:rPr>
                <w:sz w:val="10"/>
              </w:rPr>
              <w:t>Frozen vs limited vs source-text-only vs blocked concepts for generation/gold</w:t>
            </w:r>
          </w:p>
        </w:tc>
      </w:tr>
      <w:tr>
        <w:tc>
          <w:tcPr>
            <w:tcW w:type="dxa" w:w="2570"/>
            <w:vAlign w:val="center"/>
          </w:tcPr>
          <w:p>
            <w:pPr>
              <w:spacing w:after="0"/>
            </w:pPr>
            <w:r>
              <w:rPr>
                <w:sz w:val="10"/>
              </w:rPr>
              <w:t>3</w:t>
            </w:r>
          </w:p>
        </w:tc>
        <w:tc>
          <w:tcPr>
            <w:tcW w:type="dxa" w:w="2570"/>
            <w:vAlign w:val="center"/>
          </w:tcPr>
          <w:p>
            <w:pPr>
              <w:spacing w:after="0"/>
            </w:pPr>
            <w:r>
              <w:rPr>
                <w:sz w:val="10"/>
              </w:rPr>
              <w:t>Phase 4 — Evidence-Backed Annotation Manual</w:t>
            </w:r>
          </w:p>
        </w:tc>
        <w:tc>
          <w:tcPr>
            <w:tcW w:type="dxa" w:w="2570"/>
            <w:vAlign w:val="center"/>
          </w:tcPr>
          <w:p>
            <w:pPr>
              <w:spacing w:after="0"/>
            </w:pPr>
            <w:r>
              <w:rPr>
                <w:sz w:val="10"/>
              </w:rPr>
              <w:t>3B–3D/4.1 + published methods</w:t>
            </w:r>
          </w:p>
        </w:tc>
        <w:tc>
          <w:tcPr>
            <w:tcW w:type="dxa" w:w="2570"/>
            <w:vAlign w:val="center"/>
          </w:tcPr>
          <w:p>
            <w:pPr>
              <w:spacing w:after="0"/>
            </w:pPr>
            <w:r>
              <w:rPr>
                <w:sz w:val="10"/>
              </w:rPr>
              <w:t>Human annotation rules, evidence, adjudication boundaries</w:t>
            </w:r>
          </w:p>
        </w:tc>
      </w:tr>
      <w:tr>
        <w:tc>
          <w:tcPr>
            <w:tcW w:type="dxa" w:w="2570"/>
            <w:vAlign w:val="center"/>
          </w:tcPr>
          <w:p>
            <w:pPr>
              <w:spacing w:after="0"/>
            </w:pPr>
            <w:r>
              <w:rPr>
                <w:sz w:val="10"/>
              </w:rPr>
              <w:t>4</w:t>
            </w:r>
          </w:p>
        </w:tc>
        <w:tc>
          <w:tcPr>
            <w:tcW w:type="dxa" w:w="2570"/>
            <w:vAlign w:val="center"/>
          </w:tcPr>
          <w:p>
            <w:pPr>
              <w:spacing w:after="0"/>
            </w:pPr>
            <w:r>
              <w:rPr>
                <w:sz w:val="10"/>
              </w:rPr>
              <w:t>Phase 5 — Synthetic Patient &amp; Event Model</w:t>
            </w:r>
          </w:p>
        </w:tc>
        <w:tc>
          <w:tcPr>
            <w:tcW w:type="dxa" w:w="2570"/>
            <w:vAlign w:val="center"/>
          </w:tcPr>
          <w:p>
            <w:pPr>
              <w:spacing w:after="0"/>
            </w:pPr>
            <w:r>
              <w:rPr>
                <w:sz w:val="10"/>
              </w:rPr>
              <w:t>3D/4.1 + 4</w:t>
            </w:r>
          </w:p>
        </w:tc>
        <w:tc>
          <w:tcPr>
            <w:tcW w:type="dxa" w:w="2570"/>
            <w:vAlign w:val="center"/>
          </w:tcPr>
          <w:p>
            <w:pPr>
              <w:spacing w:after="0"/>
            </w:pPr>
            <w:r>
              <w:rPr>
                <w:sz w:val="10"/>
              </w:rPr>
              <w:t>Patient truth → events → assertions before document prose</w:t>
            </w:r>
          </w:p>
        </w:tc>
      </w:tr>
      <w:tr>
        <w:tc>
          <w:tcPr>
            <w:tcW w:type="dxa" w:w="2570"/>
            <w:vAlign w:val="center"/>
          </w:tcPr>
          <w:p>
            <w:pPr>
              <w:spacing w:after="0"/>
            </w:pPr>
            <w:r>
              <w:rPr>
                <w:sz w:val="10"/>
              </w:rPr>
              <w:t>5</w:t>
            </w:r>
          </w:p>
        </w:tc>
        <w:tc>
          <w:tcPr>
            <w:tcW w:type="dxa" w:w="2570"/>
            <w:vAlign w:val="center"/>
          </w:tcPr>
          <w:p>
            <w:pPr>
              <w:spacing w:after="0"/>
            </w:pPr>
            <w:r>
              <w:rPr>
                <w:sz w:val="10"/>
              </w:rPr>
              <w:t>Phase 6A — Clinical Document Evidence &amp; Source Audit</w:t>
            </w:r>
          </w:p>
        </w:tc>
        <w:tc>
          <w:tcPr>
            <w:tcW w:type="dxa" w:w="2570"/>
            <w:vAlign w:val="center"/>
          </w:tcPr>
          <w:p>
            <w:pPr>
              <w:spacing w:after="0"/>
            </w:pPr>
            <w:r>
              <w:rPr>
                <w:sz w:val="10"/>
              </w:rPr>
              <w:t>1–5</w:t>
            </w:r>
          </w:p>
        </w:tc>
        <w:tc>
          <w:tcPr>
            <w:tcW w:type="dxa" w:w="2570"/>
            <w:vAlign w:val="center"/>
          </w:tcPr>
          <w:p>
            <w:pPr>
              <w:spacing w:after="0"/>
            </w:pPr>
            <w:r>
              <w:rPr>
                <w:sz w:val="10"/>
              </w:rPr>
              <w:t>Which document families/conventions are sufficiently supported</w:t>
            </w:r>
          </w:p>
        </w:tc>
      </w:tr>
      <w:tr>
        <w:tc>
          <w:tcPr>
            <w:tcW w:type="dxa" w:w="2570"/>
            <w:vAlign w:val="center"/>
          </w:tcPr>
          <w:p>
            <w:pPr>
              <w:spacing w:after="0"/>
            </w:pPr>
            <w:r>
              <w:rPr>
                <w:sz w:val="10"/>
              </w:rPr>
              <w:t>5</w:t>
            </w:r>
          </w:p>
        </w:tc>
        <w:tc>
          <w:tcPr>
            <w:tcW w:type="dxa" w:w="2570"/>
            <w:vAlign w:val="center"/>
          </w:tcPr>
          <w:p>
            <w:pPr>
              <w:spacing w:after="0"/>
            </w:pPr>
            <w:r>
              <w:rPr>
                <w:sz w:val="10"/>
              </w:rPr>
              <w:t>Phase 6B — Evidence-Constrained Document Generation</w:t>
            </w:r>
          </w:p>
        </w:tc>
        <w:tc>
          <w:tcPr>
            <w:tcW w:type="dxa" w:w="2570"/>
            <w:vAlign w:val="center"/>
          </w:tcPr>
          <w:p>
            <w:pPr>
              <w:spacing w:after="0"/>
            </w:pPr>
            <w:r>
              <w:rPr>
                <w:sz w:val="10"/>
              </w:rPr>
              <w:t>5 + 6A</w:t>
            </w:r>
          </w:p>
        </w:tc>
        <w:tc>
          <w:tcPr>
            <w:tcW w:type="dxa" w:w="2570"/>
            <w:vAlign w:val="center"/>
          </w:tcPr>
          <w:p>
            <w:pPr>
              <w:spacing w:after="0"/>
            </w:pPr>
            <w:r>
              <w:rPr>
                <w:sz w:val="10"/>
              </w:rPr>
              <w:t>Renderer contract: authorized truth only; document-family generation rules</w:t>
            </w:r>
          </w:p>
        </w:tc>
      </w:tr>
      <w:tr>
        <w:tc>
          <w:tcPr>
            <w:tcW w:type="dxa" w:w="2570"/>
            <w:vAlign w:val="center"/>
          </w:tcPr>
          <w:p>
            <w:pPr>
              <w:spacing w:after="0"/>
            </w:pPr>
            <w:r>
              <w:rPr>
                <w:sz w:val="10"/>
              </w:rPr>
              <w:t>5</w:t>
            </w:r>
          </w:p>
        </w:tc>
        <w:tc>
          <w:tcPr>
            <w:tcW w:type="dxa" w:w="2570"/>
            <w:vAlign w:val="center"/>
          </w:tcPr>
          <w:p>
            <w:pPr>
              <w:spacing w:after="0"/>
            </w:pPr>
            <w:r>
              <w:rPr>
                <w:sz w:val="10"/>
              </w:rPr>
              <w:t>Phase 6C — Methodological Provenance &amp; Validation Audit</w:t>
            </w:r>
          </w:p>
        </w:tc>
        <w:tc>
          <w:tcPr>
            <w:tcW w:type="dxa" w:w="2570"/>
            <w:vAlign w:val="center"/>
          </w:tcPr>
          <w:p>
            <w:pPr>
              <w:spacing w:after="0"/>
            </w:pPr>
            <w:r>
              <w:rPr>
                <w:sz w:val="10"/>
              </w:rPr>
              <w:t>6A–6B</w:t>
            </w:r>
          </w:p>
        </w:tc>
        <w:tc>
          <w:tcPr>
            <w:tcW w:type="dxa" w:w="2570"/>
            <w:vAlign w:val="center"/>
          </w:tcPr>
          <w:p>
            <w:pPr>
              <w:spacing w:after="0"/>
            </w:pPr>
            <w:r>
              <w:rPr>
                <w:sz w:val="10"/>
              </w:rPr>
              <w:t>Which methods are source-defined, adapted, experimental, unsupported, blocked</w:t>
            </w:r>
          </w:p>
        </w:tc>
      </w:tr>
      <w:tr>
        <w:tc>
          <w:tcPr>
            <w:tcW w:type="dxa" w:w="2570"/>
            <w:vAlign w:val="center"/>
          </w:tcPr>
          <w:p>
            <w:pPr>
              <w:spacing w:after="0"/>
            </w:pPr>
            <w:r>
              <w:rPr>
                <w:sz w:val="10"/>
              </w:rPr>
              <w:t>6</w:t>
            </w:r>
          </w:p>
        </w:tc>
        <w:tc>
          <w:tcPr>
            <w:tcW w:type="dxa" w:w="2570"/>
            <w:vAlign w:val="center"/>
          </w:tcPr>
          <w:p>
            <w:pPr>
              <w:spacing w:after="0"/>
            </w:pPr>
            <w:r>
              <w:rPr>
                <w:sz w:val="10"/>
              </w:rPr>
              <w:t>Phase 6D — Pilot Rendering &amp; Truth-Preservation Protocol</w:t>
            </w:r>
          </w:p>
        </w:tc>
        <w:tc>
          <w:tcPr>
            <w:tcW w:type="dxa" w:w="2570"/>
            <w:vAlign w:val="center"/>
          </w:tcPr>
          <w:p>
            <w:pPr>
              <w:spacing w:after="0"/>
            </w:pPr>
            <w:r>
              <w:rPr>
                <w:sz w:val="10"/>
              </w:rPr>
              <w:t>6A–6C</w:t>
            </w:r>
          </w:p>
        </w:tc>
        <w:tc>
          <w:tcPr>
            <w:tcW w:type="dxa" w:w="2570"/>
            <w:vAlign w:val="center"/>
          </w:tcPr>
          <w:p>
            <w:pPr>
              <w:spacing w:after="0"/>
            </w:pPr>
            <w:r>
              <w:rPr>
                <w:sz w:val="10"/>
              </w:rPr>
              <w:t>Prospective experimental conditions, outcomes, analysis boundaries</w:t>
            </w:r>
          </w:p>
        </w:tc>
      </w:tr>
      <w:tr>
        <w:tc>
          <w:tcPr>
            <w:tcW w:type="dxa" w:w="2570"/>
            <w:vAlign w:val="center"/>
          </w:tcPr>
          <w:p>
            <w:pPr>
              <w:spacing w:after="0"/>
            </w:pPr>
            <w:r>
              <w:rPr>
                <w:sz w:val="10"/>
              </w:rPr>
              <w:t>6</w:t>
            </w:r>
          </w:p>
        </w:tc>
        <w:tc>
          <w:tcPr>
            <w:tcW w:type="dxa" w:w="2570"/>
            <w:vAlign w:val="center"/>
          </w:tcPr>
          <w:p>
            <w:pPr>
              <w:spacing w:after="0"/>
            </w:pPr>
            <w:r>
              <w:rPr>
                <w:sz w:val="10"/>
              </w:rPr>
              <w:t>Phase 6D.1 v2 — GPT Multi-Generator Pre-Run Freeze</w:t>
            </w:r>
          </w:p>
        </w:tc>
        <w:tc>
          <w:tcPr>
            <w:tcW w:type="dxa" w:w="2570"/>
            <w:vAlign w:val="center"/>
          </w:tcPr>
          <w:p>
            <w:pPr>
              <w:spacing w:after="0"/>
            </w:pPr>
            <w:r>
              <w:rPr>
                <w:sz w:val="10"/>
              </w:rPr>
              <w:t>6D</w:t>
            </w:r>
          </w:p>
        </w:tc>
        <w:tc>
          <w:tcPr>
            <w:tcW w:type="dxa" w:w="2570"/>
            <w:vAlign w:val="center"/>
          </w:tcPr>
          <w:p>
            <w:pPr>
              <w:spacing w:after="0"/>
            </w:pPr>
            <w:r>
              <w:rPr>
                <w:sz w:val="10"/>
              </w:rPr>
              <w:t>Frozen cases, GPT generator panel, prompts, semantic plans, matrix</w:t>
            </w:r>
          </w:p>
        </w:tc>
      </w:tr>
      <w:tr>
        <w:tc>
          <w:tcPr>
            <w:tcW w:type="dxa" w:w="2570"/>
            <w:vAlign w:val="center"/>
          </w:tcPr>
          <w:p>
            <w:pPr>
              <w:spacing w:after="0"/>
            </w:pPr>
            <w:r>
              <w:rPr>
                <w:sz w:val="10"/>
              </w:rPr>
              <w:t>6</w:t>
            </w:r>
          </w:p>
        </w:tc>
        <w:tc>
          <w:tcPr>
            <w:tcW w:type="dxa" w:w="2570"/>
            <w:vAlign w:val="center"/>
          </w:tcPr>
          <w:p>
            <w:pPr>
              <w:spacing w:after="0"/>
            </w:pPr>
            <w:r>
              <w:rPr>
                <w:sz w:val="10"/>
              </w:rPr>
              <w:t>Phase 6D.2 — OpenAI API Runner</w:t>
            </w:r>
          </w:p>
        </w:tc>
        <w:tc>
          <w:tcPr>
            <w:tcW w:type="dxa" w:w="2570"/>
            <w:vAlign w:val="center"/>
          </w:tcPr>
          <w:p>
            <w:pPr>
              <w:spacing w:after="0"/>
            </w:pPr>
            <w:r>
              <w:rPr>
                <w:sz w:val="10"/>
              </w:rPr>
              <w:t>6D.1 v2</w:t>
            </w:r>
          </w:p>
        </w:tc>
        <w:tc>
          <w:tcPr>
            <w:tcW w:type="dxa" w:w="2570"/>
            <w:vAlign w:val="center"/>
          </w:tcPr>
          <w:p>
            <w:pPr>
              <w:spacing w:after="0"/>
            </w:pPr>
            <w:r>
              <w:rPr>
                <w:sz w:val="10"/>
              </w:rPr>
              <w:t>Executes frozen matrix and records raw outputs/provenance</w:t>
            </w:r>
          </w:p>
        </w:tc>
      </w:tr>
      <w:tr>
        <w:tc>
          <w:tcPr>
            <w:tcW w:type="dxa" w:w="2570"/>
            <w:vAlign w:val="center"/>
          </w:tcPr>
          <w:p>
            <w:pPr>
              <w:spacing w:after="0"/>
            </w:pPr>
            <w:r>
              <w:rPr>
                <w:sz w:val="10"/>
              </w:rPr>
              <w:t>6–10</w:t>
            </w:r>
          </w:p>
        </w:tc>
        <w:tc>
          <w:tcPr>
            <w:tcW w:type="dxa" w:w="2570"/>
            <w:vAlign w:val="center"/>
          </w:tcPr>
          <w:p>
            <w:pPr>
              <w:spacing w:after="0"/>
            </w:pPr>
            <w:r>
              <w:rPr>
                <w:sz w:val="10"/>
              </w:rPr>
              <w:t>Remaining Phases Roadmap</w:t>
            </w:r>
          </w:p>
        </w:tc>
        <w:tc>
          <w:tcPr>
            <w:tcW w:type="dxa" w:w="2570"/>
            <w:vAlign w:val="center"/>
          </w:tcPr>
          <w:p>
            <w:pPr>
              <w:spacing w:after="0"/>
            </w:pPr>
            <w:r>
              <w:rPr>
                <w:sz w:val="10"/>
              </w:rPr>
              <w:t>All preceding phases</w:t>
            </w:r>
          </w:p>
        </w:tc>
        <w:tc>
          <w:tcPr>
            <w:tcW w:type="dxa" w:w="2570"/>
            <w:vAlign w:val="center"/>
          </w:tcPr>
          <w:p>
            <w:pPr>
              <w:spacing w:after="0"/>
            </w:pPr>
            <w:r>
              <w:rPr>
                <w:sz w:val="10"/>
              </w:rPr>
              <w:t>6D.2 execution → adjudication → benchmark → MedAI → real-world validation → publication</w:t>
            </w:r>
          </w:p>
        </w:tc>
      </w:tr>
    </w:tbl>
    <w:p/>
    <w:p>
      <w:pPr>
        <w:pStyle w:val="Heading1"/>
      </w:pPr>
      <w:r>
        <w:t>3. The corrected core research chain</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Canonical chain</w:t>
              <w:br/>
            </w:r>
            <w:r>
              <w:t>Phase 1 → Phase 2 → Phase 2B → Phase 3A → Phase 3B → Phase 3C → Phase 3D/4.1 → Phase 4 → Phase 5 → Phase 6A → Phase 6B → Phase 6C → Phase 6D → Phase 6D.1 v2 → Phase 6D.2 → 6D.3/6D.4 → 6E → 6F → Phase 7 → Phase 8 → Phase 9 → Phase 10</w:t>
            </w:r>
          </w:p>
        </w:tc>
      </w:tr>
    </w:tbl>
    <w:p/>
    <w:p>
      <w:r>
        <w:t>The sequence is intentionally asymmetric: later documents may narrow or correct earlier preliminary representations. The most downstream frozen specification governs when an earlier document conflicts with a later correction.</w:t>
      </w:r>
    </w:p>
    <w:p>
      <w:pPr>
        <w:pStyle w:val="Heading1"/>
      </w:pPr>
      <w:r>
        <w:t>4. How to read the documents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r>
              <w:rPr>
                <w:b/>
                <w:sz w:val="12"/>
              </w:rPr>
              <w:t>If you need to know…</w:t>
            </w:r>
          </w:p>
        </w:tc>
        <w:tc>
          <w:tcPr>
            <w:tcW w:type="dxa" w:w="3427"/>
            <w:shd w:fill="D9EAF7"/>
            <w:vAlign w:val="center"/>
          </w:tcPr>
          <w:p>
            <w:r>
              <w:rPr>
                <w:b/>
                <w:sz w:val="12"/>
              </w:rPr>
              <w:t>Start here</w:t>
            </w:r>
          </w:p>
        </w:tc>
        <w:tc>
          <w:tcPr>
            <w:tcW w:type="dxa" w:w="3427"/>
            <w:shd w:fill="D9EAF7"/>
            <w:vAlign w:val="center"/>
          </w:tcPr>
          <w:p>
            <w:r>
              <w:rPr>
                <w:b/>
                <w:sz w:val="12"/>
              </w:rPr>
              <w:t>Then read</w:t>
            </w:r>
          </w:p>
        </w:tc>
      </w:tr>
      <w:tr>
        <w:tc>
          <w:tcPr>
            <w:tcW w:type="dxa" w:w="3427"/>
            <w:vAlign w:val="center"/>
          </w:tcPr>
          <w:p>
            <w:pPr>
              <w:spacing w:after="0"/>
            </w:pPr>
            <w:r>
              <w:rPr>
                <w:sz w:val="11"/>
              </w:rPr>
              <w:t>Why a clinical concept/rule is allowed</w:t>
            </w:r>
          </w:p>
        </w:tc>
        <w:tc>
          <w:tcPr>
            <w:tcW w:type="dxa" w:w="3427"/>
            <w:vAlign w:val="center"/>
          </w:tcPr>
          <w:p>
            <w:pPr>
              <w:spacing w:after="0"/>
            </w:pPr>
            <w:r>
              <w:rPr>
                <w:sz w:val="11"/>
              </w:rPr>
              <w:t>Phase 1</w:t>
            </w:r>
          </w:p>
        </w:tc>
        <w:tc>
          <w:tcPr>
            <w:tcW w:type="dxa" w:w="3427"/>
            <w:vAlign w:val="center"/>
          </w:tcPr>
          <w:p>
            <w:pPr>
              <w:spacing w:after="0"/>
            </w:pPr>
            <w:r>
              <w:rPr>
                <w:sz w:val="11"/>
              </w:rPr>
              <w:t>3B → 3D/4.1 → 4</w:t>
            </w:r>
          </w:p>
        </w:tc>
      </w:tr>
      <w:tr>
        <w:tc>
          <w:tcPr>
            <w:tcW w:type="dxa" w:w="3427"/>
            <w:vAlign w:val="center"/>
          </w:tcPr>
          <w:p>
            <w:pPr>
              <w:spacing w:after="0"/>
            </w:pPr>
            <w:r>
              <w:rPr>
                <w:sz w:val="11"/>
              </w:rPr>
              <w:t>What existing epilepsy NLP datasets annotated</w:t>
            </w:r>
          </w:p>
        </w:tc>
        <w:tc>
          <w:tcPr>
            <w:tcW w:type="dxa" w:w="3427"/>
            <w:vAlign w:val="center"/>
          </w:tcPr>
          <w:p>
            <w:pPr>
              <w:spacing w:after="0"/>
            </w:pPr>
            <w:r>
              <w:rPr>
                <w:sz w:val="11"/>
              </w:rPr>
              <w:t>Phase 2</w:t>
            </w:r>
          </w:p>
        </w:tc>
        <w:tc>
          <w:tcPr>
            <w:tcW w:type="dxa" w:w="3427"/>
            <w:vAlign w:val="center"/>
          </w:tcPr>
          <w:p>
            <w:pPr>
              <w:spacing w:after="0"/>
            </w:pPr>
            <w:r>
              <w:rPr>
                <w:sz w:val="11"/>
              </w:rPr>
              <w:t>2B</w:t>
            </w:r>
          </w:p>
        </w:tc>
      </w:tr>
      <w:tr>
        <w:tc>
          <w:tcPr>
            <w:tcW w:type="dxa" w:w="3427"/>
            <w:vAlign w:val="center"/>
          </w:tcPr>
          <w:p>
            <w:pPr>
              <w:spacing w:after="0"/>
            </w:pPr>
            <w:r>
              <w:rPr>
                <w:sz w:val="11"/>
              </w:rPr>
              <w:t>The clinical hierarchy and semantic levels</w:t>
            </w:r>
          </w:p>
        </w:tc>
        <w:tc>
          <w:tcPr>
            <w:tcW w:type="dxa" w:w="3427"/>
            <w:vAlign w:val="center"/>
          </w:tcPr>
          <w:p>
            <w:pPr>
              <w:spacing w:after="0"/>
            </w:pPr>
            <w:r>
              <w:rPr>
                <w:sz w:val="11"/>
              </w:rPr>
              <w:t>Phase 3B</w:t>
            </w:r>
          </w:p>
        </w:tc>
        <w:tc>
          <w:tcPr>
            <w:tcW w:type="dxa" w:w="3427"/>
            <w:vAlign w:val="center"/>
          </w:tcPr>
          <w:p>
            <w:pPr>
              <w:spacing w:after="0"/>
            </w:pPr>
            <w:r>
              <w:rPr>
                <w:sz w:val="11"/>
              </w:rPr>
              <w:t>3C → 3D/4.1</w:t>
            </w:r>
          </w:p>
        </w:tc>
      </w:tr>
      <w:tr>
        <w:tc>
          <w:tcPr>
            <w:tcW w:type="dxa" w:w="3427"/>
            <w:vAlign w:val="center"/>
          </w:tcPr>
          <w:p>
            <w:pPr>
              <w:spacing w:after="0"/>
            </w:pPr>
            <w:r>
              <w:rPr>
                <w:sz w:val="11"/>
              </w:rPr>
              <w:t>How an assertion is represented and grounded</w:t>
            </w:r>
          </w:p>
        </w:tc>
        <w:tc>
          <w:tcPr>
            <w:tcW w:type="dxa" w:w="3427"/>
            <w:vAlign w:val="center"/>
          </w:tcPr>
          <w:p>
            <w:pPr>
              <w:spacing w:after="0"/>
            </w:pPr>
            <w:r>
              <w:rPr>
                <w:sz w:val="11"/>
              </w:rPr>
              <w:t>Phase 3C</w:t>
            </w:r>
          </w:p>
        </w:tc>
        <w:tc>
          <w:tcPr>
            <w:tcW w:type="dxa" w:w="3427"/>
            <w:vAlign w:val="center"/>
          </w:tcPr>
          <w:p>
            <w:pPr>
              <w:spacing w:after="0"/>
            </w:pPr>
            <w:r>
              <w:rPr>
                <w:sz w:val="11"/>
              </w:rPr>
              <w:t>Phase 4</w:t>
            </w:r>
          </w:p>
        </w:tc>
      </w:tr>
      <w:tr>
        <w:tc>
          <w:tcPr>
            <w:tcW w:type="dxa" w:w="3427"/>
            <w:vAlign w:val="center"/>
          </w:tcPr>
          <w:p>
            <w:pPr>
              <w:spacing w:after="0"/>
            </w:pPr>
            <w:r>
              <w:rPr>
                <w:sz w:val="11"/>
              </w:rPr>
              <w:t>What can be canonical gold</w:t>
            </w:r>
          </w:p>
        </w:tc>
        <w:tc>
          <w:tcPr>
            <w:tcW w:type="dxa" w:w="3427"/>
            <w:vAlign w:val="center"/>
          </w:tcPr>
          <w:p>
            <w:pPr>
              <w:spacing w:after="0"/>
            </w:pPr>
            <w:r>
              <w:rPr>
                <w:sz w:val="11"/>
              </w:rPr>
              <w:t>Phase 3D/4.1</w:t>
            </w:r>
          </w:p>
        </w:tc>
        <w:tc>
          <w:tcPr>
            <w:tcW w:type="dxa" w:w="3427"/>
            <w:vAlign w:val="center"/>
          </w:tcPr>
          <w:p>
            <w:pPr>
              <w:spacing w:after="0"/>
            </w:pPr>
            <w:r>
              <w:rPr>
                <w:sz w:val="11"/>
              </w:rPr>
              <w:t>Phase 4</w:t>
            </w:r>
          </w:p>
        </w:tc>
      </w:tr>
      <w:tr>
        <w:tc>
          <w:tcPr>
            <w:tcW w:type="dxa" w:w="3427"/>
            <w:vAlign w:val="center"/>
          </w:tcPr>
          <w:p>
            <w:pPr>
              <w:spacing w:after="0"/>
            </w:pPr>
            <w:r>
              <w:rPr>
                <w:sz w:val="11"/>
              </w:rPr>
              <w:t>How annotators should label clinical text</w:t>
            </w:r>
          </w:p>
        </w:tc>
        <w:tc>
          <w:tcPr>
            <w:tcW w:type="dxa" w:w="3427"/>
            <w:vAlign w:val="center"/>
          </w:tcPr>
          <w:p>
            <w:pPr>
              <w:spacing w:after="0"/>
            </w:pPr>
            <w:r>
              <w:rPr>
                <w:sz w:val="11"/>
              </w:rPr>
              <w:t>Phase 4</w:t>
            </w:r>
          </w:p>
        </w:tc>
        <w:tc>
          <w:tcPr>
            <w:tcW w:type="dxa" w:w="3427"/>
            <w:vAlign w:val="center"/>
          </w:tcPr>
          <w:p>
            <w:pPr>
              <w:spacing w:after="0"/>
            </w:pPr>
            <w:r>
              <w:rPr>
                <w:sz w:val="11"/>
              </w:rPr>
              <w:t>3C + 3D/4.1</w:t>
            </w:r>
          </w:p>
        </w:tc>
      </w:tr>
      <w:tr>
        <w:tc>
          <w:tcPr>
            <w:tcW w:type="dxa" w:w="3427"/>
            <w:vAlign w:val="center"/>
          </w:tcPr>
          <w:p>
            <w:pPr>
              <w:spacing w:after="0"/>
            </w:pPr>
            <w:r>
              <w:rPr>
                <w:sz w:val="11"/>
              </w:rPr>
              <w:t>How synthetic truth is created</w:t>
            </w:r>
          </w:p>
        </w:tc>
        <w:tc>
          <w:tcPr>
            <w:tcW w:type="dxa" w:w="3427"/>
            <w:vAlign w:val="center"/>
          </w:tcPr>
          <w:p>
            <w:pPr>
              <w:spacing w:after="0"/>
            </w:pPr>
            <w:r>
              <w:rPr>
                <w:sz w:val="11"/>
              </w:rPr>
              <w:t>Phase 5</w:t>
            </w:r>
          </w:p>
        </w:tc>
        <w:tc>
          <w:tcPr>
            <w:tcW w:type="dxa" w:w="3427"/>
            <w:vAlign w:val="center"/>
          </w:tcPr>
          <w:p>
            <w:pPr>
              <w:spacing w:after="0"/>
            </w:pPr>
            <w:r>
              <w:rPr>
                <w:sz w:val="11"/>
              </w:rPr>
              <w:t>3D/4.1 + 4</w:t>
            </w:r>
          </w:p>
        </w:tc>
      </w:tr>
      <w:tr>
        <w:tc>
          <w:tcPr>
            <w:tcW w:type="dxa" w:w="3427"/>
            <w:vAlign w:val="center"/>
          </w:tcPr>
          <w:p>
            <w:pPr>
              <w:spacing w:after="0"/>
            </w:pPr>
            <w:r>
              <w:rPr>
                <w:sz w:val="11"/>
              </w:rPr>
              <w:t>Which document families are safe to pilot</w:t>
            </w:r>
          </w:p>
        </w:tc>
        <w:tc>
          <w:tcPr>
            <w:tcW w:type="dxa" w:w="3427"/>
            <w:vAlign w:val="center"/>
          </w:tcPr>
          <w:p>
            <w:pPr>
              <w:spacing w:after="0"/>
            </w:pPr>
            <w:r>
              <w:rPr>
                <w:sz w:val="11"/>
              </w:rPr>
              <w:t>Phase 6A</w:t>
            </w:r>
          </w:p>
        </w:tc>
        <w:tc>
          <w:tcPr>
            <w:tcW w:type="dxa" w:w="3427"/>
            <w:vAlign w:val="center"/>
          </w:tcPr>
          <w:p>
            <w:pPr>
              <w:spacing w:after="0"/>
            </w:pPr>
            <w:r>
              <w:rPr>
                <w:sz w:val="11"/>
              </w:rPr>
              <w:t>6B</w:t>
            </w:r>
          </w:p>
        </w:tc>
      </w:tr>
      <w:tr>
        <w:tc>
          <w:tcPr>
            <w:tcW w:type="dxa" w:w="3427"/>
            <w:vAlign w:val="center"/>
          </w:tcPr>
          <w:p>
            <w:pPr>
              <w:spacing w:after="0"/>
            </w:pPr>
            <w:r>
              <w:rPr>
                <w:sz w:val="11"/>
              </w:rPr>
              <w:t>How GPT is allowed to render truth</w:t>
            </w:r>
          </w:p>
        </w:tc>
        <w:tc>
          <w:tcPr>
            <w:tcW w:type="dxa" w:w="3427"/>
            <w:vAlign w:val="center"/>
          </w:tcPr>
          <w:p>
            <w:pPr>
              <w:spacing w:after="0"/>
            </w:pPr>
            <w:r>
              <w:rPr>
                <w:sz w:val="11"/>
              </w:rPr>
              <w:t>Phase 6B</w:t>
            </w:r>
          </w:p>
        </w:tc>
        <w:tc>
          <w:tcPr>
            <w:tcW w:type="dxa" w:w="3427"/>
            <w:vAlign w:val="center"/>
          </w:tcPr>
          <w:p>
            <w:pPr>
              <w:spacing w:after="0"/>
            </w:pPr>
            <w:r>
              <w:rPr>
                <w:sz w:val="11"/>
              </w:rPr>
              <w:t>6C → 6D</w:t>
            </w:r>
          </w:p>
        </w:tc>
      </w:tr>
      <w:tr>
        <w:tc>
          <w:tcPr>
            <w:tcW w:type="dxa" w:w="3427"/>
            <w:vAlign w:val="center"/>
          </w:tcPr>
          <w:p>
            <w:pPr>
              <w:spacing w:after="0"/>
            </w:pPr>
            <w:r>
              <w:rPr>
                <w:sz w:val="11"/>
              </w:rPr>
              <w:t>Why an experimental method is justified</w:t>
            </w:r>
          </w:p>
        </w:tc>
        <w:tc>
          <w:tcPr>
            <w:tcW w:type="dxa" w:w="3427"/>
            <w:vAlign w:val="center"/>
          </w:tcPr>
          <w:p>
            <w:pPr>
              <w:spacing w:after="0"/>
            </w:pPr>
            <w:r>
              <w:rPr>
                <w:sz w:val="11"/>
              </w:rPr>
              <w:t>Phase 6C</w:t>
            </w:r>
          </w:p>
        </w:tc>
        <w:tc>
          <w:tcPr>
            <w:tcW w:type="dxa" w:w="3427"/>
            <w:vAlign w:val="center"/>
          </w:tcPr>
          <w:p>
            <w:pPr>
              <w:spacing w:after="0"/>
            </w:pPr>
            <w:r>
              <w:rPr>
                <w:sz w:val="11"/>
              </w:rPr>
              <w:t>Phase 1 and cited precedent</w:t>
            </w:r>
          </w:p>
        </w:tc>
      </w:tr>
      <w:tr>
        <w:tc>
          <w:tcPr>
            <w:tcW w:type="dxa" w:w="3427"/>
            <w:vAlign w:val="center"/>
          </w:tcPr>
          <w:p>
            <w:pPr>
              <w:spacing w:after="0"/>
            </w:pPr>
            <w:r>
              <w:rPr>
                <w:sz w:val="11"/>
              </w:rPr>
              <w:t>What the pilot tests</w:t>
            </w:r>
          </w:p>
        </w:tc>
        <w:tc>
          <w:tcPr>
            <w:tcW w:type="dxa" w:w="3427"/>
            <w:vAlign w:val="center"/>
          </w:tcPr>
          <w:p>
            <w:pPr>
              <w:spacing w:after="0"/>
            </w:pPr>
            <w:r>
              <w:rPr>
                <w:sz w:val="11"/>
              </w:rPr>
              <w:t>Phase 6D</w:t>
            </w:r>
          </w:p>
        </w:tc>
        <w:tc>
          <w:tcPr>
            <w:tcW w:type="dxa" w:w="3427"/>
            <w:vAlign w:val="center"/>
          </w:tcPr>
          <w:p>
            <w:pPr>
              <w:spacing w:after="0"/>
            </w:pPr>
            <w:r>
              <w:rPr>
                <w:sz w:val="11"/>
              </w:rPr>
              <w:t>6D.1 v2</w:t>
            </w:r>
          </w:p>
        </w:tc>
      </w:tr>
      <w:tr>
        <w:tc>
          <w:tcPr>
            <w:tcW w:type="dxa" w:w="3427"/>
            <w:vAlign w:val="center"/>
          </w:tcPr>
          <w:p>
            <w:pPr>
              <w:spacing w:after="0"/>
            </w:pPr>
            <w:r>
              <w:rPr>
                <w:sz w:val="11"/>
              </w:rPr>
              <w:t>Exactly what gets generated</w:t>
            </w:r>
          </w:p>
        </w:tc>
        <w:tc>
          <w:tcPr>
            <w:tcW w:type="dxa" w:w="3427"/>
            <w:vAlign w:val="center"/>
          </w:tcPr>
          <w:p>
            <w:pPr>
              <w:spacing w:after="0"/>
            </w:pPr>
            <w:r>
              <w:rPr>
                <w:sz w:val="11"/>
              </w:rPr>
              <w:t>6D.1 v2</w:t>
            </w:r>
          </w:p>
        </w:tc>
        <w:tc>
          <w:tcPr>
            <w:tcW w:type="dxa" w:w="3427"/>
            <w:vAlign w:val="center"/>
          </w:tcPr>
          <w:p>
            <w:pPr>
              <w:spacing w:after="0"/>
            </w:pPr>
            <w:r>
              <w:rPr>
                <w:sz w:val="11"/>
              </w:rPr>
              <w:t>6D.2 runner</w:t>
            </w:r>
          </w:p>
        </w:tc>
      </w:tr>
      <w:tr>
        <w:tc>
          <w:tcPr>
            <w:tcW w:type="dxa" w:w="3427"/>
            <w:vAlign w:val="center"/>
          </w:tcPr>
          <w:p>
            <w:pPr>
              <w:spacing w:after="0"/>
            </w:pPr>
            <w:r>
              <w:rPr>
                <w:sz w:val="11"/>
              </w:rPr>
              <w:t>What happens after generation</w:t>
            </w:r>
          </w:p>
        </w:tc>
        <w:tc>
          <w:tcPr>
            <w:tcW w:type="dxa" w:w="3427"/>
            <w:vAlign w:val="center"/>
          </w:tcPr>
          <w:p>
            <w:pPr>
              <w:spacing w:after="0"/>
            </w:pPr>
            <w:r>
              <w:rPr>
                <w:sz w:val="11"/>
              </w:rPr>
              <w:t>Remaining Phases Roadmap</w:t>
            </w:r>
          </w:p>
        </w:tc>
        <w:tc>
          <w:tcPr>
            <w:tcW w:type="dxa" w:w="3427"/>
            <w:vAlign w:val="center"/>
          </w:tcPr>
          <w:p>
            <w:pPr>
              <w:spacing w:after="0"/>
            </w:pPr>
            <w:r>
              <w:rPr>
                <w:sz w:val="11"/>
              </w:rPr>
              <w:t>6D.3 onward</w:t>
            </w:r>
          </w:p>
        </w:tc>
      </w:tr>
    </w:tbl>
    <w:p/>
    <w:p>
      <w:pPr>
        <w:pStyle w:val="Heading1"/>
      </w:pPr>
      <w:r>
        <w:t>5. Source of truth by question</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r>
              <w:rPr>
                <w:b/>
                <w:sz w:val="13"/>
              </w:rPr>
              <w:t>Question</w:t>
            </w:r>
          </w:p>
        </w:tc>
        <w:tc>
          <w:tcPr>
            <w:tcW w:type="dxa" w:w="5141"/>
            <w:shd w:fill="D9EAF7"/>
            <w:vAlign w:val="center"/>
          </w:tcPr>
          <w:p>
            <w:r>
              <w:rPr>
                <w:b/>
                <w:sz w:val="13"/>
              </w:rPr>
              <w:t>Authoritative MedAI document</w:t>
            </w:r>
          </w:p>
        </w:tc>
      </w:tr>
      <w:tr>
        <w:tc>
          <w:tcPr>
            <w:tcW w:type="dxa" w:w="5141"/>
            <w:vAlign w:val="center"/>
          </w:tcPr>
          <w:p>
            <w:pPr>
              <w:spacing w:after="0"/>
            </w:pPr>
            <w:r>
              <w:rPr>
                <w:sz w:val="12"/>
              </w:rPr>
              <w:t>External standards/evidence</w:t>
            </w:r>
          </w:p>
        </w:tc>
        <w:tc>
          <w:tcPr>
            <w:tcW w:type="dxa" w:w="5141"/>
            <w:vAlign w:val="center"/>
          </w:tcPr>
          <w:p>
            <w:pPr>
              <w:spacing w:after="0"/>
            </w:pPr>
            <w:r>
              <w:rPr>
                <w:sz w:val="12"/>
              </w:rPr>
              <w:t>Phase 1</w:t>
            </w:r>
          </w:p>
        </w:tc>
      </w:tr>
      <w:tr>
        <w:tc>
          <w:tcPr>
            <w:tcW w:type="dxa" w:w="5141"/>
            <w:vAlign w:val="center"/>
          </w:tcPr>
          <w:p>
            <w:pPr>
              <w:spacing w:after="0"/>
            </w:pPr>
            <w:r>
              <w:rPr>
                <w:sz w:val="12"/>
              </w:rPr>
              <w:t>Published corpus/annotation precedent</w:t>
            </w:r>
          </w:p>
        </w:tc>
        <w:tc>
          <w:tcPr>
            <w:tcW w:type="dxa" w:w="5141"/>
            <w:vAlign w:val="center"/>
          </w:tcPr>
          <w:p>
            <w:pPr>
              <w:spacing w:after="0"/>
            </w:pPr>
            <w:r>
              <w:rPr>
                <w:sz w:val="12"/>
              </w:rPr>
              <w:t>Phase 2 / 2B</w:t>
            </w:r>
          </w:p>
        </w:tc>
      </w:tr>
      <w:tr>
        <w:tc>
          <w:tcPr>
            <w:tcW w:type="dxa" w:w="5141"/>
            <w:vAlign w:val="center"/>
          </w:tcPr>
          <w:p>
            <w:pPr>
              <w:spacing w:after="0"/>
            </w:pPr>
            <w:r>
              <w:rPr>
                <w:sz w:val="12"/>
              </w:rPr>
              <w:t>Source-native taxonomy</w:t>
            </w:r>
          </w:p>
        </w:tc>
        <w:tc>
          <w:tcPr>
            <w:tcW w:type="dxa" w:w="5141"/>
            <w:vAlign w:val="center"/>
          </w:tcPr>
          <w:p>
            <w:pPr>
              <w:spacing w:after="0"/>
            </w:pPr>
            <w:r>
              <w:rPr>
                <w:sz w:val="12"/>
              </w:rPr>
              <w:t>Phase 3B</w:t>
            </w:r>
          </w:p>
        </w:tc>
      </w:tr>
      <w:tr>
        <w:tc>
          <w:tcPr>
            <w:tcW w:type="dxa" w:w="5141"/>
            <w:vAlign w:val="center"/>
          </w:tcPr>
          <w:p>
            <w:pPr>
              <w:spacing w:after="0"/>
            </w:pPr>
            <w:r>
              <w:rPr>
                <w:sz w:val="12"/>
              </w:rPr>
              <w:t>Assertion/provenance object model</w:t>
            </w:r>
          </w:p>
        </w:tc>
        <w:tc>
          <w:tcPr>
            <w:tcW w:type="dxa" w:w="5141"/>
            <w:vAlign w:val="center"/>
          </w:tcPr>
          <w:p>
            <w:pPr>
              <w:spacing w:after="0"/>
            </w:pPr>
            <w:r>
              <w:rPr>
                <w:sz w:val="12"/>
              </w:rPr>
              <w:t>Phase 3C</w:t>
            </w:r>
          </w:p>
        </w:tc>
      </w:tr>
      <w:tr>
        <w:tc>
          <w:tcPr>
            <w:tcW w:type="dxa" w:w="5141"/>
            <w:vAlign w:val="center"/>
          </w:tcPr>
          <w:p>
            <w:pPr>
              <w:spacing w:after="0"/>
            </w:pPr>
            <w:r>
              <w:rPr>
                <w:sz w:val="12"/>
              </w:rPr>
              <w:t>Generation/gold semantic closure</w:t>
            </w:r>
          </w:p>
        </w:tc>
        <w:tc>
          <w:tcPr>
            <w:tcW w:type="dxa" w:w="5141"/>
            <w:vAlign w:val="center"/>
          </w:tcPr>
          <w:p>
            <w:pPr>
              <w:spacing w:after="0"/>
            </w:pPr>
            <w:r>
              <w:rPr>
                <w:sz w:val="12"/>
              </w:rPr>
              <w:t>Phase 3D / 4.1</w:t>
            </w:r>
          </w:p>
        </w:tc>
      </w:tr>
      <w:tr>
        <w:tc>
          <w:tcPr>
            <w:tcW w:type="dxa" w:w="5141"/>
            <w:vAlign w:val="center"/>
          </w:tcPr>
          <w:p>
            <w:pPr>
              <w:spacing w:after="0"/>
            </w:pPr>
            <w:r>
              <w:rPr>
                <w:sz w:val="12"/>
              </w:rPr>
              <w:t>Annotation decisions</w:t>
            </w:r>
          </w:p>
        </w:tc>
        <w:tc>
          <w:tcPr>
            <w:tcW w:type="dxa" w:w="5141"/>
            <w:vAlign w:val="center"/>
          </w:tcPr>
          <w:p>
            <w:pPr>
              <w:spacing w:after="0"/>
            </w:pPr>
            <w:r>
              <w:rPr>
                <w:sz w:val="12"/>
              </w:rPr>
              <w:t>Phase 4</w:t>
            </w:r>
          </w:p>
        </w:tc>
      </w:tr>
      <w:tr>
        <w:tc>
          <w:tcPr>
            <w:tcW w:type="dxa" w:w="5141"/>
            <w:vAlign w:val="center"/>
          </w:tcPr>
          <w:p>
            <w:pPr>
              <w:spacing w:after="0"/>
            </w:pPr>
            <w:r>
              <w:rPr>
                <w:sz w:val="12"/>
              </w:rPr>
              <w:t>Synthetic latent truth/event structure</w:t>
            </w:r>
          </w:p>
        </w:tc>
        <w:tc>
          <w:tcPr>
            <w:tcW w:type="dxa" w:w="5141"/>
            <w:vAlign w:val="center"/>
          </w:tcPr>
          <w:p>
            <w:pPr>
              <w:spacing w:after="0"/>
            </w:pPr>
            <w:r>
              <w:rPr>
                <w:sz w:val="12"/>
              </w:rPr>
              <w:t>Phase 5</w:t>
            </w:r>
          </w:p>
        </w:tc>
      </w:tr>
      <w:tr>
        <w:tc>
          <w:tcPr>
            <w:tcW w:type="dxa" w:w="5141"/>
            <w:vAlign w:val="center"/>
          </w:tcPr>
          <w:p>
            <w:pPr>
              <w:spacing w:after="0"/>
            </w:pPr>
            <w:r>
              <w:rPr>
                <w:sz w:val="12"/>
              </w:rPr>
              <w:t>Document-family evidence</w:t>
            </w:r>
          </w:p>
        </w:tc>
        <w:tc>
          <w:tcPr>
            <w:tcW w:type="dxa" w:w="5141"/>
            <w:vAlign w:val="center"/>
          </w:tcPr>
          <w:p>
            <w:pPr>
              <w:spacing w:after="0"/>
            </w:pPr>
            <w:r>
              <w:rPr>
                <w:sz w:val="12"/>
              </w:rPr>
              <w:t>Phase 6A</w:t>
            </w:r>
          </w:p>
        </w:tc>
      </w:tr>
      <w:tr>
        <w:tc>
          <w:tcPr>
            <w:tcW w:type="dxa" w:w="5141"/>
            <w:vAlign w:val="center"/>
          </w:tcPr>
          <w:p>
            <w:pPr>
              <w:spacing w:after="0"/>
            </w:pPr>
            <w:r>
              <w:rPr>
                <w:sz w:val="12"/>
              </w:rPr>
              <w:t>Generation constraints</w:t>
            </w:r>
          </w:p>
        </w:tc>
        <w:tc>
          <w:tcPr>
            <w:tcW w:type="dxa" w:w="5141"/>
            <w:vAlign w:val="center"/>
          </w:tcPr>
          <w:p>
            <w:pPr>
              <w:spacing w:after="0"/>
            </w:pPr>
            <w:r>
              <w:rPr>
                <w:sz w:val="12"/>
              </w:rPr>
              <w:t>Phase 6B</w:t>
            </w:r>
          </w:p>
        </w:tc>
      </w:tr>
      <w:tr>
        <w:tc>
          <w:tcPr>
            <w:tcW w:type="dxa" w:w="5141"/>
            <w:vAlign w:val="center"/>
          </w:tcPr>
          <w:p>
            <w:pPr>
              <w:spacing w:after="0"/>
            </w:pPr>
            <w:r>
              <w:rPr>
                <w:sz w:val="12"/>
              </w:rPr>
              <w:t>Methodological justification/status</w:t>
            </w:r>
          </w:p>
        </w:tc>
        <w:tc>
          <w:tcPr>
            <w:tcW w:type="dxa" w:w="5141"/>
            <w:vAlign w:val="center"/>
          </w:tcPr>
          <w:p>
            <w:pPr>
              <w:spacing w:after="0"/>
            </w:pPr>
            <w:r>
              <w:rPr>
                <w:sz w:val="12"/>
              </w:rPr>
              <w:t>Phase 6C</w:t>
            </w:r>
          </w:p>
        </w:tc>
      </w:tr>
      <w:tr>
        <w:tc>
          <w:tcPr>
            <w:tcW w:type="dxa" w:w="5141"/>
            <w:vAlign w:val="center"/>
          </w:tcPr>
          <w:p>
            <w:pPr>
              <w:spacing w:after="0"/>
            </w:pPr>
            <w:r>
              <w:rPr>
                <w:sz w:val="12"/>
              </w:rPr>
              <w:t>Pilot outcomes and conditions</w:t>
            </w:r>
          </w:p>
        </w:tc>
        <w:tc>
          <w:tcPr>
            <w:tcW w:type="dxa" w:w="5141"/>
            <w:vAlign w:val="center"/>
          </w:tcPr>
          <w:p>
            <w:pPr>
              <w:spacing w:after="0"/>
            </w:pPr>
            <w:r>
              <w:rPr>
                <w:sz w:val="12"/>
              </w:rPr>
              <w:t>Phase 6D</w:t>
            </w:r>
          </w:p>
        </w:tc>
      </w:tr>
      <w:tr>
        <w:tc>
          <w:tcPr>
            <w:tcW w:type="dxa" w:w="5141"/>
            <w:vAlign w:val="center"/>
          </w:tcPr>
          <w:p>
            <w:pPr>
              <w:spacing w:after="0"/>
            </w:pPr>
            <w:r>
              <w:rPr>
                <w:sz w:val="12"/>
              </w:rPr>
              <w:t>Frozen GPT experiment inputs</w:t>
            </w:r>
          </w:p>
        </w:tc>
        <w:tc>
          <w:tcPr>
            <w:tcW w:type="dxa" w:w="5141"/>
            <w:vAlign w:val="center"/>
          </w:tcPr>
          <w:p>
            <w:pPr>
              <w:spacing w:after="0"/>
            </w:pPr>
            <w:r>
              <w:rPr>
                <w:sz w:val="12"/>
              </w:rPr>
              <w:t>Phase 6D.1 v2 package</w:t>
            </w:r>
          </w:p>
        </w:tc>
      </w:tr>
      <w:tr>
        <w:tc>
          <w:tcPr>
            <w:tcW w:type="dxa" w:w="5141"/>
            <w:vAlign w:val="center"/>
          </w:tcPr>
          <w:p>
            <w:pPr>
              <w:spacing w:after="0"/>
            </w:pPr>
            <w:r>
              <w:rPr>
                <w:sz w:val="12"/>
              </w:rPr>
              <w:t>Actual execution records</w:t>
            </w:r>
          </w:p>
        </w:tc>
        <w:tc>
          <w:tcPr>
            <w:tcW w:type="dxa" w:w="5141"/>
            <w:vAlign w:val="center"/>
          </w:tcPr>
          <w:p>
            <w:pPr>
              <w:spacing w:after="0"/>
            </w:pPr>
            <w:r>
              <w:rPr>
                <w:sz w:val="12"/>
              </w:rPr>
              <w:t>Phase 6D.2 outputs once run</w:t>
            </w:r>
          </w:p>
        </w:tc>
      </w:tr>
      <w:tr>
        <w:tc>
          <w:tcPr>
            <w:tcW w:type="dxa" w:w="5141"/>
            <w:vAlign w:val="center"/>
          </w:tcPr>
          <w:p>
            <w:pPr>
              <w:spacing w:after="0"/>
            </w:pPr>
            <w:r>
              <w:rPr>
                <w:sz w:val="12"/>
              </w:rPr>
              <w:t>Future phase specification</w:t>
            </w:r>
          </w:p>
        </w:tc>
        <w:tc>
          <w:tcPr>
            <w:tcW w:type="dxa" w:w="5141"/>
            <w:vAlign w:val="center"/>
          </w:tcPr>
          <w:p>
            <w:pPr>
              <w:spacing w:after="0"/>
            </w:pPr>
            <w:r>
              <w:rPr>
                <w:sz w:val="12"/>
              </w:rPr>
              <w:t>Remaining Phases Roadmap</w:t>
            </w:r>
          </w:p>
        </w:tc>
      </w:tr>
    </w:tbl>
    <w:p/>
    <w:p>
      <w:pPr>
        <w:pStyle w:val="Heading1"/>
      </w:pPr>
      <w:r>
        <w:t>6. Supporting system-level documents</w:t>
      </w:r>
    </w:p>
    <w:p>
      <w:r>
        <w:t>These documents provide useful architectural or manuscript context, but the phase-specific corrected documents above should govern detailed semantic and experimental decisions.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r>
              <w:rPr>
                <w:b/>
                <w:sz w:val="12"/>
              </w:rPr>
              <w:t>Document</w:t>
            </w:r>
          </w:p>
        </w:tc>
        <w:tc>
          <w:tcPr>
            <w:tcW w:type="dxa" w:w="3427"/>
            <w:shd w:fill="D9EAF7"/>
            <w:vAlign w:val="center"/>
          </w:tcPr>
          <w:p>
            <w:r>
              <w:rPr>
                <w:b/>
                <w:sz w:val="12"/>
              </w:rPr>
              <w:t>Role</w:t>
            </w:r>
          </w:p>
        </w:tc>
        <w:tc>
          <w:tcPr>
            <w:tcW w:type="dxa" w:w="3427"/>
            <w:shd w:fill="D9EAF7"/>
            <w:vAlign w:val="center"/>
          </w:tcPr>
          <w:p>
            <w:r>
              <w:rPr>
                <w:b/>
                <w:sz w:val="12"/>
              </w:rPr>
              <w:t>Relationship to core chain</w:t>
            </w:r>
          </w:p>
        </w:tc>
      </w:tr>
      <w:tr>
        <w:tc>
          <w:tcPr>
            <w:tcW w:type="dxa" w:w="3427"/>
            <w:vAlign w:val="center"/>
          </w:tcPr>
          <w:p>
            <w:pPr>
              <w:spacing w:after="0"/>
            </w:pPr>
            <w:r>
              <w:rPr>
                <w:sz w:val="11"/>
              </w:rPr>
              <w:t>MedAI Epilepsy System Specification v1.1</w:t>
            </w:r>
          </w:p>
        </w:tc>
        <w:tc>
          <w:tcPr>
            <w:tcW w:type="dxa" w:w="3427"/>
            <w:vAlign w:val="center"/>
          </w:tcPr>
          <w:p>
            <w:pPr>
              <w:spacing w:after="0"/>
            </w:pPr>
            <w:r>
              <w:rPr>
                <w:sz w:val="11"/>
              </w:rPr>
              <w:t>System architecture</w:t>
            </w:r>
          </w:p>
        </w:tc>
        <w:tc>
          <w:tcPr>
            <w:tcW w:type="dxa" w:w="3427"/>
            <w:vAlign w:val="center"/>
          </w:tcPr>
          <w:p>
            <w:pPr>
              <w:spacing w:after="0"/>
            </w:pPr>
            <w:r>
              <w:rPr>
                <w:sz w:val="11"/>
              </w:rPr>
              <w:t>Broad system context; not a replacement for later frozen semantic specifications</w:t>
            </w:r>
          </w:p>
        </w:tc>
      </w:tr>
      <w:tr>
        <w:tc>
          <w:tcPr>
            <w:tcW w:type="dxa" w:w="3427"/>
            <w:vAlign w:val="center"/>
          </w:tcPr>
          <w:p>
            <w:pPr>
              <w:spacing w:after="0"/>
            </w:pPr>
            <w:r>
              <w:rPr>
                <w:sz w:val="11"/>
              </w:rPr>
              <w:t>Epilepsy Ontology &amp; Phenotype Schema Specification</w:t>
            </w:r>
          </w:p>
        </w:tc>
        <w:tc>
          <w:tcPr>
            <w:tcW w:type="dxa" w:w="3427"/>
            <w:vAlign w:val="center"/>
          </w:tcPr>
          <w:p>
            <w:pPr>
              <w:spacing w:after="0"/>
            </w:pPr>
            <w:r>
              <w:rPr>
                <w:sz w:val="11"/>
              </w:rPr>
              <w:t>Earlier ontology/schema design</w:t>
            </w:r>
          </w:p>
        </w:tc>
        <w:tc>
          <w:tcPr>
            <w:tcW w:type="dxa" w:w="3427"/>
            <w:vAlign w:val="center"/>
          </w:tcPr>
          <w:p>
            <w:pPr>
              <w:spacing w:after="0"/>
            </w:pPr>
            <w:r>
              <w:rPr>
                <w:sz w:val="11"/>
              </w:rPr>
              <w:t>Conceptual precursor; use 3B/3C/3D for corrected source hierarchy and application-profile boundaries</w:t>
            </w:r>
          </w:p>
        </w:tc>
      </w:tr>
      <w:tr>
        <w:tc>
          <w:tcPr>
            <w:tcW w:type="dxa" w:w="3427"/>
            <w:vAlign w:val="center"/>
          </w:tcPr>
          <w:p>
            <w:pPr>
              <w:spacing w:after="0"/>
            </w:pPr>
            <w:r>
              <w:rPr>
                <w:sz w:val="11"/>
              </w:rPr>
              <w:t>Final Epilepsy Synthetic Data Generation Specification v1</w:t>
            </w:r>
          </w:p>
        </w:tc>
        <w:tc>
          <w:tcPr>
            <w:tcW w:type="dxa" w:w="3427"/>
            <w:vAlign w:val="center"/>
          </w:tcPr>
          <w:p>
            <w:pPr>
              <w:spacing w:after="0"/>
            </w:pPr>
            <w:r>
              <w:rPr>
                <w:sz w:val="11"/>
              </w:rPr>
              <w:t>Earlier synthetic-generation design</w:t>
            </w:r>
          </w:p>
        </w:tc>
        <w:tc>
          <w:tcPr>
            <w:tcW w:type="dxa" w:w="3427"/>
            <w:vAlign w:val="center"/>
          </w:tcPr>
          <w:p>
            <w:pPr>
              <w:spacing w:after="0"/>
            </w:pPr>
            <w:r>
              <w:rPr>
                <w:sz w:val="11"/>
              </w:rPr>
              <w:t>Conceptual precursor; Phase 5 + 6A–6D govern current implementation</w:t>
            </w:r>
          </w:p>
        </w:tc>
      </w:tr>
      <w:tr>
        <w:tc>
          <w:tcPr>
            <w:tcW w:type="dxa" w:w="3427"/>
            <w:vAlign w:val="center"/>
          </w:tcPr>
          <w:p>
            <w:pPr>
              <w:spacing w:after="0"/>
            </w:pPr>
            <w:r>
              <w:rPr>
                <w:sz w:val="11"/>
              </w:rPr>
              <w:t>Research Publication Program — Redesigned</w:t>
            </w:r>
          </w:p>
        </w:tc>
        <w:tc>
          <w:tcPr>
            <w:tcW w:type="dxa" w:w="3427"/>
            <w:vAlign w:val="center"/>
          </w:tcPr>
          <w:p>
            <w:pPr>
              <w:spacing w:after="0"/>
            </w:pPr>
            <w:r>
              <w:rPr>
                <w:sz w:val="11"/>
              </w:rPr>
              <w:t>Portfolio strategy</w:t>
            </w:r>
          </w:p>
        </w:tc>
        <w:tc>
          <w:tcPr>
            <w:tcW w:type="dxa" w:w="3427"/>
            <w:vAlign w:val="center"/>
          </w:tcPr>
          <w:p>
            <w:pPr>
              <w:spacing w:after="0"/>
            </w:pPr>
            <w:r>
              <w:rPr>
                <w:sz w:val="11"/>
              </w:rPr>
              <w:t>Sits above the phase chain</w:t>
            </w:r>
          </w:p>
        </w:tc>
      </w:tr>
      <w:tr>
        <w:tc>
          <w:tcPr>
            <w:tcW w:type="dxa" w:w="3427"/>
            <w:vAlign w:val="center"/>
          </w:tcPr>
          <w:p>
            <w:pPr>
              <w:spacing w:after="0"/>
            </w:pPr>
            <w:r>
              <w:rPr>
                <w:sz w:val="11"/>
              </w:rPr>
              <w:t>Paper 1 protocol/blueprints</w:t>
            </w:r>
          </w:p>
        </w:tc>
        <w:tc>
          <w:tcPr>
            <w:tcW w:type="dxa" w:w="3427"/>
            <w:vAlign w:val="center"/>
          </w:tcPr>
          <w:p>
            <w:pPr>
              <w:spacing w:after="0"/>
            </w:pPr>
            <w:r>
              <w:rPr>
                <w:sz w:val="11"/>
              </w:rPr>
              <w:t>Manuscript/study strategy</w:t>
            </w:r>
          </w:p>
        </w:tc>
        <w:tc>
          <w:tcPr>
            <w:tcW w:type="dxa" w:w="3427"/>
            <w:vAlign w:val="center"/>
          </w:tcPr>
          <w:p>
            <w:pPr>
              <w:spacing w:after="0"/>
            </w:pPr>
            <w:r>
              <w:rPr>
                <w:sz w:val="11"/>
              </w:rPr>
              <w:t>Consume outputs from the phase chain rather than redefine source semantics</w:t>
            </w:r>
          </w:p>
        </w:tc>
      </w:tr>
    </w:tbl>
    <w:p/>
    <w:p>
      <w:pPr>
        <w:pStyle w:val="Heading1"/>
      </w:pPr>
      <w:r>
        <w:t>7. Superseded documents and precedence rules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r>
              <w:rPr>
                <w:b/>
                <w:sz w:val="12"/>
              </w:rPr>
              <w:t>Document / class</w:t>
            </w:r>
          </w:p>
        </w:tc>
        <w:tc>
          <w:tcPr>
            <w:tcW w:type="dxa" w:w="3427"/>
            <w:shd w:fill="D9EAF7"/>
            <w:vAlign w:val="center"/>
          </w:tcPr>
          <w:p>
            <w:r>
              <w:rPr>
                <w:b/>
                <w:sz w:val="12"/>
              </w:rPr>
              <w:t>Status</w:t>
            </w:r>
          </w:p>
        </w:tc>
        <w:tc>
          <w:tcPr>
            <w:tcW w:type="dxa" w:w="3427"/>
            <w:shd w:fill="D9EAF7"/>
            <w:vAlign w:val="center"/>
          </w:tcPr>
          <w:p>
            <w:r>
              <w:rPr>
                <w:b/>
                <w:sz w:val="12"/>
              </w:rPr>
              <w:t>Use instead</w:t>
            </w:r>
          </w:p>
        </w:tc>
      </w:tr>
      <w:tr>
        <w:tc>
          <w:tcPr>
            <w:tcW w:type="dxa" w:w="3427"/>
            <w:vAlign w:val="center"/>
          </w:tcPr>
          <w:p>
            <w:pPr>
              <w:spacing w:after="0"/>
            </w:pPr>
            <w:r>
              <w:rPr>
                <w:sz w:val="11"/>
              </w:rPr>
              <w:t>Phase 6D.1 Med42-8B Pre-Run Freeze v1.0</w:t>
            </w:r>
          </w:p>
        </w:tc>
        <w:tc>
          <w:tcPr>
            <w:tcW w:type="dxa" w:w="3427"/>
            <w:vAlign w:val="center"/>
          </w:tcPr>
          <w:p>
            <w:pPr>
              <w:spacing w:after="0"/>
            </w:pPr>
            <w:r>
              <w:rPr>
                <w:sz w:val="11"/>
              </w:rPr>
              <w:t>SUPERSEDED</w:t>
            </w:r>
          </w:p>
        </w:tc>
        <w:tc>
          <w:tcPr>
            <w:tcW w:type="dxa" w:w="3427"/>
            <w:vAlign w:val="center"/>
          </w:tcPr>
          <w:p>
            <w:pPr>
              <w:spacing w:after="0"/>
            </w:pPr>
            <w:r>
              <w:rPr>
                <w:sz w:val="11"/>
              </w:rPr>
              <w:t>Phase 6D.1 v2 GPT Multi-Generator Pre-Run Freeze</w:t>
            </w:r>
          </w:p>
        </w:tc>
      </w:tr>
      <w:tr>
        <w:tc>
          <w:tcPr>
            <w:tcW w:type="dxa" w:w="3427"/>
            <w:vAlign w:val="center"/>
          </w:tcPr>
          <w:p>
            <w:pPr>
              <w:spacing w:after="0"/>
            </w:pPr>
            <w:r>
              <w:rPr>
                <w:sz w:val="11"/>
              </w:rPr>
              <w:t>Older generic Phase 6 Clinical Document Generation Specification</w:t>
            </w:r>
          </w:p>
        </w:tc>
        <w:tc>
          <w:tcPr>
            <w:tcW w:type="dxa" w:w="3427"/>
            <w:vAlign w:val="center"/>
          </w:tcPr>
          <w:p>
            <w:pPr>
              <w:spacing w:after="0"/>
            </w:pPr>
            <w:r>
              <w:rPr>
                <w:sz w:val="11"/>
              </w:rPr>
              <w:t>SUPERSEDED FOR CURRENT PHASE-6 TRAIL</w:t>
            </w:r>
          </w:p>
        </w:tc>
        <w:tc>
          <w:tcPr>
            <w:tcW w:type="dxa" w:w="3427"/>
            <w:vAlign w:val="center"/>
          </w:tcPr>
          <w:p>
            <w:pPr>
              <w:spacing w:after="0"/>
            </w:pPr>
            <w:r>
              <w:rPr>
                <w:sz w:val="11"/>
              </w:rPr>
              <w:t>Phase 6A → 6B → 6C → 6D</w:t>
            </w:r>
          </w:p>
        </w:tc>
      </w:tr>
      <w:tr>
        <w:tc>
          <w:tcPr>
            <w:tcW w:type="dxa" w:w="3427"/>
            <w:vAlign w:val="center"/>
          </w:tcPr>
          <w:p>
            <w:pPr>
              <w:spacing w:after="0"/>
            </w:pPr>
            <w:r>
              <w:rPr>
                <w:sz w:val="11"/>
              </w:rPr>
              <w:t>Earlier ontology/schema assumptions that conflict with source hierarchy</w:t>
            </w:r>
          </w:p>
        </w:tc>
        <w:tc>
          <w:tcPr>
            <w:tcW w:type="dxa" w:w="3427"/>
            <w:vAlign w:val="center"/>
          </w:tcPr>
          <w:p>
            <w:pPr>
              <w:spacing w:after="0"/>
            </w:pPr>
            <w:r>
              <w:rPr>
                <w:sz w:val="11"/>
              </w:rPr>
              <w:t>PRELIMINARY / SUPERSEDED WHERE CONFLICT EXISTS</w:t>
            </w:r>
          </w:p>
        </w:tc>
        <w:tc>
          <w:tcPr>
            <w:tcW w:type="dxa" w:w="3427"/>
            <w:vAlign w:val="center"/>
          </w:tcPr>
          <w:p>
            <w:pPr>
              <w:spacing w:after="0"/>
            </w:pPr>
            <w:r>
              <w:rPr>
                <w:sz w:val="11"/>
              </w:rPr>
              <w:t>Phase 3B → 3C → 3D/4.1</w:t>
            </w:r>
          </w:p>
        </w:tc>
      </w:tr>
      <w:tr>
        <w:tc>
          <w:tcPr>
            <w:tcW w:type="dxa" w:w="3427"/>
            <w:vAlign w:val="center"/>
          </w:tcPr>
          <w:p>
            <w:pPr>
              <w:spacing w:after="0"/>
            </w:pPr>
            <w:r>
              <w:rPr>
                <w:sz w:val="11"/>
              </w:rPr>
              <w:t>Earlier synthetic generation assumptions that conflict with evidence gates</w:t>
            </w:r>
          </w:p>
        </w:tc>
        <w:tc>
          <w:tcPr>
            <w:tcW w:type="dxa" w:w="3427"/>
            <w:vAlign w:val="center"/>
          </w:tcPr>
          <w:p>
            <w:pPr>
              <w:spacing w:after="0"/>
            </w:pPr>
            <w:r>
              <w:rPr>
                <w:sz w:val="11"/>
              </w:rPr>
              <w:t>PRELIMINARY / SUPERSEDED WHERE CONFLICT EXISTS</w:t>
            </w:r>
          </w:p>
        </w:tc>
        <w:tc>
          <w:tcPr>
            <w:tcW w:type="dxa" w:w="3427"/>
            <w:vAlign w:val="center"/>
          </w:tcPr>
          <w:p>
            <w:pPr>
              <w:spacing w:after="0"/>
            </w:pPr>
            <w:r>
              <w:rPr>
                <w:sz w:val="11"/>
              </w:rPr>
              <w:t>Phase 5 → 6A → 6B → 6C</w:t>
            </w:r>
          </w:p>
        </w:tc>
      </w:tr>
    </w:tbl>
    <w:p/>
    <w:tbl>
      <w:tblPr>
        <w:tblStyle w:val="TableGrid"/>
        <w:tblW w:type="auto" w:w="0"/>
        <w:tblLook w:firstColumn="1" w:firstRow="1" w:lastColumn="0" w:lastRow="0" w:noHBand="0" w:noVBand="1" w:val="04A0"/>
      </w:tblPr>
      <w:tblGrid>
        <w:gridCol w:w="10282"/>
      </w:tblGrid>
      <w:tr>
        <w:tc>
          <w:tcPr>
            <w:tcW w:type="dxa" w:w="10282"/>
            <w:shd w:fill="FCE4D6"/>
          </w:tcPr>
          <w:p>
            <w:r>
              <w:rPr>
                <w:b/>
                <w:color w:val="17365D"/>
              </w:rPr>
              <w:t>Precedence rule</w:t>
              <w:br/>
            </w:r>
            <w:r>
              <w:t>When documents disagree, prefer the later explicitly corrected/frozen phase document for that subject. A later document does not retroactively make an earlier preliminary claim source-defined; provenance status must remain explicit.</w:t>
            </w:r>
          </w:p>
        </w:tc>
      </w:tr>
    </w:tbl>
    <w:p/>
    <w:p>
      <w:pPr>
        <w:pStyle w:val="Heading1"/>
      </w:pPr>
      <w:r>
        <w:t>8. Research-object flow</w:t>
      </w:r>
    </w:p>
    <w:p>
      <w:pPr>
        <w:jc w:val="center"/>
      </w:pPr>
      <w:r>
        <w:rPr>
          <w:b/>
          <w:color w:val="17365D"/>
          <w:sz w:val="20"/>
        </w:rPr>
        <w:t>Authoritative source / published precedent</w:t>
      </w:r>
    </w:p>
    <w:p>
      <w:pPr>
        <w:jc w:val="center"/>
      </w:pPr>
      <w:r>
        <w:rPr>
          <w:b w:val="0"/>
          <w:color w:val="17365D"/>
          <w:sz w:val="16"/>
        </w:rPr>
        <w:t>↓</w:t>
      </w:r>
    </w:p>
    <w:p>
      <w:pPr>
        <w:jc w:val="center"/>
      </w:pPr>
      <w:r>
        <w:rPr>
          <w:b/>
          <w:color w:val="17365D"/>
          <w:sz w:val="20"/>
        </w:rPr>
        <w:t>Source taxonomy</w:t>
      </w:r>
    </w:p>
    <w:p>
      <w:pPr>
        <w:jc w:val="center"/>
      </w:pPr>
      <w:r>
        <w:rPr>
          <w:b w:val="0"/>
          <w:color w:val="17365D"/>
          <w:sz w:val="16"/>
        </w:rPr>
        <w:t>↓</w:t>
      </w:r>
    </w:p>
    <w:p>
      <w:pPr>
        <w:jc w:val="center"/>
      </w:pPr>
      <w:r>
        <w:rPr>
          <w:b/>
          <w:color w:val="17365D"/>
          <w:sz w:val="20"/>
        </w:rPr>
        <w:t>MedAI application profile</w:t>
      </w:r>
    </w:p>
    <w:p>
      <w:pPr>
        <w:jc w:val="center"/>
      </w:pPr>
      <w:r>
        <w:rPr>
          <w:b w:val="0"/>
          <w:color w:val="17365D"/>
          <w:sz w:val="16"/>
        </w:rPr>
        <w:t>↓</w:t>
      </w:r>
    </w:p>
    <w:p>
      <w:pPr>
        <w:jc w:val="center"/>
      </w:pPr>
      <w:r>
        <w:rPr>
          <w:b/>
          <w:color w:val="17365D"/>
          <w:sz w:val="20"/>
        </w:rPr>
        <w:t>Annotation rule</w:t>
      </w:r>
    </w:p>
    <w:p>
      <w:pPr>
        <w:jc w:val="center"/>
      </w:pPr>
      <w:r>
        <w:rPr>
          <w:b w:val="0"/>
          <w:color w:val="17365D"/>
          <w:sz w:val="16"/>
        </w:rPr>
        <w:t>↓</w:t>
      </w:r>
    </w:p>
    <w:p>
      <w:pPr>
        <w:jc w:val="center"/>
      </w:pPr>
      <w:r>
        <w:rPr>
          <w:b/>
          <w:color w:val="17365D"/>
          <w:sz w:val="20"/>
        </w:rPr>
        <w:t>Synthetic patient latent truth</w:t>
      </w:r>
    </w:p>
    <w:p>
      <w:pPr>
        <w:jc w:val="center"/>
      </w:pPr>
      <w:r>
        <w:rPr>
          <w:b w:val="0"/>
          <w:color w:val="17365D"/>
          <w:sz w:val="16"/>
        </w:rPr>
        <w:t>↓</w:t>
      </w:r>
    </w:p>
    <w:p>
      <w:pPr>
        <w:jc w:val="center"/>
      </w:pPr>
      <w:r>
        <w:rPr>
          <w:b/>
          <w:color w:val="17365D"/>
          <w:sz w:val="20"/>
        </w:rPr>
        <w:t>Time-stamped clinical events</w:t>
      </w:r>
    </w:p>
    <w:p>
      <w:pPr>
        <w:jc w:val="center"/>
      </w:pPr>
      <w:r>
        <w:rPr>
          <w:b w:val="0"/>
          <w:color w:val="17365D"/>
          <w:sz w:val="16"/>
        </w:rPr>
        <w:t>↓</w:t>
      </w:r>
    </w:p>
    <w:p>
      <w:pPr>
        <w:jc w:val="center"/>
      </w:pPr>
      <w:r>
        <w:rPr>
          <w:b/>
          <w:color w:val="17365D"/>
          <w:sz w:val="20"/>
        </w:rPr>
        <w:t>Document information scope + semantic plan</w:t>
      </w:r>
    </w:p>
    <w:p>
      <w:pPr>
        <w:jc w:val="center"/>
      </w:pPr>
      <w:r>
        <w:rPr>
          <w:b w:val="0"/>
          <w:color w:val="17365D"/>
          <w:sz w:val="16"/>
        </w:rPr>
        <w:t>↓</w:t>
      </w:r>
    </w:p>
    <w:p>
      <w:pPr>
        <w:jc w:val="center"/>
      </w:pPr>
      <w:r>
        <w:rPr>
          <w:b/>
          <w:color w:val="17365D"/>
          <w:sz w:val="20"/>
        </w:rPr>
        <w:t>GPT / deterministic renderer</w:t>
      </w:r>
    </w:p>
    <w:p>
      <w:pPr>
        <w:jc w:val="center"/>
      </w:pPr>
      <w:r>
        <w:rPr>
          <w:b w:val="0"/>
          <w:color w:val="17365D"/>
          <w:sz w:val="16"/>
        </w:rPr>
        <w:t>↓</w:t>
      </w:r>
    </w:p>
    <w:p>
      <w:pPr>
        <w:jc w:val="center"/>
      </w:pPr>
      <w:r>
        <w:rPr>
          <w:b/>
          <w:color w:val="17365D"/>
          <w:sz w:val="20"/>
        </w:rPr>
        <w:t>Synthetic clinical document</w:t>
      </w:r>
    </w:p>
    <w:p>
      <w:pPr>
        <w:jc w:val="center"/>
      </w:pPr>
      <w:r>
        <w:rPr>
          <w:b w:val="0"/>
          <w:color w:val="17365D"/>
          <w:sz w:val="16"/>
        </w:rPr>
        <w:t>↓</w:t>
      </w:r>
    </w:p>
    <w:p>
      <w:pPr>
        <w:jc w:val="center"/>
      </w:pPr>
      <w:r>
        <w:rPr>
          <w:b/>
          <w:color w:val="17365D"/>
          <w:sz w:val="20"/>
        </w:rPr>
        <w:t>Claim-level evidence + adjudication</w:t>
      </w:r>
    </w:p>
    <w:p>
      <w:pPr>
        <w:jc w:val="center"/>
      </w:pPr>
      <w:r>
        <w:rPr>
          <w:b w:val="0"/>
          <w:color w:val="17365D"/>
          <w:sz w:val="16"/>
        </w:rPr>
        <w:t>↓</w:t>
      </w:r>
    </w:p>
    <w:p>
      <w:pPr>
        <w:jc w:val="center"/>
      </w:pPr>
      <w:r>
        <w:rPr>
          <w:b/>
          <w:color w:val="17365D"/>
          <w:sz w:val="20"/>
        </w:rPr>
        <w:t>EpiSynth benchmark</w:t>
      </w:r>
    </w:p>
    <w:p>
      <w:pPr>
        <w:jc w:val="center"/>
      </w:pPr>
      <w:r>
        <w:rPr>
          <w:b w:val="0"/>
          <w:color w:val="17365D"/>
          <w:sz w:val="16"/>
        </w:rPr>
        <w:t>↓</w:t>
      </w:r>
    </w:p>
    <w:p>
      <w:pPr>
        <w:jc w:val="center"/>
      </w:pPr>
      <w:r>
        <w:rPr>
          <w:b/>
          <w:color w:val="17365D"/>
          <w:sz w:val="20"/>
        </w:rPr>
        <w:t>MedAI extraction models</w:t>
      </w:r>
    </w:p>
    <w:p>
      <w:pPr>
        <w:jc w:val="center"/>
      </w:pPr>
      <w:r>
        <w:rPr>
          <w:b w:val="0"/>
          <w:color w:val="17365D"/>
          <w:sz w:val="16"/>
        </w:rPr>
        <w:t>↓</w:t>
      </w:r>
    </w:p>
    <w:p>
      <w:pPr>
        <w:jc w:val="center"/>
      </w:pPr>
      <w:r>
        <w:rPr>
          <w:b/>
          <w:color w:val="17365D"/>
          <w:sz w:val="20"/>
        </w:rPr>
        <w:t>Real-world clinical validation</w:t>
      </w:r>
    </w:p>
    <w:p>
      <w:pPr>
        <w:jc w:val="center"/>
      </w:pPr>
      <w:r>
        <w:rPr>
          <w:b w:val="0"/>
          <w:color w:val="17365D"/>
          <w:sz w:val="16"/>
        </w:rPr>
        <w:t>↓</w:t>
      </w:r>
    </w:p>
    <w:p>
      <w:pPr>
        <w:jc w:val="center"/>
      </w:pPr>
      <w:r>
        <w:rPr>
          <w:b/>
          <w:color w:val="17365D"/>
          <w:sz w:val="20"/>
        </w:rPr>
        <w:t>Publication and release</w:t>
      </w:r>
    </w:p>
    <w:p>
      <w:pPr>
        <w:pStyle w:val="Heading1"/>
      </w:pPr>
      <w:r>
        <w:t>9. Paper-to-document map</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r>
              <w:rPr>
                <w:b/>
                <w:sz w:val="13"/>
              </w:rPr>
              <w:t>Research output</w:t>
            </w:r>
          </w:p>
        </w:tc>
        <w:tc>
          <w:tcPr>
            <w:tcW w:type="dxa" w:w="5141"/>
            <w:shd w:fill="D9EAF7"/>
            <w:vAlign w:val="center"/>
          </w:tcPr>
          <w:p>
            <w:r>
              <w:rPr>
                <w:b/>
                <w:sz w:val="13"/>
              </w:rPr>
              <w:t>Documentation that feeds it</w:t>
            </w:r>
          </w:p>
        </w:tc>
      </w:tr>
      <w:tr>
        <w:tc>
          <w:tcPr>
            <w:tcW w:type="dxa" w:w="5141"/>
            <w:vAlign w:val="center"/>
          </w:tcPr>
          <w:p>
            <w:pPr>
              <w:spacing w:after="0"/>
            </w:pPr>
            <w:r>
              <w:rPr>
                <w:sz w:val="12"/>
              </w:rPr>
              <w:t>EpiSynth paper</w:t>
            </w:r>
          </w:p>
        </w:tc>
        <w:tc>
          <w:tcPr>
            <w:tcW w:type="dxa" w:w="5141"/>
            <w:vAlign w:val="center"/>
          </w:tcPr>
          <w:p>
            <w:pPr>
              <w:spacing w:after="0"/>
            </w:pPr>
            <w:r>
              <w:rPr>
                <w:sz w:val="12"/>
              </w:rPr>
              <w:t>Phases 1–6F + Phase 7 benchmark documentation</w:t>
            </w:r>
          </w:p>
        </w:tc>
      </w:tr>
      <w:tr>
        <w:tc>
          <w:tcPr>
            <w:tcW w:type="dxa" w:w="5141"/>
            <w:vAlign w:val="center"/>
          </w:tcPr>
          <w:p>
            <w:pPr>
              <w:spacing w:after="0"/>
            </w:pPr>
            <w:r>
              <w:rPr>
                <w:sz w:val="12"/>
              </w:rPr>
              <w:t>MedAI Paper 1</w:t>
            </w:r>
          </w:p>
        </w:tc>
        <w:tc>
          <w:tcPr>
            <w:tcW w:type="dxa" w:w="5141"/>
            <w:vAlign w:val="center"/>
          </w:tcPr>
          <w:p>
            <w:pPr>
              <w:spacing w:after="0"/>
            </w:pPr>
            <w:r>
              <w:rPr>
                <w:sz w:val="12"/>
              </w:rPr>
              <w:t>Phases 1–4 + EpiSynth Phase 7 + Phase 8 + Phase 9 real-world validation</w:t>
            </w:r>
          </w:p>
        </w:tc>
      </w:tr>
      <w:tr>
        <w:tc>
          <w:tcPr>
            <w:tcW w:type="dxa" w:w="5141"/>
            <w:vAlign w:val="center"/>
          </w:tcPr>
          <w:p>
            <w:pPr>
              <w:spacing w:after="0"/>
            </w:pPr>
            <w:r>
              <w:rPr>
                <w:sz w:val="12"/>
              </w:rPr>
              <w:t>Future multimodal MedAI work</w:t>
            </w:r>
          </w:p>
        </w:tc>
        <w:tc>
          <w:tcPr>
            <w:tcW w:type="dxa" w:w="5141"/>
            <w:vAlign w:val="center"/>
          </w:tcPr>
          <w:p>
            <w:pPr>
              <w:spacing w:after="0"/>
            </w:pPr>
            <w:r>
              <w:rPr>
                <w:sz w:val="12"/>
              </w:rPr>
              <w:t>MedAI semantic foundation + separate raw MRI/EEG methodology and validation; not established by this text-only documentation chain</w:t>
            </w:r>
          </w:p>
        </w:tc>
      </w:tr>
    </w:tbl>
    <w:p/>
    <w:p>
      <w:pPr>
        <w:pStyle w:val="Heading1"/>
      </w:pPr>
      <w:r>
        <w:t>10. Current position</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NOW</w:t>
              <w:br/>
            </w:r>
            <w:r>
              <w:t>The corrected design trail is frozen through Phase 6D.1 v2. The Phase 6D.2 runner has been prepared, but generation results do not exist until the frozen API experiment is actually executed. The next evidence-producing step is Phase 6D.2 execution; the next evaluation step is Phase 6D.3 claim-level adjudication.</w:t>
            </w:r>
          </w:p>
        </w:tc>
      </w:tr>
    </w:tbl>
    <w:p/>
    <w:p>
      <w:r>
        <w:t>This map should be kept at the top level of the MedAI/EpiSynth project directory and updated whenever a phase is frozen, superseded, or split into a new subphase.</w:t>
      </w:r>
    </w:p>
    <w:sectPr w:rsidR="00FC693F" w:rsidRPr="0006063C" w:rsidSect="00034616">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