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7365D"/>
          <w:sz w:val="62"/>
        </w:rPr>
        <w:t>MedAI / EpiSynth</w:t>
      </w:r>
    </w:p>
    <w:p>
      <w:pPr>
        <w:jc w:val="center"/>
      </w:pPr>
      <w:r>
        <w:rPr>
          <w:b/>
          <w:color w:val="2F5597"/>
          <w:sz w:val="38"/>
        </w:rPr>
        <w:t>Remaining Research Phases Roadmap</w:t>
      </w:r>
    </w:p>
    <w:p>
      <w:pPr>
        <w:jc w:val="center"/>
      </w:pPr>
      <w:r>
        <w:rPr>
          <w:sz w:val="21"/>
        </w:rPr>
        <w:t>From Phase 6D.2 execution through benchmark, real-world validation, and publication</w:t>
        <w:br/>
        <w:t>Version 1.0 • 25 September 2026</w:t>
      </w:r>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Scope</w:t>
              <w:br/>
            </w:r>
            <w:r>
              <w:t>This roadmap documents planned future work only. It does not report experimental results, assume that EpiSynth improves generation, claim clinical validity, or pre-select statistically significant findings. All results-dependent decisions remain prospective.</w:t>
            </w:r>
          </w:p>
        </w:tc>
      </w:tr>
    </w:tbl>
    <w:p/>
    <w:p>
      <w:pPr>
        <w:pStyle w:val="Heading1"/>
      </w:pPr>
      <w:r>
        <w:t>1. Current program state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Workstream</w:t>
            </w:r>
          </w:p>
        </w:tc>
        <w:tc>
          <w:tcPr>
            <w:tcW w:type="dxa" w:w="5083"/>
            <w:shd w:fill="D9EAF7"/>
          </w:tcPr>
          <w:p>
            <w:r>
              <w:rPr>
                <w:b/>
                <w:sz w:val="14"/>
              </w:rPr>
              <w:t>Status</w:t>
            </w:r>
          </w:p>
        </w:tc>
      </w:tr>
      <w:tr>
        <w:tc>
          <w:tcPr>
            <w:tcW w:type="dxa" w:w="5083"/>
          </w:tcPr>
          <w:p>
            <w:pPr>
              <w:spacing w:after="0"/>
            </w:pPr>
            <w:r>
              <w:rPr>
                <w:sz w:val="14"/>
              </w:rPr>
              <w:t>Phases 1–5: evidence, semantics, annotation, synthetic patient/event model</w:t>
            </w:r>
          </w:p>
        </w:tc>
        <w:tc>
          <w:tcPr>
            <w:tcW w:type="dxa" w:w="5083"/>
          </w:tcPr>
          <w:p>
            <w:pPr>
              <w:spacing w:after="0"/>
            </w:pPr>
            <w:r>
              <w:rPr>
                <w:sz w:val="14"/>
              </w:rPr>
              <w:t>Complete / frozen core</w:t>
            </w:r>
          </w:p>
        </w:tc>
      </w:tr>
      <w:tr>
        <w:tc>
          <w:tcPr>
            <w:tcW w:type="dxa" w:w="5083"/>
          </w:tcPr>
          <w:p>
            <w:pPr>
              <w:spacing w:after="0"/>
            </w:pPr>
            <w:r>
              <w:rPr>
                <w:sz w:val="14"/>
              </w:rPr>
              <w:t>Phases 6A–6C: document evidence, generation specification, methodological provenance</w:t>
            </w:r>
          </w:p>
        </w:tc>
        <w:tc>
          <w:tcPr>
            <w:tcW w:type="dxa" w:w="5083"/>
          </w:tcPr>
          <w:p>
            <w:pPr>
              <w:spacing w:after="0"/>
            </w:pPr>
            <w:r>
              <w:rPr>
                <w:sz w:val="14"/>
              </w:rPr>
              <w:t>Complete</w:t>
            </w:r>
          </w:p>
        </w:tc>
      </w:tr>
      <w:tr>
        <w:tc>
          <w:tcPr>
            <w:tcW w:type="dxa" w:w="5083"/>
          </w:tcPr>
          <w:p>
            <w:pPr>
              <w:spacing w:after="0"/>
            </w:pPr>
            <w:r>
              <w:rPr>
                <w:sz w:val="14"/>
              </w:rPr>
              <w:t>Phase 6D: pilot protocol</w:t>
            </w:r>
          </w:p>
        </w:tc>
        <w:tc>
          <w:tcPr>
            <w:tcW w:type="dxa" w:w="5083"/>
          </w:tcPr>
          <w:p>
            <w:pPr>
              <w:spacing w:after="0"/>
            </w:pPr>
            <w:r>
              <w:rPr>
                <w:sz w:val="14"/>
              </w:rPr>
              <w:t>Complete</w:t>
            </w:r>
          </w:p>
        </w:tc>
      </w:tr>
      <w:tr>
        <w:tc>
          <w:tcPr>
            <w:tcW w:type="dxa" w:w="5083"/>
          </w:tcPr>
          <w:p>
            <w:pPr>
              <w:spacing w:after="0"/>
            </w:pPr>
            <w:r>
              <w:rPr>
                <w:sz w:val="14"/>
              </w:rPr>
              <w:t>Phase 6D.1 v2: GPT multi-generator pre-run freeze</w:t>
            </w:r>
          </w:p>
        </w:tc>
        <w:tc>
          <w:tcPr>
            <w:tcW w:type="dxa" w:w="5083"/>
          </w:tcPr>
          <w:p>
            <w:pPr>
              <w:spacing w:after="0"/>
            </w:pPr>
            <w:r>
              <w:rPr>
                <w:sz w:val="14"/>
              </w:rPr>
              <w:t>Complete</w:t>
            </w:r>
          </w:p>
        </w:tc>
      </w:tr>
      <w:tr>
        <w:tc>
          <w:tcPr>
            <w:tcW w:type="dxa" w:w="5083"/>
          </w:tcPr>
          <w:p>
            <w:pPr>
              <w:spacing w:after="0"/>
            </w:pPr>
            <w:r>
              <w:rPr>
                <w:sz w:val="14"/>
              </w:rPr>
              <w:t>Phase 6D.2 onward</w:t>
            </w:r>
          </w:p>
        </w:tc>
        <w:tc>
          <w:tcPr>
            <w:tcW w:type="dxa" w:w="5083"/>
          </w:tcPr>
          <w:p>
            <w:pPr>
              <w:spacing w:after="0"/>
            </w:pPr>
            <w:r>
              <w:rPr>
                <w:sz w:val="14"/>
              </w:rPr>
              <w:t>Remaining</w:t>
            </w:r>
          </w:p>
        </w:tc>
      </w:tr>
    </w:tbl>
    <w:p/>
    <w:p>
      <w:pPr>
        <w:pStyle w:val="Heading1"/>
      </w:pPr>
      <w:r>
        <w:t>2. Remaining phases at a glance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2"/>
              </w:rPr>
              <w:t>Phase</w:t>
            </w:r>
          </w:p>
        </w:tc>
        <w:tc>
          <w:tcPr>
            <w:tcW w:type="dxa" w:w="2541"/>
            <w:shd w:fill="D9EAF7"/>
          </w:tcPr>
          <w:p>
            <w:r>
              <w:rPr>
                <w:b/>
                <w:sz w:val="12"/>
              </w:rPr>
              <w:t>Purpose</w:t>
            </w:r>
          </w:p>
        </w:tc>
        <w:tc>
          <w:tcPr>
            <w:tcW w:type="dxa" w:w="2541"/>
            <w:shd w:fill="D9EAF7"/>
          </w:tcPr>
          <w:p>
            <w:r>
              <w:rPr>
                <w:b/>
                <w:sz w:val="12"/>
              </w:rPr>
              <w:t>Primary deliverable</w:t>
            </w:r>
          </w:p>
        </w:tc>
        <w:tc>
          <w:tcPr>
            <w:tcW w:type="dxa" w:w="2541"/>
            <w:shd w:fill="D9EAF7"/>
          </w:tcPr>
          <w:p>
            <w:r>
              <w:rPr>
                <w:b/>
                <w:sz w:val="12"/>
              </w:rPr>
              <w:t>Exit criterion</w:t>
            </w:r>
          </w:p>
        </w:tc>
      </w:tr>
      <w:tr>
        <w:tc>
          <w:tcPr>
            <w:tcW w:type="dxa" w:w="2541"/>
          </w:tcPr>
          <w:p>
            <w:pPr>
              <w:spacing w:after="0"/>
            </w:pPr>
            <w:r>
              <w:rPr>
                <w:sz w:val="11"/>
              </w:rPr>
              <w:t>6D.2</w:t>
            </w:r>
          </w:p>
        </w:tc>
        <w:tc>
          <w:tcPr>
            <w:tcW w:type="dxa" w:w="2541"/>
          </w:tcPr>
          <w:p>
            <w:pPr>
              <w:spacing w:after="0"/>
            </w:pPr>
            <w:r>
              <w:rPr>
                <w:sz w:val="11"/>
              </w:rPr>
              <w:t>Execute frozen GPT pilot</w:t>
            </w:r>
          </w:p>
        </w:tc>
        <w:tc>
          <w:tcPr>
            <w:tcW w:type="dxa" w:w="2541"/>
          </w:tcPr>
          <w:p>
            <w:pPr>
              <w:spacing w:after="0"/>
            </w:pPr>
            <w:r>
              <w:rPr>
                <w:sz w:val="11"/>
              </w:rPr>
              <w:t>Raw immutable generation corpus + request/output provenance</w:t>
            </w:r>
          </w:p>
        </w:tc>
        <w:tc>
          <w:tcPr>
            <w:tcW w:type="dxa" w:w="2541"/>
          </w:tcPr>
          <w:p>
            <w:pPr>
              <w:spacing w:after="0"/>
            </w:pPr>
            <w:r>
              <w:rPr>
                <w:sz w:val="11"/>
              </w:rPr>
              <w:t>All planned calls accounted for as completed or preserved failures</w:t>
            </w:r>
          </w:p>
        </w:tc>
      </w:tr>
      <w:tr>
        <w:tc>
          <w:tcPr>
            <w:tcW w:type="dxa" w:w="2541"/>
          </w:tcPr>
          <w:p>
            <w:pPr>
              <w:spacing w:after="0"/>
            </w:pPr>
            <w:r>
              <w:rPr>
                <w:sz w:val="11"/>
              </w:rPr>
              <w:t>6D.3</w:t>
            </w:r>
          </w:p>
        </w:tc>
        <w:tc>
          <w:tcPr>
            <w:tcW w:type="dxa" w:w="2541"/>
          </w:tcPr>
          <w:p>
            <w:pPr>
              <w:spacing w:after="0"/>
            </w:pPr>
            <w:r>
              <w:rPr>
                <w:sz w:val="11"/>
              </w:rPr>
              <w:t>Claim-level adjudication</w:t>
            </w:r>
          </w:p>
        </w:tc>
        <w:tc>
          <w:tcPr>
            <w:tcW w:type="dxa" w:w="2541"/>
          </w:tcPr>
          <w:p>
            <w:pPr>
              <w:spacing w:after="0"/>
            </w:pPr>
            <w:r>
              <w:rPr>
                <w:sz w:val="11"/>
              </w:rPr>
              <w:t>Human-reference claim labels</w:t>
            </w:r>
          </w:p>
        </w:tc>
        <w:tc>
          <w:tcPr>
            <w:tcW w:type="dxa" w:w="2541"/>
          </w:tcPr>
          <w:p>
            <w:pPr>
              <w:spacing w:after="0"/>
            </w:pPr>
            <w:r>
              <w:rPr>
                <w:sz w:val="11"/>
              </w:rPr>
              <w:t>Adjudication complete under frozen definitions</w:t>
            </w:r>
          </w:p>
        </w:tc>
      </w:tr>
      <w:tr>
        <w:tc>
          <w:tcPr>
            <w:tcW w:type="dxa" w:w="2541"/>
          </w:tcPr>
          <w:p>
            <w:pPr>
              <w:spacing w:after="0"/>
            </w:pPr>
            <w:r>
              <w:rPr>
                <w:sz w:val="11"/>
              </w:rPr>
              <w:t>6D.4</w:t>
            </w:r>
          </w:p>
        </w:tc>
        <w:tc>
          <w:tcPr>
            <w:tcW w:type="dxa" w:w="2541"/>
          </w:tcPr>
          <w:p>
            <w:pPr>
              <w:spacing w:after="0"/>
            </w:pPr>
            <w:r>
              <w:rPr>
                <w:sz w:val="11"/>
              </w:rPr>
              <w:t>Pilot analysis</w:t>
            </w:r>
          </w:p>
        </w:tc>
        <w:tc>
          <w:tcPr>
            <w:tcW w:type="dxa" w:w="2541"/>
          </w:tcPr>
          <w:p>
            <w:pPr>
              <w:spacing w:after="0"/>
            </w:pPr>
            <w:r>
              <w:rPr>
                <w:sz w:val="11"/>
              </w:rPr>
              <w:t>Truth-preservation analysis</w:t>
            </w:r>
          </w:p>
        </w:tc>
        <w:tc>
          <w:tcPr>
            <w:tcW w:type="dxa" w:w="2541"/>
          </w:tcPr>
          <w:p>
            <w:pPr>
              <w:spacing w:after="0"/>
            </w:pPr>
            <w:r>
              <w:rPr>
                <w:sz w:val="11"/>
              </w:rPr>
              <w:t>Descriptive/confirmatory analysis completed without post-hoc outcome redefinition</w:t>
            </w:r>
          </w:p>
        </w:tc>
      </w:tr>
      <w:tr>
        <w:tc>
          <w:tcPr>
            <w:tcW w:type="dxa" w:w="2541"/>
          </w:tcPr>
          <w:p>
            <w:pPr>
              <w:spacing w:after="0"/>
            </w:pPr>
            <w:r>
              <w:rPr>
                <w:sz w:val="11"/>
              </w:rPr>
              <w:t>6E</w:t>
            </w:r>
          </w:p>
        </w:tc>
        <w:tc>
          <w:tcPr>
            <w:tcW w:type="dxa" w:w="2541"/>
          </w:tcPr>
          <w:p>
            <w:pPr>
              <w:spacing w:after="0"/>
            </w:pPr>
            <w:r>
              <w:rPr>
                <w:sz w:val="11"/>
              </w:rPr>
              <w:t>Clinician plausibility/realism validation</w:t>
            </w:r>
          </w:p>
        </w:tc>
        <w:tc>
          <w:tcPr>
            <w:tcW w:type="dxa" w:w="2541"/>
          </w:tcPr>
          <w:p>
            <w:pPr>
              <w:spacing w:after="0"/>
            </w:pPr>
            <w:r>
              <w:rPr>
                <w:sz w:val="11"/>
              </w:rPr>
              <w:t>Expert ratings + adjudicated qualitative errors</w:t>
            </w:r>
          </w:p>
        </w:tc>
        <w:tc>
          <w:tcPr>
            <w:tcW w:type="dxa" w:w="2541"/>
          </w:tcPr>
          <w:p>
            <w:pPr>
              <w:spacing w:after="0"/>
            </w:pPr>
            <w:r>
              <w:rPr>
                <w:sz w:val="11"/>
              </w:rPr>
              <w:t>Prospective rubric tested and applied</w:t>
            </w:r>
          </w:p>
        </w:tc>
      </w:tr>
      <w:tr>
        <w:tc>
          <w:tcPr>
            <w:tcW w:type="dxa" w:w="2541"/>
          </w:tcPr>
          <w:p>
            <w:pPr>
              <w:spacing w:after="0"/>
            </w:pPr>
            <w:r>
              <w:rPr>
                <w:sz w:val="11"/>
              </w:rPr>
              <w:t>6F</w:t>
            </w:r>
          </w:p>
        </w:tc>
        <w:tc>
          <w:tcPr>
            <w:tcW w:type="dxa" w:w="2541"/>
          </w:tcPr>
          <w:p>
            <w:pPr>
              <w:spacing w:after="0"/>
            </w:pPr>
            <w:r>
              <w:rPr>
                <w:sz w:val="11"/>
              </w:rPr>
              <w:t>Production generation-method freeze</w:t>
            </w:r>
          </w:p>
        </w:tc>
        <w:tc>
          <w:tcPr>
            <w:tcW w:type="dxa" w:w="2541"/>
          </w:tcPr>
          <w:p>
            <w:pPr>
              <w:spacing w:after="0"/>
            </w:pPr>
            <w:r>
              <w:rPr>
                <w:sz w:val="11"/>
              </w:rPr>
              <w:t>Validated EpiSynth generation specification</w:t>
            </w:r>
          </w:p>
        </w:tc>
        <w:tc>
          <w:tcPr>
            <w:tcW w:type="dxa" w:w="2541"/>
          </w:tcPr>
          <w:p>
            <w:pPr>
              <w:spacing w:after="0"/>
            </w:pPr>
            <w:r>
              <w:rPr>
                <w:sz w:val="11"/>
              </w:rPr>
              <w:t>Production rules frozen from observed pilot evidence</w:t>
            </w:r>
          </w:p>
        </w:tc>
      </w:tr>
      <w:tr>
        <w:tc>
          <w:tcPr>
            <w:tcW w:type="dxa" w:w="2541"/>
          </w:tcPr>
          <w:p>
            <w:pPr>
              <w:spacing w:after="0"/>
            </w:pPr>
            <w:r>
              <w:rPr>
                <w:sz w:val="11"/>
              </w:rPr>
              <w:t>7</w:t>
            </w:r>
          </w:p>
        </w:tc>
        <w:tc>
          <w:tcPr>
            <w:tcW w:type="dxa" w:w="2541"/>
          </w:tcPr>
          <w:p>
            <w:pPr>
              <w:spacing w:after="0"/>
            </w:pPr>
            <w:r>
              <w:rPr>
                <w:sz w:val="11"/>
              </w:rPr>
              <w:t>Construct EpiSynth benchmark</w:t>
            </w:r>
          </w:p>
        </w:tc>
        <w:tc>
          <w:tcPr>
            <w:tcW w:type="dxa" w:w="2541"/>
          </w:tcPr>
          <w:p>
            <w:pPr>
              <w:spacing w:after="0"/>
            </w:pPr>
            <w:r>
              <w:rPr>
                <w:sz w:val="11"/>
              </w:rPr>
              <w:t>Versioned dataset + tasks + splits + datasheet</w:t>
            </w:r>
          </w:p>
        </w:tc>
        <w:tc>
          <w:tcPr>
            <w:tcW w:type="dxa" w:w="2541"/>
          </w:tcPr>
          <w:p>
            <w:pPr>
              <w:spacing w:after="0"/>
            </w:pPr>
            <w:r>
              <w:rPr>
                <w:sz w:val="11"/>
              </w:rPr>
              <w:t>Benchmark passes integrity/leakage/provenance QA</w:t>
            </w:r>
          </w:p>
        </w:tc>
      </w:tr>
      <w:tr>
        <w:tc>
          <w:tcPr>
            <w:tcW w:type="dxa" w:w="2541"/>
          </w:tcPr>
          <w:p>
            <w:pPr>
              <w:spacing w:after="0"/>
            </w:pPr>
            <w:r>
              <w:rPr>
                <w:sz w:val="11"/>
              </w:rPr>
              <w:t>8</w:t>
            </w:r>
          </w:p>
        </w:tc>
        <w:tc>
          <w:tcPr>
            <w:tcW w:type="dxa" w:w="2541"/>
          </w:tcPr>
          <w:p>
            <w:pPr>
              <w:spacing w:after="0"/>
            </w:pPr>
            <w:r>
              <w:rPr>
                <w:sz w:val="11"/>
              </w:rPr>
              <w:t>MedAI benchmark experiments</w:t>
            </w:r>
          </w:p>
        </w:tc>
        <w:tc>
          <w:tcPr>
            <w:tcW w:type="dxa" w:w="2541"/>
          </w:tcPr>
          <w:p>
            <w:pPr>
              <w:spacing w:after="0"/>
            </w:pPr>
            <w:r>
              <w:rPr>
                <w:sz w:val="11"/>
              </w:rPr>
              <w:t>Baseline and model extraction results</w:t>
            </w:r>
          </w:p>
        </w:tc>
        <w:tc>
          <w:tcPr>
            <w:tcW w:type="dxa" w:w="2541"/>
          </w:tcPr>
          <w:p>
            <w:pPr>
              <w:spacing w:after="0"/>
            </w:pPr>
            <w:r>
              <w:rPr>
                <w:sz w:val="11"/>
              </w:rPr>
              <w:t>Predefined tasks evaluated on frozen benchmark</w:t>
            </w:r>
          </w:p>
        </w:tc>
      </w:tr>
      <w:tr>
        <w:tc>
          <w:tcPr>
            <w:tcW w:type="dxa" w:w="2541"/>
          </w:tcPr>
          <w:p>
            <w:pPr>
              <w:spacing w:after="0"/>
            </w:pPr>
            <w:r>
              <w:rPr>
                <w:sz w:val="11"/>
              </w:rPr>
              <w:t>9</w:t>
            </w:r>
          </w:p>
        </w:tc>
        <w:tc>
          <w:tcPr>
            <w:tcW w:type="dxa" w:w="2541"/>
          </w:tcPr>
          <w:p>
            <w:pPr>
              <w:spacing w:after="0"/>
            </w:pPr>
            <w:r>
              <w:rPr>
                <w:sz w:val="11"/>
              </w:rPr>
              <w:t>Real-world clinical validation</w:t>
            </w:r>
          </w:p>
        </w:tc>
        <w:tc>
          <w:tcPr>
            <w:tcW w:type="dxa" w:w="2541"/>
          </w:tcPr>
          <w:p>
            <w:pPr>
              <w:spacing w:after="0"/>
            </w:pPr>
            <w:r>
              <w:rPr>
                <w:sz w:val="11"/>
              </w:rPr>
              <w:t>External/clinical validation results</w:t>
            </w:r>
          </w:p>
        </w:tc>
        <w:tc>
          <w:tcPr>
            <w:tcW w:type="dxa" w:w="2541"/>
          </w:tcPr>
          <w:p>
            <w:pPr>
              <w:spacing w:after="0"/>
            </w:pPr>
            <w:r>
              <w:rPr>
                <w:sz w:val="11"/>
              </w:rPr>
              <w:t>Synthetic-to-real transfer evaluated on clinician-annotated real data</w:t>
            </w:r>
          </w:p>
        </w:tc>
      </w:tr>
      <w:tr>
        <w:tc>
          <w:tcPr>
            <w:tcW w:type="dxa" w:w="2541"/>
          </w:tcPr>
          <w:p>
            <w:pPr>
              <w:spacing w:after="0"/>
            </w:pPr>
            <w:r>
              <w:rPr>
                <w:sz w:val="11"/>
              </w:rPr>
              <w:t>10</w:t>
            </w:r>
          </w:p>
        </w:tc>
        <w:tc>
          <w:tcPr>
            <w:tcW w:type="dxa" w:w="2541"/>
          </w:tcPr>
          <w:p>
            <w:pPr>
              <w:spacing w:after="0"/>
            </w:pPr>
            <w:r>
              <w:rPr>
                <w:sz w:val="11"/>
              </w:rPr>
              <w:t>Publication and release</w:t>
            </w:r>
          </w:p>
        </w:tc>
        <w:tc>
          <w:tcPr>
            <w:tcW w:type="dxa" w:w="2541"/>
          </w:tcPr>
          <w:p>
            <w:pPr>
              <w:spacing w:after="0"/>
            </w:pPr>
            <w:r>
              <w:rPr>
                <w:sz w:val="11"/>
              </w:rPr>
              <w:t>Manuscript(s), code/data documentation</w:t>
            </w:r>
          </w:p>
        </w:tc>
        <w:tc>
          <w:tcPr>
            <w:tcW w:type="dxa" w:w="2541"/>
          </w:tcPr>
          <w:p>
            <w:pPr>
              <w:spacing w:after="0"/>
            </w:pPr>
            <w:r>
              <w:rPr>
                <w:sz w:val="11"/>
              </w:rPr>
              <w:t>Claims match evidence and release constraints</w:t>
            </w:r>
          </w:p>
        </w:tc>
      </w:tr>
    </w:tbl>
    <w:p/>
    <w:p>
      <w:pPr>
        <w:pStyle w:val="Heading1"/>
      </w:pPr>
      <w:r>
        <w:t>3. Phase 6D.2 — GPT Multi-Generator Pilot Execution</w:t>
      </w:r>
    </w:p>
    <w:p>
      <w:r>
        <w:t>Objective: execute the already-frozen generation matrix without changing cases, prompts, conditions, or outcomes after seeing model behavior.</w:t>
      </w:r>
    </w:p>
    <w:p>
      <w:pPr>
        <w:pStyle w:val="ListBullet"/>
      </w:pPr>
      <w:r>
        <w:t>Execute the six frozen cases across GPT-5.6 Luna, Terra, and Sol under C1 free-form, C2 structured-events, and C3 EpiSynth semantic-plan conditions.</w:t>
      </w:r>
    </w:p>
    <w:p>
      <w:pPr>
        <w:pStyle w:val="ListBullet"/>
      </w:pPr>
      <w:r>
        <w:t>Generate the six C0 deterministic controls.</w:t>
      </w:r>
    </w:p>
    <w:p>
      <w:pPr>
        <w:pStyle w:val="ListBullet"/>
      </w:pPr>
      <w:r>
        <w:t>Use independent requests; do not carry conversational state across cases.</w:t>
      </w:r>
    </w:p>
    <w:p>
      <w:pPr>
        <w:pStyle w:val="ListBullet"/>
      </w:pPr>
      <w:r>
        <w:t>Retain the first valid raw response. Failed requests remain documented failures; reruns require an explicitly versioned new run.</w:t>
      </w:r>
    </w:p>
    <w:p>
      <w:pPr>
        <w:pStyle w:val="ListBullet"/>
      </w:pPr>
      <w:r>
        <w:t>Record requested model ID, API-returned model identifier, response/request metadata available to the client, UTC timestamps, exact request, raw response, rendered text, and SHA-256 hashes.</w:t>
      </w:r>
    </w:p>
    <w:p>
      <w:pPr>
        <w:pStyle w:val="ListBullet"/>
      </w:pPr>
      <w:r>
        <w:t>Do not inspect outputs to modify prompts during the frozen run.</w:t>
      </w:r>
    </w:p>
    <w:p>
      <w:pPr>
        <w:pStyle w:val="Heading2"/>
      </w:pPr>
      <w:r>
        <w:t>Required artifacts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Artifact</w:t>
            </w:r>
          </w:p>
        </w:tc>
        <w:tc>
          <w:tcPr>
            <w:tcW w:type="dxa" w:w="5083"/>
            <w:shd w:fill="D9EAF7"/>
          </w:tcPr>
          <w:p>
            <w:r>
              <w:rPr>
                <w:b/>
                <w:sz w:val="13"/>
              </w:rPr>
              <w:t>Purpose</w:t>
            </w:r>
          </w:p>
        </w:tc>
      </w:tr>
      <w:tr>
        <w:tc>
          <w:tcPr>
            <w:tcW w:type="dxa" w:w="5083"/>
          </w:tcPr>
          <w:p>
            <w:pPr>
              <w:spacing w:after="0"/>
            </w:pPr>
            <w:r>
              <w:rPr>
                <w:sz w:val="13"/>
              </w:rPr>
              <w:t>raw_outputs/</w:t>
            </w:r>
          </w:p>
        </w:tc>
        <w:tc>
          <w:tcPr>
            <w:tcW w:type="dxa" w:w="5083"/>
          </w:tcPr>
          <w:p>
            <w:pPr>
              <w:spacing w:after="0"/>
            </w:pPr>
            <w:r>
              <w:rPr>
                <w:sz w:val="13"/>
              </w:rPr>
              <w:t>Verbatim GPT and deterministic outputs</w:t>
            </w:r>
          </w:p>
        </w:tc>
      </w:tr>
      <w:tr>
        <w:tc>
          <w:tcPr>
            <w:tcW w:type="dxa" w:w="5083"/>
          </w:tcPr>
          <w:p>
            <w:pPr>
              <w:spacing w:after="0"/>
            </w:pPr>
            <w:r>
              <w:rPr>
                <w:sz w:val="13"/>
              </w:rPr>
              <w:t>requests/</w:t>
            </w:r>
          </w:p>
        </w:tc>
        <w:tc>
          <w:tcPr>
            <w:tcW w:type="dxa" w:w="5083"/>
          </w:tcPr>
          <w:p>
            <w:pPr>
              <w:spacing w:after="0"/>
            </w:pPr>
            <w:r>
              <w:rPr>
                <w:sz w:val="13"/>
              </w:rPr>
              <w:t>Exact request payloads</w:t>
            </w:r>
          </w:p>
        </w:tc>
      </w:tr>
      <w:tr>
        <w:tc>
          <w:tcPr>
            <w:tcW w:type="dxa" w:w="5083"/>
          </w:tcPr>
          <w:p>
            <w:pPr>
              <w:spacing w:after="0"/>
            </w:pPr>
            <w:r>
              <w:rPr>
                <w:sz w:val="13"/>
              </w:rPr>
              <w:t>responses/</w:t>
            </w:r>
          </w:p>
        </w:tc>
        <w:tc>
          <w:tcPr>
            <w:tcW w:type="dxa" w:w="5083"/>
          </w:tcPr>
          <w:p>
            <w:pPr>
              <w:spacing w:after="0"/>
            </w:pPr>
            <w:r>
              <w:rPr>
                <w:sz w:val="13"/>
              </w:rPr>
              <w:t>Raw API response objects</w:t>
            </w:r>
          </w:p>
        </w:tc>
      </w:tr>
      <w:tr>
        <w:tc>
          <w:tcPr>
            <w:tcW w:type="dxa" w:w="5083"/>
          </w:tcPr>
          <w:p>
            <w:pPr>
              <w:spacing w:after="0"/>
            </w:pPr>
            <w:r>
              <w:rPr>
                <w:sz w:val="13"/>
              </w:rPr>
              <w:t>execution_manifest.csv</w:t>
            </w:r>
          </w:p>
        </w:tc>
        <w:tc>
          <w:tcPr>
            <w:tcW w:type="dxa" w:w="5083"/>
          </w:tcPr>
          <w:p>
            <w:pPr>
              <w:spacing w:after="0"/>
            </w:pPr>
            <w:r>
              <w:rPr>
                <w:sz w:val="13"/>
              </w:rPr>
              <w:t>One row per planned render including failure states</w:t>
            </w:r>
          </w:p>
        </w:tc>
      </w:tr>
      <w:tr>
        <w:tc>
          <w:tcPr>
            <w:tcW w:type="dxa" w:w="5083"/>
          </w:tcPr>
          <w:p>
            <w:pPr>
              <w:spacing w:after="0"/>
            </w:pPr>
            <w:r>
              <w:rPr>
                <w:sz w:val="13"/>
              </w:rPr>
              <w:t>output_hash_manifest.csv</w:t>
            </w:r>
          </w:p>
        </w:tc>
        <w:tc>
          <w:tcPr>
            <w:tcW w:type="dxa" w:w="5083"/>
          </w:tcPr>
          <w:p>
            <w:pPr>
              <w:spacing w:after="0"/>
            </w:pPr>
            <w:r>
              <w:rPr>
                <w:sz w:val="13"/>
              </w:rPr>
              <w:t>Immutable content hashes</w:t>
            </w:r>
          </w:p>
        </w:tc>
      </w:tr>
      <w:tr>
        <w:tc>
          <w:tcPr>
            <w:tcW w:type="dxa" w:w="5083"/>
          </w:tcPr>
          <w:p>
            <w:pPr>
              <w:spacing w:after="0"/>
            </w:pPr>
            <w:r>
              <w:rPr>
                <w:sz w:val="13"/>
              </w:rPr>
              <w:t>run_metadata.json</w:t>
            </w:r>
          </w:p>
        </w:tc>
        <w:tc>
          <w:tcPr>
            <w:tcW w:type="dxa" w:w="5083"/>
          </w:tcPr>
          <w:p>
            <w:pPr>
              <w:spacing w:after="0"/>
            </w:pPr>
            <w:r>
              <w:rPr>
                <w:sz w:val="13"/>
              </w:rPr>
              <w:t>Environment/run metadata</w:t>
            </w:r>
          </w:p>
        </w:tc>
      </w:tr>
      <w:tr>
        <w:tc>
          <w:tcPr>
            <w:tcW w:type="dxa" w:w="5083"/>
          </w:tcPr>
          <w:p>
            <w:pPr>
              <w:spacing w:after="0"/>
            </w:pPr>
            <w:r>
              <w:rPr>
                <w:sz w:val="13"/>
              </w:rPr>
              <w:t>deviation_log.csv</w:t>
            </w:r>
          </w:p>
        </w:tc>
        <w:tc>
          <w:tcPr>
            <w:tcW w:type="dxa" w:w="5083"/>
          </w:tcPr>
          <w:p>
            <w:pPr>
              <w:spacing w:after="0"/>
            </w:pPr>
            <w:r>
              <w:rPr>
                <w:sz w:val="13"/>
              </w:rPr>
              <w:t>Any protocol deviations; never silently corrected</w:t>
            </w:r>
          </w:p>
        </w:tc>
      </w:tr>
    </w:tbl>
    <w:p/>
    <w:tbl>
      <w:tblPr>
        <w:tblStyle w:val="TableGrid"/>
        <w:tblW w:type="auto" w:w="0"/>
        <w:tblLook w:firstColumn="1" w:firstRow="1" w:lastColumn="0" w:lastRow="0" w:noHBand="0" w:noVBand="1" w:val="04A0"/>
      </w:tblPr>
      <w:tblGrid>
        <w:gridCol w:w="10166"/>
      </w:tblGrid>
      <w:tr>
        <w:tc>
          <w:tcPr>
            <w:tcW w:type="dxa" w:w="10166"/>
            <w:shd w:fill="FCE4D6"/>
          </w:tcPr>
          <w:p>
            <w:r>
              <w:rPr>
                <w:b/>
                <w:color w:val="17365D"/>
              </w:rPr>
              <w:t>Hard boundary</w:t>
              <w:br/>
            </w:r>
            <w:r>
              <w:t>Phase 6D.2 produces observations, not conclusions. No hallucination, realism, utility, privacy, or superiority claim is made at this phase.</w:t>
            </w:r>
          </w:p>
        </w:tc>
      </w:tr>
    </w:tbl>
    <w:p/>
    <w:p>
      <w:pPr>
        <w:pStyle w:val="Heading1"/>
      </w:pPr>
      <w:r>
        <w:t>4. Phase 6D.3 — Claim-Level Truth Adjudication</w:t>
      </w:r>
    </w:p>
    <w:p>
      <w:r>
        <w:t>Objective: create an evaluation reference independent of the automatic validator by comparing each generated clinical claim with the frozen latent truth and semantic plan.</w:t>
      </w:r>
    </w:p>
    <w:p>
      <w:pPr>
        <w:pStyle w:val="ListBullet"/>
      </w:pPr>
      <w:r>
        <w:t>Segment each generated document into clinically meaningful claims using a frozen claim-unit rule.</w:t>
      </w:r>
    </w:p>
    <w:p>
      <w:pPr>
        <w:pStyle w:val="ListBullet"/>
      </w:pPr>
      <w:r>
        <w:t>Map each claim to zero, one, or multiple source assertions/events.</w:t>
      </w:r>
    </w:p>
    <w:p>
      <w:pPr>
        <w:pStyle w:val="ListBullet"/>
      </w:pPr>
      <w:r>
        <w:t>Classify support using the already-defined categories: supported, unsupported, semantic corruption, contradiction, information leakage, and document-rule violation.</w:t>
      </w:r>
    </w:p>
    <w:p>
      <w:pPr>
        <w:pStyle w:val="ListBullet"/>
      </w:pPr>
      <w:r>
        <w:t>Record required target assertions that were omitted or inadequately expressed.</w:t>
      </w:r>
    </w:p>
    <w:p>
      <w:pPr>
        <w:pStyle w:val="ListBullet"/>
      </w:pPr>
      <w:r>
        <w:t>Preserve exact evidence offsets into generated text.</w:t>
      </w:r>
    </w:p>
    <w:p>
      <w:pPr>
        <w:pStyle w:val="ListBullet"/>
      </w:pPr>
      <w:r>
        <w:t>Use blinded or condition-masked adjudication where feasible so the adjudicator is not intentionally told which generation condition produced the text.</w:t>
      </w:r>
    </w:p>
    <w:p>
      <w:pPr>
        <w:pStyle w:val="ListBullet"/>
      </w:pPr>
      <w:r>
        <w:t>Define disagreement resolution before final scoring. Do not allow the generation model to adjudicate itself.</w:t>
      </w:r>
    </w:p>
    <w:p>
      <w:pPr>
        <w:pStyle w:val="Heading2"/>
      </w:pPr>
      <w:r>
        <w:t>Adjudication outputs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Field family</w:t>
            </w:r>
          </w:p>
        </w:tc>
        <w:tc>
          <w:tcPr>
            <w:tcW w:type="dxa" w:w="5083"/>
            <w:shd w:fill="D9EAF7"/>
          </w:tcPr>
          <w:p>
            <w:r>
              <w:rPr>
                <w:b/>
                <w:sz w:val="13"/>
              </w:rPr>
              <w:t>Examples</w:t>
            </w:r>
          </w:p>
        </w:tc>
      </w:tr>
      <w:tr>
        <w:tc>
          <w:tcPr>
            <w:tcW w:type="dxa" w:w="5083"/>
          </w:tcPr>
          <w:p>
            <w:pPr>
              <w:spacing w:after="0"/>
            </w:pPr>
            <w:r>
              <w:rPr>
                <w:sz w:val="12"/>
              </w:rPr>
              <w:t>Identity</w:t>
            </w:r>
          </w:p>
        </w:tc>
        <w:tc>
          <w:tcPr>
            <w:tcW w:type="dxa" w:w="5083"/>
          </w:tcPr>
          <w:p>
            <w:pPr>
              <w:spacing w:after="0"/>
            </w:pPr>
            <w:r>
              <w:rPr>
                <w:sz w:val="12"/>
              </w:rPr>
              <w:t>render_id, claim_id, patient_id, generator, condition</w:t>
            </w:r>
          </w:p>
        </w:tc>
      </w:tr>
      <w:tr>
        <w:tc>
          <w:tcPr>
            <w:tcW w:type="dxa" w:w="5083"/>
          </w:tcPr>
          <w:p>
            <w:pPr>
              <w:spacing w:after="0"/>
            </w:pPr>
            <w:r>
              <w:rPr>
                <w:sz w:val="12"/>
              </w:rPr>
              <w:t>Evidence</w:t>
            </w:r>
          </w:p>
        </w:tc>
        <w:tc>
          <w:tcPr>
            <w:tcW w:type="dxa" w:w="5083"/>
          </w:tcPr>
          <w:p>
            <w:pPr>
              <w:spacing w:after="0"/>
            </w:pPr>
            <w:r>
              <w:rPr>
                <w:sz w:val="12"/>
              </w:rPr>
              <w:t>claim_text, start_offset, end_offset</w:t>
            </w:r>
          </w:p>
        </w:tc>
      </w:tr>
      <w:tr>
        <w:tc>
          <w:tcPr>
            <w:tcW w:type="dxa" w:w="5083"/>
          </w:tcPr>
          <w:p>
            <w:pPr>
              <w:spacing w:after="0"/>
            </w:pPr>
            <w:r>
              <w:rPr>
                <w:sz w:val="12"/>
              </w:rPr>
              <w:t>Traceability</w:t>
            </w:r>
          </w:p>
        </w:tc>
        <w:tc>
          <w:tcPr>
            <w:tcW w:type="dxa" w:w="5083"/>
          </w:tcPr>
          <w:p>
            <w:pPr>
              <w:spacing w:after="0"/>
            </w:pPr>
            <w:r>
              <w:rPr>
                <w:sz w:val="12"/>
              </w:rPr>
              <w:t>source_event_ids, source_assertion_ids</w:t>
            </w:r>
          </w:p>
        </w:tc>
      </w:tr>
      <w:tr>
        <w:tc>
          <w:tcPr>
            <w:tcW w:type="dxa" w:w="5083"/>
          </w:tcPr>
          <w:p>
            <w:pPr>
              <w:spacing w:after="0"/>
            </w:pPr>
            <w:r>
              <w:rPr>
                <w:sz w:val="12"/>
              </w:rPr>
              <w:t>Support</w:t>
            </w:r>
          </w:p>
        </w:tc>
        <w:tc>
          <w:tcPr>
            <w:tcW w:type="dxa" w:w="5083"/>
          </w:tcPr>
          <w:p>
            <w:pPr>
              <w:spacing w:after="0"/>
            </w:pPr>
            <w:r>
              <w:rPr>
                <w:sz w:val="12"/>
              </w:rPr>
              <w:t>supported / unsupported / partially supported if prospectively defined</w:t>
            </w:r>
          </w:p>
        </w:tc>
      </w:tr>
      <w:tr>
        <w:tc>
          <w:tcPr>
            <w:tcW w:type="dxa" w:w="5083"/>
          </w:tcPr>
          <w:p>
            <w:pPr>
              <w:spacing w:after="0"/>
            </w:pPr>
            <w:r>
              <w:rPr>
                <w:sz w:val="12"/>
              </w:rPr>
              <w:t>Error</w:t>
            </w:r>
          </w:p>
        </w:tc>
        <w:tc>
          <w:tcPr>
            <w:tcW w:type="dxa" w:w="5083"/>
          </w:tcPr>
          <w:p>
            <w:pPr>
              <w:spacing w:after="0"/>
            </w:pPr>
            <w:r>
              <w:rPr>
                <w:sz w:val="12"/>
              </w:rPr>
              <w:t>attribute corruption, contradiction, leakage, rule violation</w:t>
            </w:r>
          </w:p>
        </w:tc>
      </w:tr>
      <w:tr>
        <w:tc>
          <w:tcPr>
            <w:tcW w:type="dxa" w:w="5083"/>
          </w:tcPr>
          <w:p>
            <w:pPr>
              <w:spacing w:after="0"/>
            </w:pPr>
            <w:r>
              <w:rPr>
                <w:sz w:val="12"/>
              </w:rPr>
              <w:t>Target expression</w:t>
            </w:r>
          </w:p>
        </w:tc>
        <w:tc>
          <w:tcPr>
            <w:tcW w:type="dxa" w:w="5083"/>
          </w:tcPr>
          <w:p>
            <w:pPr>
              <w:spacing w:after="0"/>
            </w:pPr>
            <w:r>
              <w:rPr>
                <w:sz w:val="12"/>
              </w:rPr>
              <w:t>required assertion expressed / missing / corrupted</w:t>
            </w:r>
          </w:p>
        </w:tc>
      </w:tr>
      <w:tr>
        <w:tc>
          <w:tcPr>
            <w:tcW w:type="dxa" w:w="5083"/>
          </w:tcPr>
          <w:p>
            <w:pPr>
              <w:spacing w:after="0"/>
            </w:pPr>
            <w:r>
              <w:rPr>
                <w:sz w:val="12"/>
              </w:rPr>
              <w:t>Review</w:t>
            </w:r>
          </w:p>
        </w:tc>
        <w:tc>
          <w:tcPr>
            <w:tcW w:type="dxa" w:w="5083"/>
          </w:tcPr>
          <w:p>
            <w:pPr>
              <w:spacing w:after="0"/>
            </w:pPr>
            <w:r>
              <w:rPr>
                <w:sz w:val="12"/>
              </w:rPr>
              <w:t>adjudicator_id, adjudication_status, notes</w:t>
            </w:r>
          </w:p>
        </w:tc>
      </w:tr>
    </w:tbl>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Methodological rule</w:t>
              <w:br/>
            </w:r>
            <w:r>
              <w:t>The latent truth is the reference for semantic preservation; generated prose cannot modify the latent truth. The automatic validator is evaluated against human adjudication rather than against its own labels.</w:t>
            </w:r>
          </w:p>
        </w:tc>
      </w:tr>
    </w:tbl>
    <w:p/>
    <w:p>
      <w:pPr>
        <w:pStyle w:val="Heading1"/>
      </w:pPr>
      <w:r>
        <w:t>5. Phase 6D.4 — Pilot Truth-Preservation Analysis</w:t>
      </w:r>
    </w:p>
    <w:p>
      <w:r>
        <w:t>Objective: quantify observed behavior under the frozen pilot. The analysis should first report transparent counts and proportions before selecting any inferential model.</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Outcome</w:t>
            </w:r>
          </w:p>
        </w:tc>
        <w:tc>
          <w:tcPr>
            <w:tcW w:type="dxa" w:w="5083"/>
            <w:shd w:fill="D9EAF7"/>
          </w:tcPr>
          <w:p>
            <w:r>
              <w:rPr>
                <w:b/>
                <w:sz w:val="13"/>
              </w:rPr>
              <w:t>Definition</w:t>
            </w:r>
          </w:p>
        </w:tc>
      </w:tr>
      <w:tr>
        <w:tc>
          <w:tcPr>
            <w:tcW w:type="dxa" w:w="5083"/>
          </w:tcPr>
          <w:p>
            <w:pPr>
              <w:spacing w:after="0"/>
            </w:pPr>
            <w:r>
              <w:rPr>
                <w:sz w:val="12"/>
              </w:rPr>
              <w:t>Unsupported assertion rate</w:t>
            </w:r>
          </w:p>
        </w:tc>
        <w:tc>
          <w:tcPr>
            <w:tcW w:type="dxa" w:w="5083"/>
          </w:tcPr>
          <w:p>
            <w:pPr>
              <w:spacing w:after="0"/>
            </w:pPr>
            <w:r>
              <w:rPr>
                <w:sz w:val="12"/>
              </w:rPr>
              <w:t>Unsupported generated clinical claims / adjudicated generated clinical claims</w:t>
            </w:r>
          </w:p>
        </w:tc>
      </w:tr>
      <w:tr>
        <w:tc>
          <w:tcPr>
            <w:tcW w:type="dxa" w:w="5083"/>
          </w:tcPr>
          <w:p>
            <w:pPr>
              <w:spacing w:after="0"/>
            </w:pPr>
            <w:r>
              <w:rPr>
                <w:sz w:val="12"/>
              </w:rPr>
              <w:t>Target-expression failure</w:t>
            </w:r>
          </w:p>
        </w:tc>
        <w:tc>
          <w:tcPr>
            <w:tcW w:type="dxa" w:w="5083"/>
          </w:tcPr>
          <w:p>
            <w:pPr>
              <w:spacing w:after="0"/>
            </w:pPr>
            <w:r>
              <w:rPr>
                <w:sz w:val="12"/>
              </w:rPr>
              <w:t>Required latent assertions omitted or not adequately expressed</w:t>
            </w:r>
          </w:p>
        </w:tc>
      </w:tr>
      <w:tr>
        <w:tc>
          <w:tcPr>
            <w:tcW w:type="dxa" w:w="5083"/>
          </w:tcPr>
          <w:p>
            <w:pPr>
              <w:spacing w:after="0"/>
            </w:pPr>
            <w:r>
              <w:rPr>
                <w:sz w:val="12"/>
              </w:rPr>
              <w:t>Semantic corruption</w:t>
            </w:r>
          </w:p>
        </w:tc>
        <w:tc>
          <w:tcPr>
            <w:tcW w:type="dxa" w:w="5083"/>
          </w:tcPr>
          <w:p>
            <w:pPr>
              <w:spacing w:after="0"/>
            </w:pPr>
            <w:r>
              <w:rPr>
                <w:sz w:val="12"/>
              </w:rPr>
              <w:t>A source-backed concept is expressed with a changed clinically meaningful attribute/value</w:t>
            </w:r>
          </w:p>
        </w:tc>
      </w:tr>
      <w:tr>
        <w:tc>
          <w:tcPr>
            <w:tcW w:type="dxa" w:w="5083"/>
          </w:tcPr>
          <w:p>
            <w:pPr>
              <w:spacing w:after="0"/>
            </w:pPr>
            <w:r>
              <w:rPr>
                <w:sz w:val="12"/>
              </w:rPr>
              <w:t>Contradiction</w:t>
            </w:r>
          </w:p>
        </w:tc>
        <w:tc>
          <w:tcPr>
            <w:tcW w:type="dxa" w:w="5083"/>
          </w:tcPr>
          <w:p>
            <w:pPr>
              <w:spacing w:after="0"/>
            </w:pPr>
            <w:r>
              <w:rPr>
                <w:sz w:val="12"/>
              </w:rPr>
              <w:t>Generated claim conflicts with authorized latent truth</w:t>
            </w:r>
          </w:p>
        </w:tc>
      </w:tr>
      <w:tr>
        <w:tc>
          <w:tcPr>
            <w:tcW w:type="dxa" w:w="5083"/>
          </w:tcPr>
          <w:p>
            <w:pPr>
              <w:spacing w:after="0"/>
            </w:pPr>
            <w:r>
              <w:rPr>
                <w:sz w:val="12"/>
              </w:rPr>
              <w:t>Information leakage</w:t>
            </w:r>
          </w:p>
        </w:tc>
        <w:tc>
          <w:tcPr>
            <w:tcW w:type="dxa" w:w="5083"/>
          </w:tcPr>
          <w:p>
            <w:pPr>
              <w:spacing w:after="0"/>
            </w:pPr>
            <w:r>
              <w:rPr>
                <w:sz w:val="12"/>
              </w:rPr>
              <w:t>Generated clinical information falls outside the condition's authorized information scope</w:t>
            </w:r>
          </w:p>
        </w:tc>
      </w:tr>
      <w:tr>
        <w:tc>
          <w:tcPr>
            <w:tcW w:type="dxa" w:w="5083"/>
          </w:tcPr>
          <w:p>
            <w:pPr>
              <w:spacing w:after="0"/>
            </w:pPr>
            <w:r>
              <w:rPr>
                <w:sz w:val="12"/>
              </w:rPr>
              <w:t>Document-rule violation</w:t>
            </w:r>
          </w:p>
        </w:tc>
        <w:tc>
          <w:tcPr>
            <w:tcW w:type="dxa" w:w="5083"/>
          </w:tcPr>
          <w:p>
            <w:pPr>
              <w:spacing w:after="0"/>
            </w:pPr>
            <w:r>
              <w:rPr>
                <w:sz w:val="12"/>
              </w:rPr>
              <w:t>Output violates a frozen document-family/generation rule</w:t>
            </w:r>
          </w:p>
        </w:tc>
      </w:tr>
      <w:tr>
        <w:tc>
          <w:tcPr>
            <w:tcW w:type="dxa" w:w="5083"/>
          </w:tcPr>
          <w:p>
            <w:pPr>
              <w:spacing w:after="0"/>
            </w:pPr>
            <w:r>
              <w:rPr>
                <w:sz w:val="12"/>
              </w:rPr>
              <w:t>Evidence traceability</w:t>
            </w:r>
          </w:p>
        </w:tc>
        <w:tc>
          <w:tcPr>
            <w:tcW w:type="dxa" w:w="5083"/>
          </w:tcPr>
          <w:p>
            <w:pPr>
              <w:spacing w:after="0"/>
            </w:pPr>
            <w:r>
              <w:rPr>
                <w:sz w:val="12"/>
              </w:rPr>
              <w:t>Generated claims that can be linked to authorized source assertions/events</w:t>
            </w:r>
          </w:p>
        </w:tc>
      </w:tr>
    </w:tbl>
    <w:p/>
    <w:p>
      <w:pPr>
        <w:pStyle w:val="ListBullet"/>
      </w:pPr>
      <w:r>
        <w:t>Report numerator, denominator, and proportion by generator and condition.</w:t>
      </w:r>
    </w:p>
    <w:p>
      <w:pPr>
        <w:pStyle w:val="ListBullet"/>
      </w:pPr>
      <w:r>
        <w:t>Preserve paired case structure in the analysis.</w:t>
      </w:r>
    </w:p>
    <w:p>
      <w:pPr>
        <w:pStyle w:val="ListBullet"/>
      </w:pPr>
      <w:r>
        <w:t>Report uncertainty intervals using a method chosen in a separate analysis plan appropriate to the final data structure.</w:t>
      </w:r>
    </w:p>
    <w:p>
      <w:pPr>
        <w:pStyle w:val="ListBullet"/>
      </w:pPr>
      <w:r>
        <w:t>Do not invent a success threshold after seeing results.</w:t>
      </w:r>
    </w:p>
    <w:p>
      <w:pPr>
        <w:pStyle w:val="ListBullet"/>
      </w:pPr>
      <w:r>
        <w:t>Treat the pilot as feasibility evidence unless its design and sample size support stronger inference.</w:t>
      </w:r>
    </w:p>
    <w:p>
      <w:pPr>
        <w:pStyle w:val="ListBullet"/>
      </w:pPr>
      <w:r>
        <w:t>Perform structured error analysis rather than reducing all failures to a single 'hallucination' number.</w:t>
      </w:r>
    </w:p>
    <w:p>
      <w:pPr>
        <w:pStyle w:val="Heading1"/>
      </w:pPr>
      <w:r>
        <w:t>6. Phase 6E — Clinician Plausibility and Realism Validation</w:t>
      </w:r>
    </w:p>
    <w:p>
      <w:r>
        <w:t>Objective: evaluate a dimension that latent-truth matching cannot establish: whether generated documents are clinically coherent and plausible as documents.</w:t>
      </w:r>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Prerequisite</w:t>
              <w:br/>
            </w:r>
            <w:r>
              <w:t>A clinician-rating rubric must be defined and piloted before scoring. The current program has intentionally not invented a universal realism scale.</w:t>
            </w:r>
          </w:p>
        </w:tc>
      </w:tr>
    </w:tbl>
    <w:p/>
    <w:p>
      <w:pPr>
        <w:pStyle w:val="ListBullet"/>
      </w:pPr>
      <w:r>
        <w:t>Develop the rubric with epilepsy-domain clinicians and document the source/method for each rating dimension.</w:t>
      </w:r>
    </w:p>
    <w:p>
      <w:pPr>
        <w:pStyle w:val="ListBullet"/>
      </w:pPr>
      <w:r>
        <w:t>Use a prespecified sampling strategy across generator and condition; avoid selecting only attractive examples.</w:t>
      </w:r>
    </w:p>
    <w:p>
      <w:pPr>
        <w:pStyle w:val="ListBullet"/>
      </w:pPr>
      <w:r>
        <w:t>Mask generator/condition labels where feasible.</w:t>
      </w:r>
    </w:p>
    <w:p>
      <w:pPr>
        <w:pStyle w:val="ListBullet"/>
      </w:pPr>
      <w:r>
        <w:t>Separate clinical correctness from document realism: a realistic-looking document can still contain unsupported facts.</w:t>
      </w:r>
    </w:p>
    <w:p>
      <w:pPr>
        <w:pStyle w:val="ListBullet"/>
      </w:pPr>
      <w:r>
        <w:t>Collect qualitative error categories in addition to ordinal ratings.</w:t>
      </w:r>
    </w:p>
    <w:p>
      <w:pPr>
        <w:pStyle w:val="ListBullet"/>
      </w:pPr>
      <w:r>
        <w:t>Assess inter-rater agreement using a statistic appropriate to the final scale and number of raters.</w:t>
      </w:r>
    </w:p>
    <w:p>
      <w:pPr>
        <w:pStyle w:val="Heading2"/>
      </w:pPr>
      <w:r>
        <w:t>Potential dimensions — provisional until rubric development</w:t>
      </w:r>
    </w:p>
    <w:p>
      <w:r>
        <w:t>Clinical coherence, terminology appropriateness, internal consistency, document plausibility, information organization, misleading statements, and unnatural/synthetic language are candidate dimensions only. They are not yet validated EpiSynth scales.</w:t>
      </w:r>
    </w:p>
    <w:p>
      <w:pPr>
        <w:pStyle w:val="Heading1"/>
      </w:pPr>
      <w:r>
        <w:t>7. Phase 6F — Production Generation Method Freeze</w:t>
      </w:r>
    </w:p>
    <w:p>
      <w:r>
        <w:t>Objective: convert the pilot evidence into a production EpiSynth generation method without retrospectively rewriting the pilot.</w:t>
      </w:r>
    </w:p>
    <w:p>
      <w:pPr>
        <w:pStyle w:val="ListBullet"/>
      </w:pPr>
      <w:r>
        <w:t>Select production constraints based on observed pilot evidence and clinician review.</w:t>
      </w:r>
    </w:p>
    <w:p>
      <w:pPr>
        <w:pStyle w:val="ListBullet"/>
      </w:pPr>
      <w:r>
        <w:t>Document every rule added, removed, or changed after the pilot and why.</w:t>
      </w:r>
    </w:p>
    <w:p>
      <w:pPr>
        <w:pStyle w:val="ListBullet"/>
      </w:pPr>
      <w:r>
        <w:t>Freeze the production semantic-planner schema, prompt family, generator policy, validation checks, and provenance ledger.</w:t>
      </w:r>
    </w:p>
    <w:p>
      <w:pPr>
        <w:pStyle w:val="ListBullet"/>
      </w:pPr>
      <w:r>
        <w:t>Define rejection/quarantine rules for documents that fail automated integrity checks.</w:t>
      </w:r>
    </w:p>
    <w:p>
      <w:pPr>
        <w:pStyle w:val="ListBullet"/>
      </w:pPr>
      <w:r>
        <w:t>Separate generator configuration from clinical truth so future generator substitution does not redefine the benchmark semantics.</w:t>
      </w:r>
    </w:p>
    <w:p>
      <w:pPr>
        <w:pStyle w:val="ListBullet"/>
      </w:pPr>
      <w:r>
        <w:t>Version the production method independently from the pilot protocol.</w:t>
      </w:r>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Decision principle</w:t>
              <w:br/>
            </w:r>
            <w:r>
              <w:t>The production configuration is selected from empirical evidence and documented tradeoffs. This roadmap does not predeclare which GPT model or condition will be selected.</w:t>
            </w:r>
          </w:p>
        </w:tc>
      </w:tr>
    </w:tbl>
    <w:p/>
    <w:p>
      <w:pPr>
        <w:pStyle w:val="Heading1"/>
      </w:pPr>
      <w:r>
        <w:t>8. Phase 7 — EpiSynth Benchmark Construction</w:t>
      </w:r>
    </w:p>
    <w:p>
      <w:r>
        <w:t>Objective: scale from feasibility fixtures to a versioned benchmark while retaining strict separation between latent truth, rendered documents, evidence, and validation status.</w:t>
      </w:r>
    </w:p>
    <w:p>
      <w:pPr>
        <w:pStyle w:val="Heading2"/>
      </w:pPr>
      <w:r>
        <w:t>Dataset layers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Layer</w:t>
            </w:r>
          </w:p>
        </w:tc>
        <w:tc>
          <w:tcPr>
            <w:tcW w:type="dxa" w:w="5083"/>
            <w:shd w:fill="D9EAF7"/>
          </w:tcPr>
          <w:p>
            <w:r>
              <w:rPr>
                <w:b/>
                <w:sz w:val="13"/>
              </w:rPr>
              <w:t>Contents</w:t>
            </w:r>
          </w:p>
        </w:tc>
      </w:tr>
      <w:tr>
        <w:tc>
          <w:tcPr>
            <w:tcW w:type="dxa" w:w="5083"/>
          </w:tcPr>
          <w:p>
            <w:pPr>
              <w:spacing w:after="0"/>
            </w:pPr>
            <w:r>
              <w:rPr>
                <w:sz w:val="12"/>
              </w:rPr>
              <w:t>patients</w:t>
            </w:r>
          </w:p>
        </w:tc>
        <w:tc>
          <w:tcPr>
            <w:tcW w:type="dxa" w:w="5083"/>
          </w:tcPr>
          <w:p>
            <w:pPr>
              <w:spacing w:after="0"/>
            </w:pPr>
            <w:r>
              <w:rPr>
                <w:sz w:val="12"/>
              </w:rPr>
              <w:t>Synthetic patient identifiers and permitted patient-level latent state</w:t>
            </w:r>
          </w:p>
        </w:tc>
      </w:tr>
      <w:tr>
        <w:tc>
          <w:tcPr>
            <w:tcW w:type="dxa" w:w="5083"/>
          </w:tcPr>
          <w:p>
            <w:pPr>
              <w:spacing w:after="0"/>
            </w:pPr>
            <w:r>
              <w:rPr>
                <w:sz w:val="12"/>
              </w:rPr>
              <w:t>events</w:t>
            </w:r>
          </w:p>
        </w:tc>
        <w:tc>
          <w:tcPr>
            <w:tcW w:type="dxa" w:w="5083"/>
          </w:tcPr>
          <w:p>
            <w:pPr>
              <w:spacing w:after="0"/>
            </w:pPr>
            <w:r>
              <w:rPr>
                <w:sz w:val="12"/>
              </w:rPr>
              <w:t>Time-stamped source events</w:t>
            </w:r>
          </w:p>
        </w:tc>
      </w:tr>
      <w:tr>
        <w:tc>
          <w:tcPr>
            <w:tcW w:type="dxa" w:w="5083"/>
          </w:tcPr>
          <w:p>
            <w:pPr>
              <w:spacing w:after="0"/>
            </w:pPr>
            <w:r>
              <w:rPr>
                <w:sz w:val="12"/>
              </w:rPr>
              <w:t>latent assertions</w:t>
            </w:r>
          </w:p>
        </w:tc>
        <w:tc>
          <w:tcPr>
            <w:tcW w:type="dxa" w:w="5083"/>
          </w:tcPr>
          <w:p>
            <w:pPr>
              <w:spacing w:after="0"/>
            </w:pPr>
            <w:r>
              <w:rPr>
                <w:sz w:val="12"/>
              </w:rPr>
              <w:t>Canonical/source-authorized truth assertions</w:t>
            </w:r>
          </w:p>
        </w:tc>
      </w:tr>
      <w:tr>
        <w:tc>
          <w:tcPr>
            <w:tcW w:type="dxa" w:w="5083"/>
          </w:tcPr>
          <w:p>
            <w:pPr>
              <w:spacing w:after="0"/>
            </w:pPr>
            <w:r>
              <w:rPr>
                <w:sz w:val="12"/>
              </w:rPr>
              <w:t>documents</w:t>
            </w:r>
          </w:p>
        </w:tc>
        <w:tc>
          <w:tcPr>
            <w:tcW w:type="dxa" w:w="5083"/>
          </w:tcPr>
          <w:p>
            <w:pPr>
              <w:spacing w:after="0"/>
            </w:pPr>
            <w:r>
              <w:rPr>
                <w:sz w:val="12"/>
              </w:rPr>
              <w:t>Rendered synthetic clinic letters/EEG reports and later authorized families</w:t>
            </w:r>
          </w:p>
        </w:tc>
      </w:tr>
      <w:tr>
        <w:tc>
          <w:tcPr>
            <w:tcW w:type="dxa" w:w="5083"/>
          </w:tcPr>
          <w:p>
            <w:pPr>
              <w:spacing w:after="0"/>
            </w:pPr>
            <w:r>
              <w:rPr>
                <w:sz w:val="12"/>
              </w:rPr>
              <w:t>evidence</w:t>
            </w:r>
          </w:p>
        </w:tc>
        <w:tc>
          <w:tcPr>
            <w:tcW w:type="dxa" w:w="5083"/>
          </w:tcPr>
          <w:p>
            <w:pPr>
              <w:spacing w:after="0"/>
            </w:pPr>
            <w:r>
              <w:rPr>
                <w:sz w:val="12"/>
              </w:rPr>
              <w:t>Exact generated-text spans linked to assertions</w:t>
            </w:r>
          </w:p>
        </w:tc>
      </w:tr>
      <w:tr>
        <w:tc>
          <w:tcPr>
            <w:tcW w:type="dxa" w:w="5083"/>
          </w:tcPr>
          <w:p>
            <w:pPr>
              <w:spacing w:after="0"/>
            </w:pPr>
            <w:r>
              <w:rPr>
                <w:sz w:val="12"/>
              </w:rPr>
              <w:t>generation provenance</w:t>
            </w:r>
          </w:p>
        </w:tc>
        <w:tc>
          <w:tcPr>
            <w:tcW w:type="dxa" w:w="5083"/>
          </w:tcPr>
          <w:p>
            <w:pPr>
              <w:spacing w:after="0"/>
            </w:pPr>
            <w:r>
              <w:rPr>
                <w:sz w:val="12"/>
              </w:rPr>
              <w:t>Generator, condition, prompt, version, request/output hashes</w:t>
            </w:r>
          </w:p>
        </w:tc>
      </w:tr>
      <w:tr>
        <w:tc>
          <w:tcPr>
            <w:tcW w:type="dxa" w:w="5083"/>
          </w:tcPr>
          <w:p>
            <w:pPr>
              <w:spacing w:after="0"/>
            </w:pPr>
            <w:r>
              <w:rPr>
                <w:sz w:val="12"/>
              </w:rPr>
              <w:t>annotations</w:t>
            </w:r>
          </w:p>
        </w:tc>
        <w:tc>
          <w:tcPr>
            <w:tcW w:type="dxa" w:w="5083"/>
          </w:tcPr>
          <w:p>
            <w:pPr>
              <w:spacing w:after="0"/>
            </w:pPr>
            <w:r>
              <w:rPr>
                <w:sz w:val="12"/>
              </w:rPr>
              <w:t>Extraction/evaluation gold derived under documented rules</w:t>
            </w:r>
          </w:p>
        </w:tc>
      </w:tr>
      <w:tr>
        <w:tc>
          <w:tcPr>
            <w:tcW w:type="dxa" w:w="5083"/>
          </w:tcPr>
          <w:p>
            <w:pPr>
              <w:spacing w:after="0"/>
            </w:pPr>
            <w:r>
              <w:rPr>
                <w:sz w:val="12"/>
              </w:rPr>
              <w:t>validation</w:t>
            </w:r>
          </w:p>
        </w:tc>
        <w:tc>
          <w:tcPr>
            <w:tcW w:type="dxa" w:w="5083"/>
          </w:tcPr>
          <w:p>
            <w:pPr>
              <w:spacing w:after="0"/>
            </w:pPr>
            <w:r>
              <w:rPr>
                <w:sz w:val="12"/>
              </w:rPr>
              <w:t>Automatic QA and clinician-review status</w:t>
            </w:r>
          </w:p>
        </w:tc>
      </w:tr>
      <w:tr>
        <w:tc>
          <w:tcPr>
            <w:tcW w:type="dxa" w:w="5083"/>
          </w:tcPr>
          <w:p>
            <w:pPr>
              <w:spacing w:after="0"/>
            </w:pPr>
            <w:r>
              <w:rPr>
                <w:sz w:val="12"/>
              </w:rPr>
              <w:t>splits</w:t>
            </w:r>
          </w:p>
        </w:tc>
        <w:tc>
          <w:tcPr>
            <w:tcW w:type="dxa" w:w="5083"/>
          </w:tcPr>
          <w:p>
            <w:pPr>
              <w:spacing w:after="0"/>
            </w:pPr>
            <w:r>
              <w:rPr>
                <w:sz w:val="12"/>
              </w:rPr>
              <w:t>Patient-level train/development/test assignments</w:t>
            </w:r>
          </w:p>
        </w:tc>
      </w:tr>
    </w:tbl>
    <w:p/>
    <w:p>
      <w:pPr>
        <w:pStyle w:val="Heading2"/>
      </w:pPr>
      <w:r>
        <w:t>Benchmark QA</w:t>
      </w:r>
    </w:p>
    <w:p>
      <w:pPr>
        <w:pStyle w:val="ListBullet"/>
      </w:pPr>
      <w:r>
        <w:t>Split by patient, never by note, to avoid patient-level leakage.</w:t>
      </w:r>
    </w:p>
    <w:p>
      <w:pPr>
        <w:pStyle w:val="ListBullet"/>
      </w:pPr>
      <w:r>
        <w:t>Prevent near-duplicate template leakage across splits.</w:t>
      </w:r>
    </w:p>
    <w:p>
      <w:pPr>
        <w:pStyle w:val="ListBullet"/>
      </w:pPr>
      <w:r>
        <w:t>Track generator distribution so generator style does not accidentally become the target label.</w:t>
      </w:r>
    </w:p>
    <w:p>
      <w:pPr>
        <w:pStyle w:val="ListBullet"/>
      </w:pPr>
      <w:r>
        <w:t>Keep blocked concepts out of canonical gold until their upstream semantics are resolved.</w:t>
      </w:r>
    </w:p>
    <w:p>
      <w:pPr>
        <w:pStyle w:val="ListBullet"/>
      </w:pPr>
      <w:r>
        <w:t>Publish a datasheet documenting intended use, limitations, composition, generation, annotation, and maintenance.</w:t>
      </w:r>
    </w:p>
    <w:p>
      <w:pPr>
        <w:pStyle w:val="ListBullet"/>
      </w:pPr>
      <w:r>
        <w:t>Do not describe benchmark composition as disease prevalence unless sampling is explicitly population-representative and externally supported.</w:t>
      </w:r>
    </w:p>
    <w:p>
      <w:pPr>
        <w:pStyle w:val="Heading2"/>
      </w:pPr>
      <w:r>
        <w:t>Candidate benchmark tasks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Task</w:t>
            </w:r>
          </w:p>
        </w:tc>
        <w:tc>
          <w:tcPr>
            <w:tcW w:type="dxa" w:w="5083"/>
            <w:shd w:fill="D9EAF7"/>
          </w:tcPr>
          <w:p>
            <w:r>
              <w:rPr>
                <w:b/>
                <w:sz w:val="13"/>
              </w:rPr>
              <w:t>Scope</w:t>
            </w:r>
          </w:p>
        </w:tc>
      </w:tr>
      <w:tr>
        <w:tc>
          <w:tcPr>
            <w:tcW w:type="dxa" w:w="5083"/>
          </w:tcPr>
          <w:p>
            <w:pPr>
              <w:spacing w:after="0"/>
            </w:pPr>
            <w:r>
              <w:rPr>
                <w:sz w:val="12"/>
              </w:rPr>
              <w:t>T1</w:t>
            </w:r>
          </w:p>
        </w:tc>
        <w:tc>
          <w:tcPr>
            <w:tcW w:type="dxa" w:w="5083"/>
          </w:tcPr>
          <w:p>
            <w:pPr>
              <w:spacing w:after="0"/>
            </w:pPr>
            <w:r>
              <w:rPr>
                <w:sz w:val="12"/>
              </w:rPr>
              <w:t>Document-level phenotype extraction</w:t>
            </w:r>
          </w:p>
        </w:tc>
      </w:tr>
      <w:tr>
        <w:tc>
          <w:tcPr>
            <w:tcW w:type="dxa" w:w="5083"/>
          </w:tcPr>
          <w:p>
            <w:pPr>
              <w:spacing w:after="0"/>
            </w:pPr>
            <w:r>
              <w:rPr>
                <w:sz w:val="12"/>
              </w:rPr>
              <w:t>T2</w:t>
            </w:r>
          </w:p>
        </w:tc>
        <w:tc>
          <w:tcPr>
            <w:tcW w:type="dxa" w:w="5083"/>
          </w:tcPr>
          <w:p>
            <w:pPr>
              <w:spacing w:after="0"/>
            </w:pPr>
            <w:r>
              <w:rPr>
                <w:sz w:val="12"/>
              </w:rPr>
              <w:t>Normalization/classification to frozen concepts</w:t>
            </w:r>
          </w:p>
        </w:tc>
      </w:tr>
      <w:tr>
        <w:tc>
          <w:tcPr>
            <w:tcW w:type="dxa" w:w="5083"/>
          </w:tcPr>
          <w:p>
            <w:pPr>
              <w:spacing w:after="0"/>
            </w:pPr>
            <w:r>
              <w:rPr>
                <w:sz w:val="12"/>
              </w:rPr>
              <w:t>T3</w:t>
            </w:r>
          </w:p>
        </w:tc>
        <w:tc>
          <w:tcPr>
            <w:tcW w:type="dxa" w:w="5083"/>
          </w:tcPr>
          <w:p>
            <w:pPr>
              <w:spacing w:after="0"/>
            </w:pPr>
            <w:r>
              <w:rPr>
                <w:sz w:val="12"/>
              </w:rPr>
              <w:t>Seizure-frequency extraction</w:t>
            </w:r>
          </w:p>
        </w:tc>
      </w:tr>
      <w:tr>
        <w:tc>
          <w:tcPr>
            <w:tcW w:type="dxa" w:w="5083"/>
          </w:tcPr>
          <w:p>
            <w:pPr>
              <w:spacing w:after="0"/>
            </w:pPr>
            <w:r>
              <w:rPr>
                <w:sz w:val="12"/>
              </w:rPr>
              <w:t>T4</w:t>
            </w:r>
          </w:p>
        </w:tc>
        <w:tc>
          <w:tcPr>
            <w:tcW w:type="dxa" w:w="5083"/>
          </w:tcPr>
          <w:p>
            <w:pPr>
              <w:spacing w:after="0"/>
            </w:pPr>
            <w:r>
              <w:rPr>
                <w:sz w:val="12"/>
              </w:rPr>
              <w:t>Negation/uncertainty handling</w:t>
            </w:r>
          </w:p>
        </w:tc>
      </w:tr>
      <w:tr>
        <w:tc>
          <w:tcPr>
            <w:tcW w:type="dxa" w:w="5083"/>
          </w:tcPr>
          <w:p>
            <w:pPr>
              <w:spacing w:after="0"/>
            </w:pPr>
            <w:r>
              <w:rPr>
                <w:sz w:val="12"/>
              </w:rPr>
              <w:t>T5</w:t>
            </w:r>
          </w:p>
        </w:tc>
        <w:tc>
          <w:tcPr>
            <w:tcW w:type="dxa" w:w="5083"/>
          </w:tcPr>
          <w:p>
            <w:pPr>
              <w:spacing w:after="0"/>
            </w:pPr>
            <w:r>
              <w:rPr>
                <w:sz w:val="12"/>
              </w:rPr>
              <w:t>Temporal information extraction</w:t>
            </w:r>
          </w:p>
        </w:tc>
      </w:tr>
      <w:tr>
        <w:tc>
          <w:tcPr>
            <w:tcW w:type="dxa" w:w="5083"/>
          </w:tcPr>
          <w:p>
            <w:pPr>
              <w:spacing w:after="0"/>
            </w:pPr>
            <w:r>
              <w:rPr>
                <w:sz w:val="12"/>
              </w:rPr>
              <w:t>T6</w:t>
            </w:r>
          </w:p>
        </w:tc>
        <w:tc>
          <w:tcPr>
            <w:tcW w:type="dxa" w:w="5083"/>
          </w:tcPr>
          <w:p>
            <w:pPr>
              <w:spacing w:after="0"/>
            </w:pPr>
            <w:r>
              <w:rPr>
                <w:sz w:val="12"/>
              </w:rPr>
              <w:t>Evidence grounding / span attribution</w:t>
            </w:r>
          </w:p>
        </w:tc>
      </w:tr>
      <w:tr>
        <w:tc>
          <w:tcPr>
            <w:tcW w:type="dxa" w:w="5083"/>
          </w:tcPr>
          <w:p>
            <w:pPr>
              <w:spacing w:after="0"/>
            </w:pPr>
            <w:r>
              <w:rPr>
                <w:sz w:val="12"/>
              </w:rPr>
              <w:t>T7</w:t>
            </w:r>
          </w:p>
        </w:tc>
        <w:tc>
          <w:tcPr>
            <w:tcW w:type="dxa" w:w="5083"/>
          </w:tcPr>
          <w:p>
            <w:pPr>
              <w:spacing w:after="0"/>
            </w:pPr>
            <w:r>
              <w:rPr>
                <w:sz w:val="12"/>
              </w:rPr>
              <w:t>Longitudinal aggregation</w:t>
            </w:r>
          </w:p>
        </w:tc>
      </w:tr>
      <w:tr>
        <w:tc>
          <w:tcPr>
            <w:tcW w:type="dxa" w:w="5083"/>
          </w:tcPr>
          <w:p>
            <w:pPr>
              <w:spacing w:after="0"/>
            </w:pPr>
            <w:r>
              <w:rPr>
                <w:sz w:val="12"/>
              </w:rPr>
              <w:t>T8</w:t>
            </w:r>
          </w:p>
        </w:tc>
        <w:tc>
          <w:tcPr>
            <w:tcW w:type="dxa" w:w="5083"/>
          </w:tcPr>
          <w:p>
            <w:pPr>
              <w:spacing w:after="0"/>
            </w:pPr>
            <w:r>
              <w:rPr>
                <w:sz w:val="12"/>
              </w:rPr>
              <w:t>Limited cross-document patient representation where semantics are frozen</w:t>
            </w:r>
          </w:p>
        </w:tc>
      </w:tr>
      <w:tr>
        <w:tc>
          <w:tcPr>
            <w:tcW w:type="dxa" w:w="5083"/>
          </w:tcPr>
          <w:p>
            <w:pPr>
              <w:spacing w:after="0"/>
            </w:pPr>
            <w:r>
              <w:rPr>
                <w:sz w:val="12"/>
              </w:rPr>
              <w:t>T9</w:t>
            </w:r>
          </w:p>
        </w:tc>
        <w:tc>
          <w:tcPr>
            <w:tcW w:type="dxa" w:w="5083"/>
          </w:tcPr>
          <w:p>
            <w:pPr>
              <w:spacing w:after="0"/>
            </w:pPr>
            <w:r>
              <w:rPr>
                <w:sz w:val="12"/>
              </w:rPr>
              <w:t>Robustness across generation models/styles</w:t>
            </w:r>
          </w:p>
        </w:tc>
      </w:tr>
    </w:tbl>
    <w:p/>
    <w:p>
      <w:pPr>
        <w:pStyle w:val="Heading1"/>
      </w:pPr>
      <w:r>
        <w:t>9. Phase 8 — MedAI Benchmark Experiments</w:t>
      </w:r>
    </w:p>
    <w:p>
      <w:r>
        <w:t>Objective: evaluate phenotype-extraction systems on the frozen benchmark. Generation and extraction must remain separate roles.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System family</w:t>
            </w:r>
          </w:p>
        </w:tc>
        <w:tc>
          <w:tcPr>
            <w:tcW w:type="dxa" w:w="5083"/>
            <w:shd w:fill="D9EAF7"/>
          </w:tcPr>
          <w:p>
            <w:r>
              <w:rPr>
                <w:b/>
                <w:sz w:val="13"/>
              </w:rPr>
              <w:t>Planned role</w:t>
            </w:r>
          </w:p>
        </w:tc>
      </w:tr>
      <w:tr>
        <w:tc>
          <w:tcPr>
            <w:tcW w:type="dxa" w:w="5083"/>
          </w:tcPr>
          <w:p>
            <w:pPr>
              <w:spacing w:after="0"/>
            </w:pPr>
            <w:r>
              <w:rPr>
                <w:sz w:val="12"/>
              </w:rPr>
              <w:t>B0 rules/dictionaries</w:t>
            </w:r>
          </w:p>
        </w:tc>
        <w:tc>
          <w:tcPr>
            <w:tcW w:type="dxa" w:w="5083"/>
          </w:tcPr>
          <w:p>
            <w:pPr>
              <w:spacing w:after="0"/>
            </w:pPr>
            <w:r>
              <w:rPr>
                <w:sz w:val="12"/>
              </w:rPr>
              <w:t>Transparent non-neural baseline</w:t>
            </w:r>
          </w:p>
        </w:tc>
      </w:tr>
      <w:tr>
        <w:tc>
          <w:tcPr>
            <w:tcW w:type="dxa" w:w="5083"/>
          </w:tcPr>
          <w:p>
            <w:pPr>
              <w:spacing w:after="0"/>
            </w:pPr>
            <w:r>
              <w:rPr>
                <w:sz w:val="12"/>
              </w:rPr>
              <w:t>B1 pretrained clinical NLP</w:t>
            </w:r>
          </w:p>
        </w:tc>
        <w:tc>
          <w:tcPr>
            <w:tcW w:type="dxa" w:w="5083"/>
          </w:tcPr>
          <w:p>
            <w:pPr>
              <w:spacing w:after="0"/>
            </w:pPr>
            <w:r>
              <w:rPr>
                <w:sz w:val="12"/>
              </w:rPr>
              <w:t>Published/standard clinical NLP baseline where implementable</w:t>
            </w:r>
          </w:p>
        </w:tc>
      </w:tr>
      <w:tr>
        <w:tc>
          <w:tcPr>
            <w:tcW w:type="dxa" w:w="5083"/>
          </w:tcPr>
          <w:p>
            <w:pPr>
              <w:spacing w:after="0"/>
            </w:pPr>
            <w:r>
              <w:rPr>
                <w:sz w:val="12"/>
              </w:rPr>
              <w:t>M0 LLM zero-shot</w:t>
            </w:r>
          </w:p>
        </w:tc>
        <w:tc>
          <w:tcPr>
            <w:tcW w:type="dxa" w:w="5083"/>
          </w:tcPr>
          <w:p>
            <w:pPr>
              <w:spacing w:after="0"/>
            </w:pPr>
            <w:r>
              <w:rPr>
                <w:sz w:val="12"/>
              </w:rPr>
              <w:t>Unconstrained model baseline</w:t>
            </w:r>
          </w:p>
        </w:tc>
      </w:tr>
      <w:tr>
        <w:tc>
          <w:tcPr>
            <w:tcW w:type="dxa" w:w="5083"/>
          </w:tcPr>
          <w:p>
            <w:pPr>
              <w:spacing w:after="0"/>
            </w:pPr>
            <w:r>
              <w:rPr>
                <w:sz w:val="12"/>
              </w:rPr>
              <w:t>M1 LLM few-shot</w:t>
            </w:r>
          </w:p>
        </w:tc>
        <w:tc>
          <w:tcPr>
            <w:tcW w:type="dxa" w:w="5083"/>
          </w:tcPr>
          <w:p>
            <w:pPr>
              <w:spacing w:after="0"/>
            </w:pPr>
            <w:r>
              <w:rPr>
                <w:sz w:val="12"/>
              </w:rPr>
              <w:t>Tests demonstration effect</w:t>
            </w:r>
          </w:p>
        </w:tc>
      </w:tr>
      <w:tr>
        <w:tc>
          <w:tcPr>
            <w:tcW w:type="dxa" w:w="5083"/>
          </w:tcPr>
          <w:p>
            <w:pPr>
              <w:spacing w:after="0"/>
            </w:pPr>
            <w:r>
              <w:rPr>
                <w:sz w:val="12"/>
              </w:rPr>
              <w:t>M2 + schema constraints</w:t>
            </w:r>
          </w:p>
        </w:tc>
        <w:tc>
          <w:tcPr>
            <w:tcW w:type="dxa" w:w="5083"/>
          </w:tcPr>
          <w:p>
            <w:pPr>
              <w:spacing w:after="0"/>
            </w:pPr>
            <w:r>
              <w:rPr>
                <w:sz w:val="12"/>
              </w:rPr>
              <w:t>Tests structured output constraints</w:t>
            </w:r>
          </w:p>
        </w:tc>
      </w:tr>
      <w:tr>
        <w:tc>
          <w:tcPr>
            <w:tcW w:type="dxa" w:w="5083"/>
          </w:tcPr>
          <w:p>
            <w:pPr>
              <w:spacing w:after="0"/>
            </w:pPr>
            <w:r>
              <w:rPr>
                <w:sz w:val="12"/>
              </w:rPr>
              <w:t>M3 + evidence grounding</w:t>
            </w:r>
          </w:p>
        </w:tc>
        <w:tc>
          <w:tcPr>
            <w:tcW w:type="dxa" w:w="5083"/>
          </w:tcPr>
          <w:p>
            <w:pPr>
              <w:spacing w:after="0"/>
            </w:pPr>
            <w:r>
              <w:rPr>
                <w:sz w:val="12"/>
              </w:rPr>
              <w:t>Tests explicit evidence requirement</w:t>
            </w:r>
          </w:p>
        </w:tc>
      </w:tr>
      <w:tr>
        <w:tc>
          <w:tcPr>
            <w:tcW w:type="dxa" w:w="5083"/>
          </w:tcPr>
          <w:p>
            <w:pPr>
              <w:spacing w:after="0"/>
            </w:pPr>
            <w:r>
              <w:rPr>
                <w:sz w:val="12"/>
              </w:rPr>
              <w:t>M4 optional verification</w:t>
            </w:r>
          </w:p>
        </w:tc>
        <w:tc>
          <w:tcPr>
            <w:tcW w:type="dxa" w:w="5083"/>
          </w:tcPr>
          <w:p>
            <w:pPr>
              <w:spacing w:after="0"/>
            </w:pPr>
            <w:r>
              <w:rPr>
                <w:sz w:val="12"/>
              </w:rPr>
              <w:t>Tests consistency/verification layer if prospectively specified</w:t>
            </w:r>
          </w:p>
        </w:tc>
      </w:tr>
    </w:tbl>
    <w:p/>
    <w:p>
      <w:pPr>
        <w:pStyle w:val="ListBullet"/>
      </w:pPr>
      <w:r>
        <w:t>Freeze model IDs/configurations before final test-set evaluation.</w:t>
      </w:r>
    </w:p>
    <w:p>
      <w:pPr>
        <w:pStyle w:val="ListBullet"/>
      </w:pPr>
      <w:r>
        <w:t>Evaluate phenotype correctness separately from evidence correctness.</w:t>
      </w:r>
    </w:p>
    <w:p>
      <w:pPr>
        <w:pStyle w:val="ListBullet"/>
      </w:pPr>
      <w:r>
        <w:t>Report macro/micro F1 where appropriate, exact match for suitable fields, schema compliance, evidence support accuracy, unsupported output rate, and computational characteristics.</w:t>
      </w:r>
    </w:p>
    <w:p>
      <w:pPr>
        <w:pStyle w:val="ListBullet"/>
      </w:pPr>
      <w:r>
        <w:t>Do not tune on the final test split.</w:t>
      </w:r>
    </w:p>
    <w:p>
      <w:pPr>
        <w:pStyle w:val="ListBullet"/>
      </w:pPr>
      <w:r>
        <w:t>Evaluate robustness across generator provenance so extraction performance is not merely style memorization.</w:t>
      </w:r>
    </w:p>
    <w:p>
      <w:pPr>
        <w:pStyle w:val="Heading1"/>
      </w:pPr>
      <w:r>
        <w:t>10. Phase 9 — Real-World Clinical Validation</w:t>
      </w:r>
    </w:p>
    <w:p>
      <w:r>
        <w:t>Objective: determine whether conclusions obtained on synthetic documentation transfer to real epilepsy documentation.</w:t>
      </w:r>
    </w:p>
    <w:p>
      <w:pPr>
        <w:pStyle w:val="ListBullet"/>
      </w:pPr>
      <w:r>
        <w:t>Define a legally/ethically authorized real-document cohort and governance process before analysis.</w:t>
      </w:r>
    </w:p>
    <w:p>
      <w:pPr>
        <w:pStyle w:val="ListBullet"/>
      </w:pPr>
      <w:r>
        <w:t>Create clinician-reviewed gold annotations using the frozen annotation manual, with any real-world adaptations versioned and justified.</w:t>
      </w:r>
    </w:p>
    <w:p>
      <w:pPr>
        <w:pStyle w:val="ListBullet"/>
      </w:pPr>
      <w:r>
        <w:t>Evaluate the frozen MedAI system without retraining on the final external validation set.</w:t>
      </w:r>
    </w:p>
    <w:p>
      <w:pPr>
        <w:pStyle w:val="ListBullet"/>
      </w:pPr>
      <w:r>
        <w:t>Analyze performance by document type and clinically relevant evidence conditions rather than reporting only one aggregate score.</w:t>
      </w:r>
    </w:p>
    <w:p>
      <w:pPr>
        <w:pStyle w:val="ListBullet"/>
      </w:pPr>
      <w:r>
        <w:t>Compare synthetic-benchmark errors with real-document errors to identify synthetic-to-real gaps.</w:t>
      </w:r>
    </w:p>
    <w:p>
      <w:pPr>
        <w:pStyle w:val="ListBullet"/>
      </w:pPr>
      <w:r>
        <w:t>Keep clinical decision-support claims separate from extraction performance. Clinical deployment requires additional validation beyond this research program.</w:t>
      </w:r>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Critical interpretation boundary</w:t>
              <w:br/>
            </w:r>
            <w:r>
              <w:t>Good synthetic-benchmark performance does not establish clinical utility. Real-world validation is a separate evidentiary stage.</w:t>
            </w:r>
          </w:p>
        </w:tc>
      </w:tr>
    </w:tbl>
    <w:p/>
    <w:p>
      <w:pPr>
        <w:pStyle w:val="Heading1"/>
      </w:pPr>
      <w:r>
        <w:t>11. Phase 10 — Publication, Benchmark Documentation, and Release</w:t>
      </w:r>
    </w:p>
    <w:p>
      <w:r>
        <w:t>Objective: align every public claim with the evidence actually obtained and release only materials permitted by governance, licensing, and privacy constraints.</w:t>
      </w:r>
    </w:p>
    <w:p>
      <w:pPr>
        <w:pStyle w:val="Heading2"/>
      </w:pPr>
      <w:r>
        <w:t>Likely publication structure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Output</w:t>
            </w:r>
          </w:p>
        </w:tc>
        <w:tc>
          <w:tcPr>
            <w:tcW w:type="dxa" w:w="5083"/>
            <w:shd w:fill="D9EAF7"/>
          </w:tcPr>
          <w:p>
            <w:r>
              <w:rPr>
                <w:b/>
                <w:sz w:val="13"/>
              </w:rPr>
              <w:t>Core contribution</w:t>
            </w:r>
          </w:p>
        </w:tc>
      </w:tr>
      <w:tr>
        <w:tc>
          <w:tcPr>
            <w:tcW w:type="dxa" w:w="5083"/>
          </w:tcPr>
          <w:p>
            <w:pPr>
              <w:spacing w:after="0"/>
            </w:pPr>
            <w:r>
              <w:rPr>
                <w:sz w:val="12"/>
              </w:rPr>
              <w:t>Paper A — EpiSynth</w:t>
            </w:r>
          </w:p>
        </w:tc>
        <w:tc>
          <w:tcPr>
            <w:tcW w:type="dxa" w:w="5083"/>
          </w:tcPr>
          <w:p>
            <w:pPr>
              <w:spacing w:after="0"/>
            </w:pPr>
            <w:r>
              <w:rPr>
                <w:sz w:val="12"/>
              </w:rPr>
              <w:t>Evidence-constrained synthetic epilepsy-document generation, truth preservation, clinician validation, benchmark construction</w:t>
            </w:r>
          </w:p>
        </w:tc>
      </w:tr>
      <w:tr>
        <w:tc>
          <w:tcPr>
            <w:tcW w:type="dxa" w:w="5083"/>
          </w:tcPr>
          <w:p>
            <w:pPr>
              <w:spacing w:after="0"/>
            </w:pPr>
            <w:r>
              <w:rPr>
                <w:sz w:val="12"/>
              </w:rPr>
              <w:t>Paper B — MedAI</w:t>
            </w:r>
          </w:p>
        </w:tc>
        <w:tc>
          <w:tcPr>
            <w:tcW w:type="dxa" w:w="5083"/>
          </w:tcPr>
          <w:p>
            <w:pPr>
              <w:spacing w:after="0"/>
            </w:pPr>
            <w:r>
              <w:rPr>
                <w:sz w:val="12"/>
              </w:rPr>
              <w:t>Evidence-grounded phenotype extraction evaluated on EpiSynth plus real/external clinical documentation</w:t>
            </w:r>
          </w:p>
        </w:tc>
      </w:tr>
      <w:tr>
        <w:tc>
          <w:tcPr>
            <w:tcW w:type="dxa" w:w="5083"/>
          </w:tcPr>
          <w:p>
            <w:pPr>
              <w:spacing w:after="0"/>
            </w:pPr>
            <w:r>
              <w:rPr>
                <w:sz w:val="12"/>
              </w:rPr>
              <w:t>Later multimodal program</w:t>
            </w:r>
          </w:p>
        </w:tc>
        <w:tc>
          <w:tcPr>
            <w:tcW w:type="dxa" w:w="5083"/>
          </w:tcPr>
          <w:p>
            <w:pPr>
              <w:spacing w:after="0"/>
            </w:pPr>
            <w:r>
              <w:rPr>
                <w:sz w:val="12"/>
              </w:rPr>
              <w:t>MRI + EEG + clinical text; outside the core text-only Paper 1 unless separately validated</w:t>
            </w:r>
          </w:p>
        </w:tc>
      </w:tr>
    </w:tbl>
    <w:p/>
    <w:p>
      <w:pPr>
        <w:pStyle w:val="Heading2"/>
      </w:pPr>
      <w:r>
        <w:t>Release package</w:t>
      </w:r>
    </w:p>
    <w:p>
      <w:pPr>
        <w:pStyle w:val="ListBullet"/>
      </w:pPr>
      <w:r>
        <w:t>Manuscript and supplementary methods.</w:t>
      </w:r>
    </w:p>
    <w:p>
      <w:pPr>
        <w:pStyle w:val="ListBullet"/>
      </w:pPr>
      <w:r>
        <w:t>Versioned benchmark/code where permitted.</w:t>
      </w:r>
    </w:p>
    <w:p>
      <w:pPr>
        <w:pStyle w:val="ListBullet"/>
      </w:pPr>
      <w:r>
        <w:t>Data/model cards or equivalent documentation appropriate to released artifacts.</w:t>
      </w:r>
    </w:p>
    <w:p>
      <w:pPr>
        <w:pStyle w:val="ListBullet"/>
      </w:pPr>
      <w:r>
        <w:t>Annotation manual and provenance/source registry.</w:t>
      </w:r>
    </w:p>
    <w:p>
      <w:pPr>
        <w:pStyle w:val="ListBullet"/>
      </w:pPr>
      <w:r>
        <w:t>Generator and extraction-model configuration registry.</w:t>
      </w:r>
    </w:p>
    <w:p>
      <w:pPr>
        <w:pStyle w:val="ListBullet"/>
      </w:pPr>
      <w:r>
        <w:t>Error taxonomy and limitations.</w:t>
      </w:r>
    </w:p>
    <w:p>
      <w:pPr>
        <w:pStyle w:val="ListBullet"/>
      </w:pPr>
      <w:r>
        <w:t>Reproducibility instructions and immutable release manifest.</w:t>
      </w:r>
    </w:p>
    <w:p>
      <w:pPr>
        <w:pStyle w:val="Heading2"/>
      </w:pPr>
      <w:r>
        <w:t>Claim discipline</w:t>
      </w:r>
    </w:p>
    <w:p>
      <w:pPr>
        <w:pStyle w:val="ListBullet"/>
      </w:pPr>
      <w:r>
        <w:t>Do not claim privacy safety without a defined threat model and privacy evaluation.</w:t>
      </w:r>
    </w:p>
    <w:p>
      <w:pPr>
        <w:pStyle w:val="ListBullet"/>
      </w:pPr>
      <w:r>
        <w:t>Do not claim clinical realism without clinician validation.</w:t>
      </w:r>
    </w:p>
    <w:p>
      <w:pPr>
        <w:pStyle w:val="ListBullet"/>
      </w:pPr>
      <w:r>
        <w:t>Do not claim downstream utility without downstream experiments.</w:t>
      </w:r>
    </w:p>
    <w:p>
      <w:pPr>
        <w:pStyle w:val="ListBullet"/>
      </w:pPr>
      <w:r>
        <w:t>Do not claim population representativeness from benchmark-design sampling.</w:t>
      </w:r>
    </w:p>
    <w:p>
      <w:pPr>
        <w:pStyle w:val="ListBullet"/>
      </w:pPr>
      <w:r>
        <w:t>Do not claim superiority of a model/framework beyond the populations, tasks, and evaluation settings actually tested.</w:t>
      </w:r>
    </w:p>
    <w:p>
      <w:pPr>
        <w:pStyle w:val="Heading1"/>
      </w:pPr>
      <w:r>
        <w:t>12. Cross-phase gates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Gate</w:t>
            </w:r>
          </w:p>
        </w:tc>
        <w:tc>
          <w:tcPr>
            <w:tcW w:type="dxa" w:w="5083"/>
            <w:shd w:fill="D9EAF7"/>
          </w:tcPr>
          <w:p>
            <w:r>
              <w:rPr>
                <w:b/>
                <w:sz w:val="13"/>
              </w:rPr>
              <w:t>Must be true before proceeding</w:t>
            </w:r>
          </w:p>
        </w:tc>
      </w:tr>
      <w:tr>
        <w:tc>
          <w:tcPr>
            <w:tcW w:type="dxa" w:w="5083"/>
          </w:tcPr>
          <w:p>
            <w:pPr>
              <w:spacing w:after="0"/>
            </w:pPr>
            <w:r>
              <w:rPr>
                <w:sz w:val="12"/>
              </w:rPr>
              <w:t>6D.2 → 6D.3</w:t>
            </w:r>
          </w:p>
        </w:tc>
        <w:tc>
          <w:tcPr>
            <w:tcW w:type="dxa" w:w="5083"/>
          </w:tcPr>
          <w:p>
            <w:pPr>
              <w:spacing w:after="0"/>
            </w:pPr>
            <w:r>
              <w:rPr>
                <w:sz w:val="12"/>
              </w:rPr>
              <w:t>Raw outputs frozen; planned requests accounted for; deviations logged</w:t>
            </w:r>
          </w:p>
        </w:tc>
      </w:tr>
      <w:tr>
        <w:tc>
          <w:tcPr>
            <w:tcW w:type="dxa" w:w="5083"/>
          </w:tcPr>
          <w:p>
            <w:pPr>
              <w:spacing w:after="0"/>
            </w:pPr>
            <w:r>
              <w:rPr>
                <w:sz w:val="12"/>
              </w:rPr>
              <w:t>6D.3 → 6D.4</w:t>
            </w:r>
          </w:p>
        </w:tc>
        <w:tc>
          <w:tcPr>
            <w:tcW w:type="dxa" w:w="5083"/>
          </w:tcPr>
          <w:p>
            <w:pPr>
              <w:spacing w:after="0"/>
            </w:pPr>
            <w:r>
              <w:rPr>
                <w:sz w:val="12"/>
              </w:rPr>
              <w:t>Claim adjudication complete under frozen definitions</w:t>
            </w:r>
          </w:p>
        </w:tc>
      </w:tr>
      <w:tr>
        <w:tc>
          <w:tcPr>
            <w:tcW w:type="dxa" w:w="5083"/>
          </w:tcPr>
          <w:p>
            <w:pPr>
              <w:spacing w:after="0"/>
            </w:pPr>
            <w:r>
              <w:rPr>
                <w:sz w:val="12"/>
              </w:rPr>
              <w:t>6D.4 → 6E/6F</w:t>
            </w:r>
          </w:p>
        </w:tc>
        <w:tc>
          <w:tcPr>
            <w:tcW w:type="dxa" w:w="5083"/>
          </w:tcPr>
          <w:p>
            <w:pPr>
              <w:spacing w:after="0"/>
            </w:pPr>
            <w:r>
              <w:rPr>
                <w:sz w:val="12"/>
              </w:rPr>
              <w:t>Pilot results and error analysis documented; no post-hoc relabeling</w:t>
            </w:r>
          </w:p>
        </w:tc>
      </w:tr>
      <w:tr>
        <w:tc>
          <w:tcPr>
            <w:tcW w:type="dxa" w:w="5083"/>
          </w:tcPr>
          <w:p>
            <w:pPr>
              <w:spacing w:after="0"/>
            </w:pPr>
            <w:r>
              <w:rPr>
                <w:sz w:val="12"/>
              </w:rPr>
              <w:t>6E → 6F</w:t>
            </w:r>
          </w:p>
        </w:tc>
        <w:tc>
          <w:tcPr>
            <w:tcW w:type="dxa" w:w="5083"/>
          </w:tcPr>
          <w:p>
            <w:pPr>
              <w:spacing w:after="0"/>
            </w:pPr>
            <w:r>
              <w:rPr>
                <w:sz w:val="12"/>
              </w:rPr>
              <w:t>Clinician rubric applied and limitations documented</w:t>
            </w:r>
          </w:p>
        </w:tc>
      </w:tr>
      <w:tr>
        <w:tc>
          <w:tcPr>
            <w:tcW w:type="dxa" w:w="5083"/>
          </w:tcPr>
          <w:p>
            <w:pPr>
              <w:spacing w:after="0"/>
            </w:pPr>
            <w:r>
              <w:rPr>
                <w:sz w:val="12"/>
              </w:rPr>
              <w:t>6F → 7</w:t>
            </w:r>
          </w:p>
        </w:tc>
        <w:tc>
          <w:tcPr>
            <w:tcW w:type="dxa" w:w="5083"/>
          </w:tcPr>
          <w:p>
            <w:pPr>
              <w:spacing w:after="0"/>
            </w:pPr>
            <w:r>
              <w:rPr>
                <w:sz w:val="12"/>
              </w:rPr>
              <w:t>Production generator/validator/provenance specification frozen</w:t>
            </w:r>
          </w:p>
        </w:tc>
      </w:tr>
      <w:tr>
        <w:tc>
          <w:tcPr>
            <w:tcW w:type="dxa" w:w="5083"/>
          </w:tcPr>
          <w:p>
            <w:pPr>
              <w:spacing w:after="0"/>
            </w:pPr>
            <w:r>
              <w:rPr>
                <w:sz w:val="12"/>
              </w:rPr>
              <w:t>7 → 8</w:t>
            </w:r>
          </w:p>
        </w:tc>
        <w:tc>
          <w:tcPr>
            <w:tcW w:type="dxa" w:w="5083"/>
          </w:tcPr>
          <w:p>
            <w:pPr>
              <w:spacing w:after="0"/>
            </w:pPr>
            <w:r>
              <w:rPr>
                <w:sz w:val="12"/>
              </w:rPr>
              <w:t>Benchmark integrity, splits, leakage checks, and documentation complete</w:t>
            </w:r>
          </w:p>
        </w:tc>
      </w:tr>
      <w:tr>
        <w:tc>
          <w:tcPr>
            <w:tcW w:type="dxa" w:w="5083"/>
          </w:tcPr>
          <w:p>
            <w:pPr>
              <w:spacing w:after="0"/>
            </w:pPr>
            <w:r>
              <w:rPr>
                <w:sz w:val="12"/>
              </w:rPr>
              <w:t>8 → 9</w:t>
            </w:r>
          </w:p>
        </w:tc>
        <w:tc>
          <w:tcPr>
            <w:tcW w:type="dxa" w:w="5083"/>
          </w:tcPr>
          <w:p>
            <w:pPr>
              <w:spacing w:after="0"/>
            </w:pPr>
            <w:r>
              <w:rPr>
                <w:sz w:val="12"/>
              </w:rPr>
              <w:t>MedAI evaluation protocol and model configuration frozen</w:t>
            </w:r>
          </w:p>
        </w:tc>
      </w:tr>
      <w:tr>
        <w:tc>
          <w:tcPr>
            <w:tcW w:type="dxa" w:w="5083"/>
          </w:tcPr>
          <w:p>
            <w:pPr>
              <w:spacing w:after="0"/>
            </w:pPr>
            <w:r>
              <w:rPr>
                <w:sz w:val="12"/>
              </w:rPr>
              <w:t>9 → 10</w:t>
            </w:r>
          </w:p>
        </w:tc>
        <w:tc>
          <w:tcPr>
            <w:tcW w:type="dxa" w:w="5083"/>
          </w:tcPr>
          <w:p>
            <w:pPr>
              <w:spacing w:after="0"/>
            </w:pPr>
            <w:r>
              <w:rPr>
                <w:sz w:val="12"/>
              </w:rPr>
              <w:t>Real-world results complete and claims bounded to evidence</w:t>
            </w:r>
          </w:p>
        </w:tc>
      </w:tr>
    </w:tbl>
    <w:p/>
    <w:p>
      <w:pPr>
        <w:pStyle w:val="Heading1"/>
      </w:pPr>
      <w:r>
        <w:t>13. Program completion definition</w:t>
      </w:r>
    </w:p>
    <w:p>
      <w:r>
        <w:t>The research program is not complete merely when synthetic documents exist. Completion requires a traceable chain from authoritative clinical semantics to latent truth, controlled rendering, truth-preservation evaluation, expert review, benchmark construction, extraction evaluation, real-world validation, and evidence-bounded reporting.</w:t>
      </w:r>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End-state</w:t>
              <w:br/>
            </w:r>
            <w:r>
              <w:t>AUTHORITATIVE SOURCES → FROZEN CLINICAL SEMANTICS → SYNTHETIC PATIENT/EVENT TRUTH → CONTROLLED GPT RENDERING → CLAIM-LEVEL VALIDATION → CLINICIAN REVIEW → EPISYNTH BENCHMARK → MEDAI EXTRACTION EXPERIMENTS → REAL-WORLD VALIDATION → PUBLICATION.</w:t>
            </w:r>
          </w:p>
        </w:tc>
      </w:tr>
    </w:tbl>
    <w:p/>
    <w:p>
      <w:pPr>
        <w:pStyle w:val="Heading1"/>
      </w:pPr>
      <w:r>
        <w:t>14. Provenance of this roadmap</w:t>
      </w:r>
    </w:p>
    <w:p>
      <w:r>
        <w:t>This document consolidates the already-defined MedAI/EpiSynth Phase 6D protocol, Phase 6D.1 v2 freeze, and the program roadmap established in prior phases. Items explicitly described as future, candidate, provisional, or planned are not presented as established clinical standards or completed results. External clinical semantics remain governed by the authoritative sources already registered in the upstream MedAI evidence base.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