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00"/>
        <w:jc w:val="center"/>
      </w:pPr>
      <w:r>
        <w:rPr>
          <w:b/>
          <w:color w:val="17365D"/>
          <w:sz w:val="60"/>
        </w:rPr>
        <w:t>MedAI / EpiSynth</w:t>
      </w:r>
    </w:p>
    <w:p>
      <w:pPr>
        <w:jc w:val="center"/>
      </w:pPr>
      <w:r>
        <w:rPr>
          <w:b/>
          <w:color w:val="2F5597"/>
          <w:sz w:val="38"/>
        </w:rPr>
        <w:t>Shared Generation &amp; Annotation Architecture</w:t>
      </w:r>
    </w:p>
    <w:p>
      <w:pPr>
        <w:jc w:val="center"/>
      </w:pPr>
      <w:r>
        <w:rPr>
          <w:sz w:val="21"/>
        </w:rPr>
        <w:t>Evidence-backed synthetic annotation, real-clinical-note annotation, and benchmark gold layers</w:t>
        <w:br/>
        <w:t>Version 1.0 • 25 September 2026</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Core proposal</w:t>
              <w:br/>
            </w:r>
            <w:r>
              <w:t>Build one MedAI Clinical Annotation Application Profile from the same authoritative source taxonomy and application-profile layers used for EpiSynth generation. Generation and annotation share semantics, but remain operationally independent. This preserves a traceable distinction between latent patient truth, authorized document content, rendered evidence, human annotation, and adjudicated gold.</w:t>
            </w:r>
          </w:p>
        </w:tc>
      </w:tr>
    </w:tbl>
    <w:p/>
    <w:p>
      <w:pPr>
        <w:pStyle w:val="Heading1"/>
      </w:pPr>
      <w:r>
        <w:t>1. Why this extension is needed</w:t>
      </w:r>
    </w:p>
    <w:p>
      <w:r>
        <w:t>The current EpiSynth architecture already constrains generation using authoritative clinical semantics, a frozen MedAI application profile, latent patient truth, clinical events, and semantic plans. The annotation side should use those same semantic foundations rather than introducing a second incompatible ontology after documents are generated.</w:t>
      </w:r>
    </w:p>
    <w:p>
      <w:pPr>
        <w:pStyle w:val="ListBullet"/>
      </w:pPr>
      <w:r>
        <w:t>Avoid circular ground truth in which an LLM generates both a note and its supposedly correct annotation.</w:t>
      </w:r>
    </w:p>
    <w:p>
      <w:pPr>
        <w:pStyle w:val="ListBullet"/>
      </w:pPr>
      <w:r>
        <w:t>Allow synthetic and real clinical notes to be represented under the same phenotype/assertion model.</w:t>
      </w:r>
    </w:p>
    <w:p>
      <w:pPr>
        <w:pStyle w:val="ListBullet"/>
      </w:pPr>
      <w:r>
        <w:t>Reuse published annotation precedents rather than inventing entity definitions, attributes, span rules, or adjudication methods.</w:t>
      </w:r>
    </w:p>
    <w:p>
      <w:pPr>
        <w:pStyle w:val="ListBullet"/>
      </w:pPr>
      <w:r>
        <w:t>Make generation errors observable: the benchmark can distinguish what was true, what was authorized, what was actually rendered, and what a human annotator judged.</w:t>
      </w:r>
    </w:p>
    <w:p>
      <w:pPr>
        <w:pStyle w:val="ListBullet"/>
      </w:pPr>
      <w:r>
        <w:t>Support later synthetic-to-real validation because EpiSynth and real-note annotations share a common representation.</w:t>
      </w:r>
    </w:p>
    <w:p>
      <w:pPr>
        <w:pStyle w:val="Heading1"/>
      </w:pPr>
      <w:r>
        <w:t>2. Published annotation precedent supporting the design</w:t>
      </w:r>
    </w:p>
    <w:tbl>
      <w:tblPr>
        <w:tblStyle w:val="TableGrid"/>
        <w:tblW w:type="auto" w:w="0"/>
        <w:jc w:val="center"/>
        <w:tblLook w:firstColumn="1" w:firstRow="1" w:lastColumn="0" w:lastRow="0" w:noHBand="0" w:noVBand="1" w:val="04A0"/>
      </w:tblPr>
      <w:tblGrid>
        <w:gridCol w:w="3427"/>
        <w:gridCol w:w="3427"/>
        <w:gridCol w:w="3427"/>
      </w:tblGrid>
      <w:tr>
        <w:tc>
          <w:tcPr>
            <w:tcW w:type="dxa" w:w="3427"/>
            <w:shd w:fill="D9EAF7"/>
          </w:tcPr>
          <w:p>
            <w:r>
              <w:rPr>
                <w:b/>
                <w:sz w:val="12"/>
              </w:rPr>
              <w:t>Resource</w:t>
            </w:r>
          </w:p>
        </w:tc>
        <w:tc>
          <w:tcPr>
            <w:tcW w:type="dxa" w:w="3427"/>
            <w:shd w:fill="D9EAF7"/>
          </w:tcPr>
          <w:p>
            <w:r>
              <w:rPr>
                <w:b/>
                <w:sz w:val="12"/>
              </w:rPr>
              <w:t>Corpus / method</w:t>
            </w:r>
          </w:p>
        </w:tc>
        <w:tc>
          <w:tcPr>
            <w:tcW w:type="dxa" w:w="3427"/>
            <w:shd w:fill="D9EAF7"/>
          </w:tcPr>
          <w:p>
            <w:r>
              <w:rPr>
                <w:b/>
                <w:sz w:val="12"/>
              </w:rPr>
              <w:t>What it contributes to MedAI</w:t>
            </w:r>
          </w:p>
        </w:tc>
      </w:tr>
      <w:tr>
        <w:tc>
          <w:tcPr>
            <w:tcW w:type="dxa" w:w="3427"/>
          </w:tcPr>
          <w:p>
            <w:pPr>
              <w:spacing w:after="0"/>
            </w:pPr>
            <w:r>
              <w:rPr>
                <w:sz w:val="11"/>
              </w:rPr>
              <w:t>ExECTv2 (Fonferko-Shadrach et al., 2024)</w:t>
            </w:r>
          </w:p>
        </w:tc>
        <w:tc>
          <w:tcPr>
            <w:tcW w:type="dxa" w:w="3427"/>
          </w:tcPr>
          <w:p>
            <w:pPr>
              <w:spacing w:after="0"/>
            </w:pPr>
            <w:r>
              <w:rPr>
                <w:sz w:val="11"/>
              </w:rPr>
              <w:t>200 synthetic epilepsy clinic letters; double annotation by trained clinicians/researchers; consensus gold; annotations/guidelines released.</w:t>
            </w:r>
          </w:p>
        </w:tc>
        <w:tc>
          <w:tcPr>
            <w:tcW w:type="dxa" w:w="3427"/>
          </w:tcPr>
          <w:p>
            <w:pPr>
              <w:spacing w:after="0"/>
            </w:pPr>
            <w:r>
              <w:rPr>
                <w:sz w:val="11"/>
              </w:rPr>
              <w:t>Strong precedent for synthetic epilepsy-document annotation, trial annotation, consensus adjudication, entities/attributes, and treating synthetic text as requiring independent annotation rather than automatic truth.</w:t>
            </w:r>
          </w:p>
        </w:tc>
      </w:tr>
      <w:tr>
        <w:tc>
          <w:tcPr>
            <w:tcW w:type="dxa" w:w="3427"/>
          </w:tcPr>
          <w:p>
            <w:pPr>
              <w:spacing w:after="0"/>
            </w:pPr>
            <w:r>
              <w:rPr>
                <w:sz w:val="11"/>
              </w:rPr>
              <w:t>EpiDEA (Cui et al., 2012)</w:t>
            </w:r>
          </w:p>
        </w:tc>
        <w:tc>
          <w:tcPr>
            <w:tcW w:type="dxa" w:w="3427"/>
          </w:tcPr>
          <w:p>
            <w:pPr>
              <w:spacing w:after="0"/>
            </w:pPr>
            <w:r>
              <w:rPr>
                <w:sz w:val="11"/>
              </w:rPr>
              <w:t>104 real EMU discharge summaries; gold standard created by two clinicians; epilepsy/seizure ontology-backed extraction.</w:t>
            </w:r>
          </w:p>
        </w:tc>
        <w:tc>
          <w:tcPr>
            <w:tcW w:type="dxa" w:w="3427"/>
          </w:tcPr>
          <w:p>
            <w:pPr>
              <w:spacing w:after="0"/>
            </w:pPr>
            <w:r>
              <w:rPr>
                <w:sz w:val="11"/>
              </w:rPr>
              <w:t>Real-note precedent for epilepsy-specific structured annotation and clinician gold across EEG, MRI, medications, etiology, epileptogenic zone and related information.</w:t>
            </w:r>
          </w:p>
        </w:tc>
      </w:tr>
      <w:tr>
        <w:tc>
          <w:tcPr>
            <w:tcW w:type="dxa" w:w="3427"/>
          </w:tcPr>
          <w:p>
            <w:pPr>
              <w:spacing w:after="0"/>
            </w:pPr>
            <w:r>
              <w:rPr>
                <w:sz w:val="11"/>
              </w:rPr>
              <w:t>SZFreqExtract (2025)</w:t>
            </w:r>
          </w:p>
        </w:tc>
        <w:tc>
          <w:tcPr>
            <w:tcW w:type="dxa" w:w="3427"/>
          </w:tcPr>
          <w:p>
            <w:pPr>
              <w:spacing w:after="0"/>
            </w:pPr>
            <w:r>
              <w:rPr>
                <w:sz w:val="11"/>
              </w:rPr>
              <w:t>De-identified seizure-frequency text segments and code released from epilepsy evaluation reports.</w:t>
            </w:r>
          </w:p>
        </w:tc>
        <w:tc>
          <w:tcPr>
            <w:tcW w:type="dxa" w:w="3427"/>
          </w:tcPr>
          <w:p>
            <w:pPr>
              <w:spacing w:after="0"/>
            </w:pPr>
            <w:r>
              <w:rPr>
                <w:sz w:val="11"/>
              </w:rPr>
              <w:t>Recent precedent for detailed seizure-frequency representation and evaluation on real clinical language.</w:t>
            </w:r>
          </w:p>
        </w:tc>
      </w:tr>
      <w:tr>
        <w:tc>
          <w:tcPr>
            <w:tcW w:type="dxa" w:w="3427"/>
          </w:tcPr>
          <w:p>
            <w:pPr>
              <w:spacing w:after="0"/>
            </w:pPr>
            <w:r>
              <w:rPr>
                <w:sz w:val="11"/>
              </w:rPr>
              <w:t>Recent epilepsy/seizure phenotyping work (2026)</w:t>
            </w:r>
          </w:p>
        </w:tc>
        <w:tc>
          <w:tcPr>
            <w:tcW w:type="dxa" w:w="3427"/>
          </w:tcPr>
          <w:p>
            <w:pPr>
              <w:spacing w:after="0"/>
            </w:pPr>
            <w:r>
              <w:rPr>
                <w:sz w:val="11"/>
              </w:rPr>
              <w:t>Annotated outpatient epilepsy notes for epilepsy type and seizure type; labels mapped at multiple granularities.</w:t>
            </w:r>
          </w:p>
        </w:tc>
        <w:tc>
          <w:tcPr>
            <w:tcW w:type="dxa" w:w="3427"/>
          </w:tcPr>
          <w:p>
            <w:pPr>
              <w:spacing w:after="0"/>
            </w:pPr>
            <w:r>
              <w:rPr>
                <w:sz w:val="11"/>
              </w:rPr>
              <w:t>Supports note-level clinical phenotype annotation and explicit handling of label granularity.</w:t>
            </w:r>
          </w:p>
        </w:tc>
      </w:tr>
    </w:tbl>
    <w:p/>
    <w:tbl>
      <w:tblPr>
        <w:tblStyle w:val="TableGrid"/>
        <w:tblW w:type="auto" w:w="0"/>
        <w:tblLook w:firstColumn="1" w:firstRow="1" w:lastColumn="0" w:lastRow="0" w:noHBand="0" w:noVBand="1" w:val="04A0"/>
      </w:tblPr>
      <w:tblGrid>
        <w:gridCol w:w="10282"/>
      </w:tblGrid>
      <w:tr>
        <w:tc>
          <w:tcPr>
            <w:tcW w:type="dxa" w:w="10282"/>
            <w:shd w:fill="FFF2CC"/>
          </w:tcPr>
          <w:p>
            <w:r>
              <w:rPr>
                <w:b/>
                <w:color w:val="17365D"/>
              </w:rPr>
              <w:t>Important boundary</w:t>
              <w:br/>
            </w:r>
            <w:r>
              <w:t>Published resources are precedents, not automatic authority for every MedAI field. Each external annotation entity, attribute, relation, or adjudication rule must be crosswalked to the MedAI source taxonomy and classified as adopted, adapted, harmonized, MedAI-proposed, or blocked.</w:t>
            </w:r>
          </w:p>
        </w:tc>
      </w:tr>
    </w:tbl>
    <w:p/>
    <w:p>
      <w:pPr>
        <w:pStyle w:val="Heading1"/>
      </w:pPr>
      <w:r>
        <w:t>3. Shared semantic architecture</w:t>
      </w:r>
    </w:p>
    <w:p>
      <w:pPr>
        <w:jc w:val="center"/>
      </w:pPr>
      <w:r>
        <w:rPr>
          <w:b/>
          <w:color w:val="17365D"/>
          <w:sz w:val="18"/>
        </w:rPr>
        <w:t>AUTHORITATIVE CLINICAL SOURCES</w:t>
      </w:r>
    </w:p>
    <w:p>
      <w:pPr>
        <w:jc w:val="center"/>
      </w:pPr>
      <w:r>
        <w:rPr>
          <w:b/>
          <w:color w:val="17365D"/>
          <w:sz w:val="18"/>
        </w:rPr>
        <w:t>ILAE / NINDS CDE / EpSO / SCORE / RxNorm / SNOMED CT / RadLex</w:t>
      </w:r>
    </w:p>
    <w:p>
      <w:pPr>
        <w:jc w:val="center"/>
      </w:pPr>
      <w:r>
        <w:rPr>
          <w:b w:val="0"/>
          <w:sz w:val="18"/>
        </w:rPr>
        <w:t>↓</w:t>
      </w:r>
    </w:p>
    <w:p>
      <w:pPr>
        <w:jc w:val="center"/>
      </w:pPr>
      <w:r>
        <w:rPr>
          <w:b/>
          <w:color w:val="17365D"/>
          <w:sz w:val="18"/>
        </w:rPr>
        <w:t>SOURCE CLINICAL TAXONOMY</w:t>
      </w:r>
    </w:p>
    <w:p>
      <w:pPr>
        <w:jc w:val="center"/>
      </w:pPr>
      <w:r>
        <w:rPr>
          <w:b w:val="0"/>
          <w:sz w:val="18"/>
        </w:rPr>
        <w:t>↓</w:t>
      </w:r>
    </w:p>
    <w:p>
      <w:pPr>
        <w:jc w:val="center"/>
      </w:pPr>
      <w:r>
        <w:rPr>
          <w:b/>
          <w:color w:val="17365D"/>
          <w:sz w:val="18"/>
        </w:rPr>
        <w:t>MEDAI APPLICATION PROFILE</w:t>
      </w:r>
    </w:p>
    <w:p>
      <w:pPr>
        <w:jc w:val="center"/>
      </w:pPr>
      <w:r>
        <w:rPr>
          <w:b w:val="0"/>
          <w:sz w:val="18"/>
        </w:rPr>
        <w:t>↓</w:t>
      </w:r>
    </w:p>
    <w:p>
      <w:pPr>
        <w:jc w:val="center"/>
      </w:pPr>
      <w:r>
        <w:rPr>
          <w:b/>
          <w:color w:val="17365D"/>
          <w:sz w:val="18"/>
        </w:rPr>
        <w:t>┌──────────────── GENERATION PROFILE ────────────────┐</w:t>
      </w:r>
    </w:p>
    <w:p>
      <w:pPr>
        <w:jc w:val="center"/>
      </w:pPr>
      <w:r>
        <w:rPr>
          <w:b/>
          <w:color w:val="17365D"/>
          <w:sz w:val="18"/>
        </w:rPr>
        <w:t>│ latent patient truth → events → semantic plan      │</w:t>
      </w:r>
    </w:p>
    <w:p>
      <w:pPr>
        <w:jc w:val="center"/>
      </w:pPr>
      <w:r>
        <w:rPr>
          <w:b/>
          <w:color w:val="17365D"/>
          <w:sz w:val="18"/>
        </w:rPr>
        <w:t>└─────────────────────────────────────────────────────┘</w:t>
      </w:r>
    </w:p>
    <w:p>
      <w:pPr>
        <w:jc w:val="center"/>
      </w:pPr>
      <w:r>
        <w:rPr>
          <w:b w:val="0"/>
          <w:sz w:val="18"/>
        </w:rPr>
        <w:t xml:space="preserve">                         +</w:t>
      </w:r>
    </w:p>
    <w:p>
      <w:pPr>
        <w:jc w:val="center"/>
      </w:pPr>
      <w:r>
        <w:rPr>
          <w:b/>
          <w:color w:val="17365D"/>
          <w:sz w:val="18"/>
        </w:rPr>
        <w:t>┌──────────────── ANNOTATION PROFILE ────────────────┐</w:t>
      </w:r>
    </w:p>
    <w:p>
      <w:pPr>
        <w:jc w:val="center"/>
      </w:pPr>
      <w:r>
        <w:rPr>
          <w:b/>
          <w:color w:val="17365D"/>
          <w:sz w:val="18"/>
        </w:rPr>
        <w:t>│ entities → attributes → relations → evidence rules │</w:t>
      </w:r>
    </w:p>
    <w:p>
      <w:pPr>
        <w:jc w:val="center"/>
      </w:pPr>
      <w:r>
        <w:rPr>
          <w:b/>
          <w:color w:val="17365D"/>
          <w:sz w:val="18"/>
        </w:rPr>
        <w:t>└─────────────────────────────────────────────────────┘</w:t>
      </w:r>
    </w:p>
    <w:p>
      <w:pPr>
        <w:jc w:val="center"/>
      </w:pPr>
      <w:r>
        <w:rPr>
          <w:b w:val="0"/>
          <w:sz w:val="18"/>
        </w:rPr>
        <w:t>↓</w:t>
      </w:r>
    </w:p>
    <w:p>
      <w:pPr>
        <w:jc w:val="center"/>
      </w:pPr>
      <w:r>
        <w:rPr>
          <w:b/>
          <w:color w:val="17365D"/>
          <w:sz w:val="18"/>
        </w:rPr>
        <w:t>SYNTHETIC OR REAL CLINICAL DOCUMENT</w:t>
      </w:r>
    </w:p>
    <w:p>
      <w:pPr>
        <w:jc w:val="center"/>
      </w:pPr>
      <w:r>
        <w:rPr>
          <w:b w:val="0"/>
          <w:sz w:val="18"/>
        </w:rPr>
        <w:t>↓</w:t>
      </w:r>
    </w:p>
    <w:p>
      <w:pPr>
        <w:jc w:val="center"/>
      </w:pPr>
      <w:r>
        <w:rPr>
          <w:b/>
          <w:color w:val="17365D"/>
          <w:sz w:val="18"/>
        </w:rPr>
        <w:t>EVIDENCE SPANS → PHENOTYPE ASSERTIONS → NORMALIZATION → ADJUDICATION</w:t>
      </w:r>
    </w:p>
    <w:p>
      <w:pPr>
        <w:pStyle w:val="Heading1"/>
      </w:pPr>
      <w:r>
        <w:t>4. Annotation layers</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Pr>
                <w:b/>
                <w:sz w:val="12"/>
              </w:rPr>
              <w:t>Layer</w:t>
            </w:r>
          </w:p>
        </w:tc>
        <w:tc>
          <w:tcPr>
            <w:tcW w:type="dxa" w:w="2570"/>
            <w:shd w:fill="D9EAF7"/>
          </w:tcPr>
          <w:p>
            <w:r>
              <w:rPr>
                <w:b/>
                <w:sz w:val="12"/>
              </w:rPr>
              <w:t>Object</w:t>
            </w:r>
          </w:p>
        </w:tc>
        <w:tc>
          <w:tcPr>
            <w:tcW w:type="dxa" w:w="2570"/>
            <w:shd w:fill="D9EAF7"/>
          </w:tcPr>
          <w:p>
            <w:r>
              <w:rPr>
                <w:b/>
                <w:sz w:val="12"/>
              </w:rPr>
              <w:t>Purpose</w:t>
            </w:r>
          </w:p>
        </w:tc>
        <w:tc>
          <w:tcPr>
            <w:tcW w:type="dxa" w:w="2570"/>
            <w:shd w:fill="D9EAF7"/>
          </w:tcPr>
          <w:p>
            <w:r>
              <w:rPr>
                <w:b/>
                <w:sz w:val="12"/>
              </w:rPr>
              <w:t>Example</w:t>
            </w:r>
          </w:p>
        </w:tc>
      </w:tr>
      <w:tr>
        <w:tc>
          <w:tcPr>
            <w:tcW w:type="dxa" w:w="2570"/>
          </w:tcPr>
          <w:p>
            <w:pPr>
              <w:spacing w:after="0"/>
            </w:pPr>
            <w:r>
              <w:rPr>
                <w:sz w:val="11"/>
              </w:rPr>
              <w:t>A0</w:t>
            </w:r>
          </w:p>
        </w:tc>
        <w:tc>
          <w:tcPr>
            <w:tcW w:type="dxa" w:w="2570"/>
          </w:tcPr>
          <w:p>
            <w:pPr>
              <w:spacing w:after="0"/>
            </w:pPr>
            <w:r>
              <w:rPr>
                <w:sz w:val="11"/>
              </w:rPr>
              <w:t>Source text / EvidenceSpan</w:t>
            </w:r>
          </w:p>
        </w:tc>
        <w:tc>
          <w:tcPr>
            <w:tcW w:type="dxa" w:w="2570"/>
          </w:tcPr>
          <w:p>
            <w:pPr>
              <w:spacing w:after="0"/>
            </w:pPr>
            <w:r>
              <w:rPr>
                <w:sz w:val="11"/>
              </w:rPr>
              <w:t>Exact text that supports the annotation.</w:t>
            </w:r>
          </w:p>
        </w:tc>
        <w:tc>
          <w:tcPr>
            <w:tcW w:type="dxa" w:w="2570"/>
          </w:tcPr>
          <w:p>
            <w:pPr>
              <w:spacing w:after="0"/>
            </w:pPr>
            <w:r>
              <w:rPr>
                <w:sz w:val="11"/>
              </w:rPr>
              <w:t>“two focal seizures per month”</w:t>
            </w:r>
          </w:p>
        </w:tc>
      </w:tr>
      <w:tr>
        <w:tc>
          <w:tcPr>
            <w:tcW w:type="dxa" w:w="2570"/>
          </w:tcPr>
          <w:p>
            <w:pPr>
              <w:spacing w:after="0"/>
            </w:pPr>
            <w:r>
              <w:rPr>
                <w:sz w:val="11"/>
              </w:rPr>
              <w:t>A1</w:t>
            </w:r>
          </w:p>
        </w:tc>
        <w:tc>
          <w:tcPr>
            <w:tcW w:type="dxa" w:w="2570"/>
          </w:tcPr>
          <w:p>
            <w:pPr>
              <w:spacing w:after="0"/>
            </w:pPr>
            <w:r>
              <w:rPr>
                <w:sz w:val="11"/>
              </w:rPr>
              <w:t>Mention / entity</w:t>
            </w:r>
          </w:p>
        </w:tc>
        <w:tc>
          <w:tcPr>
            <w:tcW w:type="dxa" w:w="2570"/>
          </w:tcPr>
          <w:p>
            <w:pPr>
              <w:spacing w:after="0"/>
            </w:pPr>
            <w:r>
              <w:rPr>
                <w:sz w:val="11"/>
              </w:rPr>
              <w:t>What clinical concept is explicitly expressed.</w:t>
            </w:r>
          </w:p>
        </w:tc>
        <w:tc>
          <w:tcPr>
            <w:tcW w:type="dxa" w:w="2570"/>
          </w:tcPr>
          <w:p>
            <w:pPr>
              <w:spacing w:after="0"/>
            </w:pPr>
            <w:r>
              <w:rPr>
                <w:sz w:val="11"/>
              </w:rPr>
              <w:t>seizure frequency</w:t>
            </w:r>
          </w:p>
        </w:tc>
      </w:tr>
      <w:tr>
        <w:tc>
          <w:tcPr>
            <w:tcW w:type="dxa" w:w="2570"/>
          </w:tcPr>
          <w:p>
            <w:pPr>
              <w:spacing w:after="0"/>
            </w:pPr>
            <w:r>
              <w:rPr>
                <w:sz w:val="11"/>
              </w:rPr>
              <w:t>A2</w:t>
            </w:r>
          </w:p>
        </w:tc>
        <w:tc>
          <w:tcPr>
            <w:tcW w:type="dxa" w:w="2570"/>
          </w:tcPr>
          <w:p>
            <w:pPr>
              <w:spacing w:after="0"/>
            </w:pPr>
            <w:r>
              <w:rPr>
                <w:sz w:val="11"/>
              </w:rPr>
              <w:t>Attributes</w:t>
            </w:r>
          </w:p>
        </w:tc>
        <w:tc>
          <w:tcPr>
            <w:tcW w:type="dxa" w:w="2570"/>
          </w:tcPr>
          <w:p>
            <w:pPr>
              <w:spacing w:after="0"/>
            </w:pPr>
            <w:r>
              <w:rPr>
                <w:sz w:val="11"/>
              </w:rPr>
              <w:t>Assertion state and contextual modifiers.</w:t>
            </w:r>
          </w:p>
        </w:tc>
        <w:tc>
          <w:tcPr>
            <w:tcW w:type="dxa" w:w="2570"/>
          </w:tcPr>
          <w:p>
            <w:pPr>
              <w:spacing w:after="0"/>
            </w:pPr>
            <w:r>
              <w:rPr>
                <w:sz w:val="11"/>
              </w:rPr>
              <w:t>affirmed; current; patient experiencer</w:t>
            </w:r>
          </w:p>
        </w:tc>
      </w:tr>
      <w:tr>
        <w:tc>
          <w:tcPr>
            <w:tcW w:type="dxa" w:w="2570"/>
          </w:tcPr>
          <w:p>
            <w:pPr>
              <w:spacing w:after="0"/>
            </w:pPr>
            <w:r>
              <w:rPr>
                <w:sz w:val="11"/>
              </w:rPr>
              <w:t>A3</w:t>
            </w:r>
          </w:p>
        </w:tc>
        <w:tc>
          <w:tcPr>
            <w:tcW w:type="dxa" w:w="2570"/>
          </w:tcPr>
          <w:p>
            <w:pPr>
              <w:spacing w:after="0"/>
            </w:pPr>
            <w:r>
              <w:rPr>
                <w:sz w:val="11"/>
              </w:rPr>
              <w:t>Normalized concept/value</w:t>
            </w:r>
          </w:p>
        </w:tc>
        <w:tc>
          <w:tcPr>
            <w:tcW w:type="dxa" w:w="2570"/>
          </w:tcPr>
          <w:p>
            <w:pPr>
              <w:spacing w:after="0"/>
            </w:pPr>
            <w:r>
              <w:rPr>
                <w:sz w:val="11"/>
              </w:rPr>
              <w:t>Map source expression to frozen MedAI/source-backed representation.</w:t>
            </w:r>
          </w:p>
        </w:tc>
        <w:tc>
          <w:tcPr>
            <w:tcW w:type="dxa" w:w="2570"/>
          </w:tcPr>
          <w:p>
            <w:pPr>
              <w:spacing w:after="0"/>
            </w:pPr>
            <w:r>
              <w:rPr>
                <w:sz w:val="11"/>
              </w:rPr>
              <w:t>SZ_FREQ = 2/month</w:t>
            </w:r>
          </w:p>
        </w:tc>
      </w:tr>
      <w:tr>
        <w:tc>
          <w:tcPr>
            <w:tcW w:type="dxa" w:w="2570"/>
          </w:tcPr>
          <w:p>
            <w:pPr>
              <w:spacing w:after="0"/>
            </w:pPr>
            <w:r>
              <w:rPr>
                <w:sz w:val="11"/>
              </w:rPr>
              <w:t>A4</w:t>
            </w:r>
          </w:p>
        </w:tc>
        <w:tc>
          <w:tcPr>
            <w:tcW w:type="dxa" w:w="2570"/>
          </w:tcPr>
          <w:p>
            <w:pPr>
              <w:spacing w:after="0"/>
            </w:pPr>
            <w:r>
              <w:rPr>
                <w:sz w:val="11"/>
              </w:rPr>
              <w:t>Relations</w:t>
            </w:r>
          </w:p>
        </w:tc>
        <w:tc>
          <w:tcPr>
            <w:tcW w:type="dxa" w:w="2570"/>
          </w:tcPr>
          <w:p>
            <w:pPr>
              <w:spacing w:after="0"/>
            </w:pPr>
            <w:r>
              <w:rPr>
                <w:sz w:val="11"/>
              </w:rPr>
              <w:t>Represent relationships among mentions/assertions.</w:t>
            </w:r>
          </w:p>
        </w:tc>
        <w:tc>
          <w:tcPr>
            <w:tcW w:type="dxa" w:w="2570"/>
          </w:tcPr>
          <w:p>
            <w:pPr>
              <w:spacing w:after="0"/>
            </w:pPr>
            <w:r>
              <w:rPr>
                <w:sz w:val="11"/>
              </w:rPr>
              <w:t>frequency applies_to seizure/event type</w:t>
            </w:r>
          </w:p>
        </w:tc>
      </w:tr>
      <w:tr>
        <w:tc>
          <w:tcPr>
            <w:tcW w:type="dxa" w:w="2570"/>
          </w:tcPr>
          <w:p>
            <w:pPr>
              <w:spacing w:after="0"/>
            </w:pPr>
            <w:r>
              <w:rPr>
                <w:sz w:val="11"/>
              </w:rPr>
              <w:t>A5</w:t>
            </w:r>
          </w:p>
        </w:tc>
        <w:tc>
          <w:tcPr>
            <w:tcW w:type="dxa" w:w="2570"/>
          </w:tcPr>
          <w:p>
            <w:pPr>
              <w:spacing w:after="0"/>
            </w:pPr>
            <w:r>
              <w:rPr>
                <w:sz w:val="11"/>
              </w:rPr>
              <w:t>Event / provenance linkage</w:t>
            </w:r>
          </w:p>
        </w:tc>
        <w:tc>
          <w:tcPr>
            <w:tcW w:type="dxa" w:w="2570"/>
          </w:tcPr>
          <w:p>
            <w:pPr>
              <w:spacing w:after="0"/>
            </w:pPr>
            <w:r>
              <w:rPr>
                <w:sz w:val="11"/>
              </w:rPr>
              <w:t>Connect evidence to latent event or real-document provenance.</w:t>
            </w:r>
          </w:p>
        </w:tc>
        <w:tc>
          <w:tcPr>
            <w:tcW w:type="dxa" w:w="2570"/>
          </w:tcPr>
          <w:p>
            <w:pPr>
              <w:spacing w:after="0"/>
            </w:pPr>
            <w:r>
              <w:rPr>
                <w:sz w:val="11"/>
              </w:rPr>
              <w:t>EVT004 → AST009 → span</w:t>
            </w:r>
          </w:p>
        </w:tc>
      </w:tr>
      <w:tr>
        <w:tc>
          <w:tcPr>
            <w:tcW w:type="dxa" w:w="2570"/>
          </w:tcPr>
          <w:p>
            <w:pPr>
              <w:spacing w:after="0"/>
            </w:pPr>
            <w:r>
              <w:rPr>
                <w:sz w:val="11"/>
              </w:rPr>
              <w:t>A6</w:t>
            </w:r>
          </w:p>
        </w:tc>
        <w:tc>
          <w:tcPr>
            <w:tcW w:type="dxa" w:w="2570"/>
          </w:tcPr>
          <w:p>
            <w:pPr>
              <w:spacing w:after="0"/>
            </w:pPr>
            <w:r>
              <w:rPr>
                <w:sz w:val="11"/>
              </w:rPr>
              <w:t>Derived phenotype</w:t>
            </w:r>
          </w:p>
        </w:tc>
        <w:tc>
          <w:tcPr>
            <w:tcW w:type="dxa" w:w="2570"/>
          </w:tcPr>
          <w:p>
            <w:pPr>
              <w:spacing w:after="0"/>
            </w:pPr>
            <w:r>
              <w:rPr>
                <w:sz w:val="11"/>
              </w:rPr>
              <w:t>Separate computed synthesis from literal document evidence.</w:t>
            </w:r>
          </w:p>
        </w:tc>
        <w:tc>
          <w:tcPr>
            <w:tcW w:type="dxa" w:w="2570"/>
          </w:tcPr>
          <w:p>
            <w:pPr>
              <w:spacing w:after="0"/>
            </w:pPr>
            <w:r>
              <w:rPr>
                <w:sz w:val="11"/>
              </w:rPr>
              <w:t>longitudinal frequency change</w:t>
            </w:r>
          </w:p>
        </w:tc>
      </w:tr>
    </w:tbl>
    <w:p/>
    <w:tbl>
      <w:tblPr>
        <w:tblStyle w:val="TableGrid"/>
        <w:tblW w:type="auto" w:w="0"/>
        <w:tblLook w:firstColumn="1" w:firstRow="1" w:lastColumn="0" w:lastRow="0" w:noHBand="0" w:noVBand="1" w:val="04A0"/>
      </w:tblPr>
      <w:tblGrid>
        <w:gridCol w:w="10282"/>
      </w:tblGrid>
      <w:tr>
        <w:tc>
          <w:tcPr>
            <w:tcW w:type="dxa" w:w="10282"/>
            <w:shd w:fill="FCE4D6"/>
          </w:tcPr>
          <w:p>
            <w:r>
              <w:rPr>
                <w:b/>
                <w:color w:val="17365D"/>
              </w:rPr>
              <w:t>Hard rule</w:t>
              <w:br/>
            </w:r>
            <w:r>
              <w:t>A6 derived phenotypes never masquerade as text explicitly written by a clinician or generator. Derived assertions must retain their input assertion IDs and derivation rule.</w:t>
            </w:r>
          </w:p>
        </w:tc>
      </w:tr>
    </w:tbl>
    <w:p/>
    <w:p>
      <w:pPr>
        <w:pStyle w:val="Heading1"/>
      </w:pPr>
      <w:r>
        <w:t>5. Three interoperable annotation corpora</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Pr>
                <w:b/>
                <w:sz w:val="12"/>
              </w:rPr>
              <w:t>Corpus</w:t>
            </w:r>
          </w:p>
        </w:tc>
        <w:tc>
          <w:tcPr>
            <w:tcW w:type="dxa" w:w="2570"/>
            <w:shd w:fill="D9EAF7"/>
          </w:tcPr>
          <w:p>
            <w:r>
              <w:rPr>
                <w:b/>
                <w:sz w:val="12"/>
              </w:rPr>
              <w:t>Source</w:t>
            </w:r>
          </w:p>
        </w:tc>
        <w:tc>
          <w:tcPr>
            <w:tcW w:type="dxa" w:w="2570"/>
            <w:shd w:fill="D9EAF7"/>
          </w:tcPr>
          <w:p>
            <w:r>
              <w:rPr>
                <w:b/>
                <w:sz w:val="12"/>
              </w:rPr>
              <w:t>Role</w:t>
            </w:r>
          </w:p>
        </w:tc>
        <w:tc>
          <w:tcPr>
            <w:tcW w:type="dxa" w:w="2570"/>
            <w:shd w:fill="D9EAF7"/>
          </w:tcPr>
          <w:p>
            <w:r>
              <w:rPr>
                <w:b/>
                <w:sz w:val="12"/>
              </w:rPr>
              <w:t>Annotation provenance</w:t>
            </w:r>
          </w:p>
        </w:tc>
      </w:tr>
      <w:tr>
        <w:tc>
          <w:tcPr>
            <w:tcW w:type="dxa" w:w="2570"/>
          </w:tcPr>
          <w:p>
            <w:pPr>
              <w:spacing w:after="0"/>
            </w:pPr>
            <w:r>
              <w:rPr>
                <w:sz w:val="11"/>
              </w:rPr>
              <w:t>Corpus A — Published synthetic</w:t>
            </w:r>
          </w:p>
        </w:tc>
        <w:tc>
          <w:tcPr>
            <w:tcW w:type="dxa" w:w="2570"/>
          </w:tcPr>
          <w:p>
            <w:pPr>
              <w:spacing w:after="0"/>
            </w:pPr>
            <w:r>
              <w:rPr>
                <w:sz w:val="11"/>
              </w:rPr>
              <w:t>ExECTv2 and other suitable public synthetic resources</w:t>
            </w:r>
          </w:p>
        </w:tc>
        <w:tc>
          <w:tcPr>
            <w:tcW w:type="dxa" w:w="2570"/>
          </w:tcPr>
          <w:p>
            <w:pPr>
              <w:spacing w:after="0"/>
            </w:pPr>
            <w:r>
              <w:rPr>
                <w:sz w:val="11"/>
              </w:rPr>
              <w:t>External synthetic annotation precedent and cross-dataset evaluation.</w:t>
            </w:r>
          </w:p>
        </w:tc>
        <w:tc>
          <w:tcPr>
            <w:tcW w:type="dxa" w:w="2570"/>
          </w:tcPr>
          <w:p>
            <w:pPr>
              <w:spacing w:after="0"/>
            </w:pPr>
            <w:r>
              <w:rPr>
                <w:sz w:val="11"/>
              </w:rPr>
              <w:t>published_gold / mapped_external</w:t>
            </w:r>
          </w:p>
        </w:tc>
      </w:tr>
      <w:tr>
        <w:tc>
          <w:tcPr>
            <w:tcW w:type="dxa" w:w="2570"/>
          </w:tcPr>
          <w:p>
            <w:pPr>
              <w:spacing w:after="0"/>
            </w:pPr>
            <w:r>
              <w:rPr>
                <w:sz w:val="11"/>
              </w:rPr>
              <w:t>Corpus B — Published/authorized real clinical</w:t>
            </w:r>
          </w:p>
        </w:tc>
        <w:tc>
          <w:tcPr>
            <w:tcW w:type="dxa" w:w="2570"/>
          </w:tcPr>
          <w:p>
            <w:pPr>
              <w:spacing w:after="0"/>
            </w:pPr>
            <w:r>
              <w:rPr>
                <w:sz w:val="11"/>
              </w:rPr>
              <w:t>EpiDEA, SZFreqExtract, other accessible real-note resources; later authorized URMC notes</w:t>
            </w:r>
          </w:p>
        </w:tc>
        <w:tc>
          <w:tcPr>
            <w:tcW w:type="dxa" w:w="2570"/>
          </w:tcPr>
          <w:p>
            <w:pPr>
              <w:spacing w:after="0"/>
            </w:pPr>
            <w:r>
              <w:rPr>
                <w:sz w:val="11"/>
              </w:rPr>
              <w:t>Real clinical-language evidence and synthetic-to-real validation.</w:t>
            </w:r>
          </w:p>
        </w:tc>
        <w:tc>
          <w:tcPr>
            <w:tcW w:type="dxa" w:w="2570"/>
          </w:tcPr>
          <w:p>
            <w:pPr>
              <w:spacing w:after="0"/>
            </w:pPr>
            <w:r>
              <w:rPr>
                <w:sz w:val="11"/>
              </w:rPr>
              <w:t>published_gold / human_annotation / adjudicated_gold</w:t>
            </w:r>
          </w:p>
        </w:tc>
      </w:tr>
      <w:tr>
        <w:tc>
          <w:tcPr>
            <w:tcW w:type="dxa" w:w="2570"/>
          </w:tcPr>
          <w:p>
            <w:pPr>
              <w:spacing w:after="0"/>
            </w:pPr>
            <w:r>
              <w:rPr>
                <w:sz w:val="11"/>
              </w:rPr>
              <w:t>Corpus C — EpiSynth</w:t>
            </w:r>
          </w:p>
        </w:tc>
        <w:tc>
          <w:tcPr>
            <w:tcW w:type="dxa" w:w="2570"/>
          </w:tcPr>
          <w:p>
            <w:pPr>
              <w:spacing w:after="0"/>
            </w:pPr>
            <w:r>
              <w:rPr>
                <w:sz w:val="11"/>
              </w:rPr>
              <w:t>MedAI latent truth → events → GPT/deterministic rendering</w:t>
            </w:r>
          </w:p>
        </w:tc>
        <w:tc>
          <w:tcPr>
            <w:tcW w:type="dxa" w:w="2570"/>
          </w:tcPr>
          <w:p>
            <w:pPr>
              <w:spacing w:after="0"/>
            </w:pPr>
            <w:r>
              <w:rPr>
                <w:sz w:val="11"/>
              </w:rPr>
              <w:t>Controlled synthetic benchmark with known pre-document truth.</w:t>
            </w:r>
          </w:p>
        </w:tc>
        <w:tc>
          <w:tcPr>
            <w:tcW w:type="dxa" w:w="2570"/>
          </w:tcPr>
          <w:p>
            <w:pPr>
              <w:spacing w:after="0"/>
            </w:pPr>
            <w:r>
              <w:rPr>
                <w:sz w:val="11"/>
              </w:rPr>
              <w:t>latent_gold + authorized_gold + rendered_gold + clinician_validated_gold</w:t>
            </w:r>
          </w:p>
        </w:tc>
      </w:tr>
    </w:tbl>
    <w:p/>
    <w:p>
      <w:pPr>
        <w:pStyle w:val="Heading1"/>
      </w:pPr>
      <w:r>
        <w:t>6. Four distinct gold layers for EpiSynth</w:t>
      </w:r>
    </w:p>
    <w:tbl>
      <w:tblPr>
        <w:tblStyle w:val="TableGrid"/>
        <w:tblW w:type="auto" w:w="0"/>
        <w:jc w:val="center"/>
        <w:tblLook w:firstColumn="1" w:firstRow="1" w:lastColumn="0" w:lastRow="0" w:noHBand="0" w:noVBand="1" w:val="04A0"/>
      </w:tblPr>
      <w:tblGrid>
        <w:gridCol w:w="2570"/>
        <w:gridCol w:w="2570"/>
        <w:gridCol w:w="2570"/>
        <w:gridCol w:w="2570"/>
      </w:tblGrid>
      <w:tr>
        <w:tc>
          <w:tcPr>
            <w:tcW w:type="dxa" w:w="2570"/>
            <w:shd w:fill="D9EAF7"/>
          </w:tcPr>
          <w:p>
            <w:r>
              <w:rPr>
                <w:b/>
                <w:sz w:val="12"/>
              </w:rPr>
              <w:t>Gold layer</w:t>
            </w:r>
          </w:p>
        </w:tc>
        <w:tc>
          <w:tcPr>
            <w:tcW w:type="dxa" w:w="2570"/>
            <w:shd w:fill="D9EAF7"/>
          </w:tcPr>
          <w:p>
            <w:r>
              <w:rPr>
                <w:b/>
                <w:sz w:val="12"/>
              </w:rPr>
              <w:t>Definition</w:t>
            </w:r>
          </w:p>
        </w:tc>
        <w:tc>
          <w:tcPr>
            <w:tcW w:type="dxa" w:w="2570"/>
            <w:shd w:fill="D9EAF7"/>
          </w:tcPr>
          <w:p>
            <w:r>
              <w:rPr>
                <w:b/>
                <w:sz w:val="12"/>
              </w:rPr>
              <w:t>Created when</w:t>
            </w:r>
          </w:p>
        </w:tc>
        <w:tc>
          <w:tcPr>
            <w:tcW w:type="dxa" w:w="2570"/>
            <w:shd w:fill="D9EAF7"/>
          </w:tcPr>
          <w:p>
            <w:r>
              <w:rPr>
                <w:b/>
                <w:sz w:val="12"/>
              </w:rPr>
              <w:t>What it answers</w:t>
            </w:r>
          </w:p>
        </w:tc>
      </w:tr>
      <w:tr>
        <w:tc>
          <w:tcPr>
            <w:tcW w:type="dxa" w:w="2570"/>
          </w:tcPr>
          <w:p>
            <w:pPr>
              <w:spacing w:after="0"/>
            </w:pPr>
            <w:r>
              <w:rPr>
                <w:sz w:val="11"/>
              </w:rPr>
              <w:t>G0 — Latent Gold</w:t>
            </w:r>
          </w:p>
        </w:tc>
        <w:tc>
          <w:tcPr>
            <w:tcW w:type="dxa" w:w="2570"/>
          </w:tcPr>
          <w:p>
            <w:pPr>
              <w:spacing w:after="0"/>
            </w:pPr>
            <w:r>
              <w:rPr>
                <w:sz w:val="11"/>
              </w:rPr>
              <w:t>What is true in the synthetic patient/event model.</w:t>
            </w:r>
          </w:p>
        </w:tc>
        <w:tc>
          <w:tcPr>
            <w:tcW w:type="dxa" w:w="2570"/>
          </w:tcPr>
          <w:p>
            <w:pPr>
              <w:spacing w:after="0"/>
            </w:pPr>
            <w:r>
              <w:rPr>
                <w:sz w:val="11"/>
              </w:rPr>
              <w:t>Before document generation</w:t>
            </w:r>
          </w:p>
        </w:tc>
        <w:tc>
          <w:tcPr>
            <w:tcW w:type="dxa" w:w="2570"/>
          </w:tcPr>
          <w:p>
            <w:pPr>
              <w:spacing w:after="0"/>
            </w:pPr>
            <w:r>
              <w:rPr>
                <w:sz w:val="11"/>
              </w:rPr>
              <w:t>What is the synthetic patient truth?</w:t>
            </w:r>
          </w:p>
        </w:tc>
      </w:tr>
      <w:tr>
        <w:tc>
          <w:tcPr>
            <w:tcW w:type="dxa" w:w="2570"/>
          </w:tcPr>
          <w:p>
            <w:pPr>
              <w:spacing w:after="0"/>
            </w:pPr>
            <w:r>
              <w:rPr>
                <w:sz w:val="11"/>
              </w:rPr>
              <w:t>G1 — Authorized Document Gold</w:t>
            </w:r>
          </w:p>
        </w:tc>
        <w:tc>
          <w:tcPr>
            <w:tcW w:type="dxa" w:w="2570"/>
          </w:tcPr>
          <w:p>
            <w:pPr>
              <w:spacing w:after="0"/>
            </w:pPr>
            <w:r>
              <w:rPr>
                <w:sz w:val="11"/>
              </w:rPr>
              <w:t>Assertions/events the semantic plan permits or requires the document to express.</w:t>
            </w:r>
          </w:p>
        </w:tc>
        <w:tc>
          <w:tcPr>
            <w:tcW w:type="dxa" w:w="2570"/>
          </w:tcPr>
          <w:p>
            <w:pPr>
              <w:spacing w:after="0"/>
            </w:pPr>
            <w:r>
              <w:rPr>
                <w:sz w:val="11"/>
              </w:rPr>
              <w:t>Before rendering</w:t>
            </w:r>
          </w:p>
        </w:tc>
        <w:tc>
          <w:tcPr>
            <w:tcW w:type="dxa" w:w="2570"/>
          </w:tcPr>
          <w:p>
            <w:pPr>
              <w:spacing w:after="0"/>
            </w:pPr>
            <w:r>
              <w:rPr>
                <w:sz w:val="11"/>
              </w:rPr>
              <w:t>What was the renderer allowed/required to communicate?</w:t>
            </w:r>
          </w:p>
        </w:tc>
      </w:tr>
      <w:tr>
        <w:tc>
          <w:tcPr>
            <w:tcW w:type="dxa" w:w="2570"/>
          </w:tcPr>
          <w:p>
            <w:pPr>
              <w:spacing w:after="0"/>
            </w:pPr>
            <w:r>
              <w:rPr>
                <w:sz w:val="11"/>
              </w:rPr>
              <w:t>G2 — Rendered Evidence Gold</w:t>
            </w:r>
          </w:p>
        </w:tc>
        <w:tc>
          <w:tcPr>
            <w:tcW w:type="dxa" w:w="2570"/>
          </w:tcPr>
          <w:p>
            <w:pPr>
              <w:spacing w:after="0"/>
            </w:pPr>
            <w:r>
              <w:rPr>
                <w:sz w:val="11"/>
              </w:rPr>
              <w:t>What the generated document actually states, with exact evidence spans and normalized annotations.</w:t>
            </w:r>
          </w:p>
        </w:tc>
        <w:tc>
          <w:tcPr>
            <w:tcW w:type="dxa" w:w="2570"/>
          </w:tcPr>
          <w:p>
            <w:pPr>
              <w:spacing w:after="0"/>
            </w:pPr>
            <w:r>
              <w:rPr>
                <w:sz w:val="11"/>
              </w:rPr>
              <w:t>After rendering + annotation</w:t>
            </w:r>
          </w:p>
        </w:tc>
        <w:tc>
          <w:tcPr>
            <w:tcW w:type="dxa" w:w="2570"/>
          </w:tcPr>
          <w:p>
            <w:pPr>
              <w:spacing w:after="0"/>
            </w:pPr>
            <w:r>
              <w:rPr>
                <w:sz w:val="11"/>
              </w:rPr>
              <w:t>What is actually present in the text?</w:t>
            </w:r>
          </w:p>
        </w:tc>
      </w:tr>
      <w:tr>
        <w:tc>
          <w:tcPr>
            <w:tcW w:type="dxa" w:w="2570"/>
          </w:tcPr>
          <w:p>
            <w:pPr>
              <w:spacing w:after="0"/>
            </w:pPr>
            <w:r>
              <w:rPr>
                <w:sz w:val="11"/>
              </w:rPr>
              <w:t>G3 — Clinician-Validated Gold</w:t>
            </w:r>
          </w:p>
        </w:tc>
        <w:tc>
          <w:tcPr>
            <w:tcW w:type="dxa" w:w="2570"/>
          </w:tcPr>
          <w:p>
            <w:pPr>
              <w:spacing w:after="0"/>
            </w:pPr>
            <w:r>
              <w:rPr>
                <w:sz w:val="11"/>
              </w:rPr>
              <w:t>Human-reviewed/adjudicated interpretation of rendered text.</w:t>
            </w:r>
          </w:p>
        </w:tc>
        <w:tc>
          <w:tcPr>
            <w:tcW w:type="dxa" w:w="2570"/>
          </w:tcPr>
          <w:p>
            <w:pPr>
              <w:spacing w:after="0"/>
            </w:pPr>
            <w:r>
              <w:rPr>
                <w:sz w:val="11"/>
              </w:rPr>
              <w:t>After independent review</w:t>
            </w:r>
          </w:p>
        </w:tc>
        <w:tc>
          <w:tcPr>
            <w:tcW w:type="dxa" w:w="2570"/>
          </w:tcPr>
          <w:p>
            <w:pPr>
              <w:spacing w:after="0"/>
            </w:pPr>
            <w:r>
              <w:rPr>
                <w:sz w:val="11"/>
              </w:rPr>
              <w:t>What should be treated as validated benchmark annotation?</w:t>
            </w:r>
          </w:p>
        </w:tc>
      </w:tr>
    </w:tbl>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Why the distinction matters</w:t>
              <w:br/>
            </w:r>
            <w:r>
              <w:t>If G0 and G1 say “Focal” but the generated note says “Generalized,” the discrepancy is a generation semantic-corruption event. G2 should faithfully annotate “Generalized” because that is what the document says; it must not silently overwrite the rendered evidence with latent truth.</w:t>
            </w:r>
          </w:p>
        </w:tc>
      </w:tr>
    </w:tbl>
    <w:p/>
    <w:p>
      <w:pPr>
        <w:pStyle w:val="Heading1"/>
      </w:pPr>
      <w:r>
        <w:t>7. Proposed annotation record</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2"/>
              </w:rPr>
              <w:t>Field group</w:t>
            </w:r>
          </w:p>
        </w:tc>
        <w:tc>
          <w:tcPr>
            <w:tcW w:type="dxa" w:w="5141"/>
            <w:shd w:fill="D9EAF7"/>
          </w:tcPr>
          <w:p>
            <w:r>
              <w:rPr>
                <w:b/>
                <w:sz w:val="12"/>
              </w:rPr>
              <w:t>Recommended fields</w:t>
            </w:r>
          </w:p>
        </w:tc>
      </w:tr>
      <w:tr>
        <w:tc>
          <w:tcPr>
            <w:tcW w:type="dxa" w:w="5141"/>
          </w:tcPr>
          <w:p>
            <w:pPr>
              <w:spacing w:after="0"/>
            </w:pPr>
            <w:r>
              <w:rPr>
                <w:sz w:val="11"/>
              </w:rPr>
              <w:t>Identity</w:t>
            </w:r>
          </w:p>
        </w:tc>
        <w:tc>
          <w:tcPr>
            <w:tcW w:type="dxa" w:w="5141"/>
          </w:tcPr>
          <w:p>
            <w:pPr>
              <w:spacing w:after="0"/>
            </w:pPr>
            <w:r>
              <w:rPr>
                <w:sz w:val="11"/>
              </w:rPr>
              <w:t>annotation_id; document_id; patient_id; corpus_id</w:t>
            </w:r>
          </w:p>
        </w:tc>
      </w:tr>
      <w:tr>
        <w:tc>
          <w:tcPr>
            <w:tcW w:type="dxa" w:w="5141"/>
          </w:tcPr>
          <w:p>
            <w:pPr>
              <w:spacing w:after="0"/>
            </w:pPr>
            <w:r>
              <w:rPr>
                <w:sz w:val="11"/>
              </w:rPr>
              <w:t>Evidence</w:t>
            </w:r>
          </w:p>
        </w:tc>
        <w:tc>
          <w:tcPr>
            <w:tcW w:type="dxa" w:w="5141"/>
          </w:tcPr>
          <w:p>
            <w:pPr>
              <w:spacing w:after="0"/>
            </w:pPr>
            <w:r>
              <w:rPr>
                <w:sz w:val="11"/>
              </w:rPr>
              <w:t>evidence_text; start_offset; end_offset; sentence_id</w:t>
            </w:r>
          </w:p>
        </w:tc>
      </w:tr>
      <w:tr>
        <w:tc>
          <w:tcPr>
            <w:tcW w:type="dxa" w:w="5141"/>
          </w:tcPr>
          <w:p>
            <w:pPr>
              <w:spacing w:after="0"/>
            </w:pPr>
            <w:r>
              <w:rPr>
                <w:sz w:val="11"/>
              </w:rPr>
              <w:t>Clinical concept</w:t>
            </w:r>
          </w:p>
        </w:tc>
        <w:tc>
          <w:tcPr>
            <w:tcW w:type="dxa" w:w="5141"/>
          </w:tcPr>
          <w:p>
            <w:pPr>
              <w:spacing w:after="0"/>
            </w:pPr>
            <w:r>
              <w:rPr>
                <w:sz w:val="11"/>
              </w:rPr>
              <w:t>concept_id; source_concept_id; domain; semantic_level; normalized_value</w:t>
            </w:r>
          </w:p>
        </w:tc>
      </w:tr>
      <w:tr>
        <w:tc>
          <w:tcPr>
            <w:tcW w:type="dxa" w:w="5141"/>
          </w:tcPr>
          <w:p>
            <w:pPr>
              <w:spacing w:after="0"/>
            </w:pPr>
            <w:r>
              <w:rPr>
                <w:sz w:val="11"/>
              </w:rPr>
              <w:t>Assertion context</w:t>
            </w:r>
          </w:p>
        </w:tc>
        <w:tc>
          <w:tcPr>
            <w:tcW w:type="dxa" w:w="5141"/>
          </w:tcPr>
          <w:p>
            <w:pPr>
              <w:spacing w:after="0"/>
            </w:pPr>
            <w:r>
              <w:rPr>
                <w:sz w:val="11"/>
              </w:rPr>
              <w:t>assertion_status; certainty; temporality; experiencer; laterality; anatomical_site</w:t>
            </w:r>
          </w:p>
        </w:tc>
      </w:tr>
      <w:tr>
        <w:tc>
          <w:tcPr>
            <w:tcW w:type="dxa" w:w="5141"/>
          </w:tcPr>
          <w:p>
            <w:pPr>
              <w:spacing w:after="0"/>
            </w:pPr>
            <w:r>
              <w:rPr>
                <w:sz w:val="11"/>
              </w:rPr>
              <w:t>Relations</w:t>
            </w:r>
          </w:p>
        </w:tc>
        <w:tc>
          <w:tcPr>
            <w:tcW w:type="dxa" w:w="5141"/>
          </w:tcPr>
          <w:p>
            <w:pPr>
              <w:spacing w:after="0"/>
            </w:pPr>
            <w:r>
              <w:rPr>
                <w:sz w:val="11"/>
              </w:rPr>
              <w:t>relation_id; relation_type; source_annotation_id; target_annotation_id</w:t>
            </w:r>
          </w:p>
        </w:tc>
      </w:tr>
      <w:tr>
        <w:tc>
          <w:tcPr>
            <w:tcW w:type="dxa" w:w="5141"/>
          </w:tcPr>
          <w:p>
            <w:pPr>
              <w:spacing w:after="0"/>
            </w:pPr>
            <w:r>
              <w:rPr>
                <w:sz w:val="11"/>
              </w:rPr>
              <w:t>Document provenance</w:t>
            </w:r>
          </w:p>
        </w:tc>
        <w:tc>
          <w:tcPr>
            <w:tcW w:type="dxa" w:w="5141"/>
          </w:tcPr>
          <w:p>
            <w:pPr>
              <w:spacing w:after="0"/>
            </w:pPr>
            <w:r>
              <w:rPr>
                <w:sz w:val="11"/>
              </w:rPr>
              <w:t>document_type; document_date; source_type</w:t>
            </w:r>
          </w:p>
        </w:tc>
      </w:tr>
      <w:tr>
        <w:tc>
          <w:tcPr>
            <w:tcW w:type="dxa" w:w="5141"/>
          </w:tcPr>
          <w:p>
            <w:pPr>
              <w:spacing w:after="0"/>
            </w:pPr>
            <w:r>
              <w:rPr>
                <w:sz w:val="11"/>
              </w:rPr>
              <w:t>Synthetic provenance</w:t>
            </w:r>
          </w:p>
        </w:tc>
        <w:tc>
          <w:tcPr>
            <w:tcW w:type="dxa" w:w="5141"/>
          </w:tcPr>
          <w:p>
            <w:pPr>
              <w:spacing w:after="0"/>
            </w:pPr>
            <w:r>
              <w:rPr>
                <w:sz w:val="11"/>
              </w:rPr>
              <w:t>latent_assertion_id; source_event_id; semantic_plan_id; generator_id; condition</w:t>
            </w:r>
          </w:p>
        </w:tc>
      </w:tr>
      <w:tr>
        <w:tc>
          <w:tcPr>
            <w:tcW w:type="dxa" w:w="5141"/>
          </w:tcPr>
          <w:p>
            <w:pPr>
              <w:spacing w:after="0"/>
            </w:pPr>
            <w:r>
              <w:rPr>
                <w:sz w:val="11"/>
              </w:rPr>
              <w:t>Annotation provenance</w:t>
            </w:r>
          </w:p>
        </w:tc>
        <w:tc>
          <w:tcPr>
            <w:tcW w:type="dxa" w:w="5141"/>
          </w:tcPr>
          <w:p>
            <w:pPr>
              <w:spacing w:after="0"/>
            </w:pPr>
            <w:r>
              <w:rPr>
                <w:sz w:val="11"/>
              </w:rPr>
              <w:t>annotation_origin; annotator_id; annotation_round; adjudication_status</w:t>
            </w:r>
          </w:p>
        </w:tc>
      </w:tr>
      <w:tr>
        <w:tc>
          <w:tcPr>
            <w:tcW w:type="dxa" w:w="5141"/>
          </w:tcPr>
          <w:p>
            <w:pPr>
              <w:spacing w:after="0"/>
            </w:pPr>
            <w:r>
              <w:rPr>
                <w:sz w:val="11"/>
              </w:rPr>
              <w:t>Standards provenance</w:t>
            </w:r>
          </w:p>
        </w:tc>
        <w:tc>
          <w:tcPr>
            <w:tcW w:type="dxa" w:w="5141"/>
          </w:tcPr>
          <w:p>
            <w:pPr>
              <w:spacing w:after="0"/>
            </w:pPr>
            <w:r>
              <w:rPr>
                <w:sz w:val="11"/>
              </w:rPr>
              <w:t>source_standard; source_version; mapping_status; provenance_status</w:t>
            </w:r>
          </w:p>
        </w:tc>
      </w:tr>
      <w:tr>
        <w:tc>
          <w:tcPr>
            <w:tcW w:type="dxa" w:w="5141"/>
          </w:tcPr>
          <w:p>
            <w:pPr>
              <w:spacing w:after="0"/>
            </w:pPr>
            <w:r>
              <w:rPr>
                <w:sz w:val="11"/>
              </w:rPr>
              <w:t>Derived assertions</w:t>
            </w:r>
          </w:p>
        </w:tc>
        <w:tc>
          <w:tcPr>
            <w:tcW w:type="dxa" w:w="5141"/>
          </w:tcPr>
          <w:p>
            <w:pPr>
              <w:spacing w:after="0"/>
            </w:pPr>
            <w:r>
              <w:rPr>
                <w:sz w:val="11"/>
              </w:rPr>
              <w:t>derivation_rule_id; input_assertion_ids; derived_flag</w:t>
            </w:r>
          </w:p>
        </w:tc>
      </w:tr>
    </w:tbl>
    <w:p/>
    <w:p>
      <w:pPr>
        <w:pStyle w:val="Heading1"/>
      </w:pPr>
      <w:r>
        <w:t>8. Annotation-origin vocabulary</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3"/>
              </w:rPr>
              <w:t>Value</w:t>
            </w:r>
          </w:p>
        </w:tc>
        <w:tc>
          <w:tcPr>
            <w:tcW w:type="dxa" w:w="5141"/>
            <w:shd w:fill="D9EAF7"/>
          </w:tcPr>
          <w:p>
            <w:r>
              <w:rPr>
                <w:b/>
                <w:sz w:val="13"/>
              </w:rPr>
              <w:t>Meaning</w:t>
            </w:r>
          </w:p>
        </w:tc>
      </w:tr>
      <w:tr>
        <w:tc>
          <w:tcPr>
            <w:tcW w:type="dxa" w:w="5141"/>
          </w:tcPr>
          <w:p>
            <w:pPr>
              <w:spacing w:after="0"/>
            </w:pPr>
            <w:r>
              <w:rPr>
                <w:sz w:val="12"/>
              </w:rPr>
              <w:t>PUBLISHED_GOLD</w:t>
            </w:r>
          </w:p>
        </w:tc>
        <w:tc>
          <w:tcPr>
            <w:tcW w:type="dxa" w:w="5141"/>
          </w:tcPr>
          <w:p>
            <w:pPr>
              <w:spacing w:after="0"/>
            </w:pPr>
            <w:r>
              <w:rPr>
                <w:sz w:val="12"/>
              </w:rPr>
              <w:t>Annotation supplied by a published/released resource.</w:t>
            </w:r>
          </w:p>
        </w:tc>
      </w:tr>
      <w:tr>
        <w:tc>
          <w:tcPr>
            <w:tcW w:type="dxa" w:w="5141"/>
          </w:tcPr>
          <w:p>
            <w:pPr>
              <w:spacing w:after="0"/>
            </w:pPr>
            <w:r>
              <w:rPr>
                <w:sz w:val="12"/>
              </w:rPr>
              <w:t>MAPPED_EXTERNAL</w:t>
            </w:r>
          </w:p>
        </w:tc>
        <w:tc>
          <w:tcPr>
            <w:tcW w:type="dxa" w:w="5141"/>
          </w:tcPr>
          <w:p>
            <w:pPr>
              <w:spacing w:after="0"/>
            </w:pPr>
            <w:r>
              <w:rPr>
                <w:sz w:val="12"/>
              </w:rPr>
              <w:t>Published annotation mapped into the MedAI profile without claiming the original corpus used MedAI semantics.</w:t>
            </w:r>
          </w:p>
        </w:tc>
      </w:tr>
      <w:tr>
        <w:tc>
          <w:tcPr>
            <w:tcW w:type="dxa" w:w="5141"/>
          </w:tcPr>
          <w:p>
            <w:pPr>
              <w:spacing w:after="0"/>
            </w:pPr>
            <w:r>
              <w:rPr>
                <w:sz w:val="12"/>
              </w:rPr>
              <w:t>LATENT_GOLD</w:t>
            </w:r>
          </w:p>
        </w:tc>
        <w:tc>
          <w:tcPr>
            <w:tcW w:type="dxa" w:w="5141"/>
          </w:tcPr>
          <w:p>
            <w:pPr>
              <w:spacing w:after="0"/>
            </w:pPr>
            <w:r>
              <w:rPr>
                <w:sz w:val="12"/>
              </w:rPr>
              <w:t>Truth defined in the EpiSynth patient/event model before prose exists.</w:t>
            </w:r>
          </w:p>
        </w:tc>
      </w:tr>
      <w:tr>
        <w:tc>
          <w:tcPr>
            <w:tcW w:type="dxa" w:w="5141"/>
          </w:tcPr>
          <w:p>
            <w:pPr>
              <w:spacing w:after="0"/>
            </w:pPr>
            <w:r>
              <w:rPr>
                <w:sz w:val="12"/>
              </w:rPr>
              <w:t>AUTHORIZED_GOLD</w:t>
            </w:r>
          </w:p>
        </w:tc>
        <w:tc>
          <w:tcPr>
            <w:tcW w:type="dxa" w:w="5141"/>
          </w:tcPr>
          <w:p>
            <w:pPr>
              <w:spacing w:after="0"/>
            </w:pPr>
            <w:r>
              <w:rPr>
                <w:sz w:val="12"/>
              </w:rPr>
              <w:t>Content explicitly permitted/required by the semantic plan.</w:t>
            </w:r>
          </w:p>
        </w:tc>
      </w:tr>
      <w:tr>
        <w:tc>
          <w:tcPr>
            <w:tcW w:type="dxa" w:w="5141"/>
          </w:tcPr>
          <w:p>
            <w:pPr>
              <w:spacing w:after="0"/>
            </w:pPr>
            <w:r>
              <w:rPr>
                <w:sz w:val="12"/>
              </w:rPr>
              <w:t>AUTO_PROJECTED</w:t>
            </w:r>
          </w:p>
        </w:tc>
        <w:tc>
          <w:tcPr>
            <w:tcW w:type="dxa" w:w="5141"/>
          </w:tcPr>
          <w:p>
            <w:pPr>
              <w:spacing w:after="0"/>
            </w:pPr>
            <w:r>
              <w:rPr>
                <w:sz w:val="12"/>
              </w:rPr>
              <w:t>Machine-projected annotation candidate from known latent/plan structure; never automatically human gold.</w:t>
            </w:r>
          </w:p>
        </w:tc>
      </w:tr>
      <w:tr>
        <w:tc>
          <w:tcPr>
            <w:tcW w:type="dxa" w:w="5141"/>
          </w:tcPr>
          <w:p>
            <w:pPr>
              <w:spacing w:after="0"/>
            </w:pPr>
            <w:r>
              <w:rPr>
                <w:sz w:val="12"/>
              </w:rPr>
              <w:t>HUMAN_ANNOTATION</w:t>
            </w:r>
          </w:p>
        </w:tc>
        <w:tc>
          <w:tcPr>
            <w:tcW w:type="dxa" w:w="5141"/>
          </w:tcPr>
          <w:p>
            <w:pPr>
              <w:spacing w:after="0"/>
            </w:pPr>
            <w:r>
              <w:rPr>
                <w:sz w:val="12"/>
              </w:rPr>
              <w:t>Independent annotation of the actual rendered or real clinical text.</w:t>
            </w:r>
          </w:p>
        </w:tc>
      </w:tr>
      <w:tr>
        <w:tc>
          <w:tcPr>
            <w:tcW w:type="dxa" w:w="5141"/>
          </w:tcPr>
          <w:p>
            <w:pPr>
              <w:spacing w:after="0"/>
            </w:pPr>
            <w:r>
              <w:rPr>
                <w:sz w:val="12"/>
              </w:rPr>
              <w:t>ADJUDICATED_GOLD</w:t>
            </w:r>
          </w:p>
        </w:tc>
        <w:tc>
          <w:tcPr>
            <w:tcW w:type="dxa" w:w="5141"/>
          </w:tcPr>
          <w:p>
            <w:pPr>
              <w:spacing w:after="0"/>
            </w:pPr>
            <w:r>
              <w:rPr>
                <w:sz w:val="12"/>
              </w:rPr>
              <w:t>Human-reviewed consensus/adjudicated annotation.</w:t>
            </w:r>
          </w:p>
        </w:tc>
      </w:tr>
      <w:tr>
        <w:tc>
          <w:tcPr>
            <w:tcW w:type="dxa" w:w="5141"/>
          </w:tcPr>
          <w:p>
            <w:pPr>
              <w:spacing w:after="0"/>
            </w:pPr>
            <w:r>
              <w:rPr>
                <w:sz w:val="12"/>
              </w:rPr>
              <w:t>DERIVED</w:t>
            </w:r>
          </w:p>
        </w:tc>
        <w:tc>
          <w:tcPr>
            <w:tcW w:type="dxa" w:w="5141"/>
          </w:tcPr>
          <w:p>
            <w:pPr>
              <w:spacing w:after="0"/>
            </w:pPr>
            <w:r>
              <w:rPr>
                <w:sz w:val="12"/>
              </w:rPr>
              <w:t>Computed phenotype with explicit derivation provenance.</w:t>
            </w:r>
          </w:p>
        </w:tc>
      </w:tr>
    </w:tbl>
    <w:p/>
    <w:p>
      <w:pPr>
        <w:pStyle w:val="Heading1"/>
      </w:pPr>
      <w:r>
        <w:t>9. Phase 4A — Published Annotation Evidence Harmonization</w:t>
      </w:r>
    </w:p>
    <w:p>
      <w:r>
        <w:t>This new subphase extends the existing Phase 2B crosswalk work into a formal annotation-method evidence layer.</w:t>
      </w:r>
    </w:p>
    <w:p>
      <w:pPr>
        <w:pStyle w:val="ListBullet"/>
      </w:pPr>
      <w:r>
        <w:t>Inventory annotation entities, attributes, relations, span rules, certainty/negation handling, temporal representation, normalization, annotator expertise, training procedure, adjudication method, and inter-annotator agreement from each selected corpus.</w:t>
      </w:r>
    </w:p>
    <w:p>
      <w:pPr>
        <w:pStyle w:val="ListBullet"/>
      </w:pPr>
      <w:r>
        <w:t>Preserve the original terminology and annotation granularity of each source.</w:t>
      </w:r>
    </w:p>
    <w:p>
      <w:pPr>
        <w:pStyle w:val="ListBullet"/>
      </w:pPr>
      <w:r>
        <w:t>Crosswalk each source item to the MedAI source taxonomy/application profile.</w:t>
      </w:r>
    </w:p>
    <w:p>
      <w:pPr>
        <w:pStyle w:val="ListBullet"/>
      </w:pPr>
      <w:r>
        <w:t>Mark unsupported mappings rather than forcing equivalence.</w:t>
      </w:r>
    </w:p>
    <w:p>
      <w:pPr>
        <w:pStyle w:val="ListBullet"/>
      </w:pPr>
      <w:r>
        <w:t>Record whether each MedAI rule is ADOPTED, ADAPTED, HARMONIZED, MEDAI-PROPOSED, or BLOCKED.</w:t>
      </w:r>
    </w:p>
    <w:p>
      <w:pPr>
        <w:pStyle w:val="Heading2"/>
      </w:pPr>
      <w:r>
        <w:t>Phase 4A deliverables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3"/>
              </w:rPr>
              <w:t>Artifact</w:t>
            </w:r>
          </w:p>
        </w:tc>
        <w:tc>
          <w:tcPr>
            <w:tcW w:type="dxa" w:w="5141"/>
            <w:shd w:fill="D9EAF7"/>
          </w:tcPr>
          <w:p>
            <w:r>
              <w:rPr>
                <w:b/>
                <w:sz w:val="13"/>
              </w:rPr>
              <w:t>Purpose</w:t>
            </w:r>
          </w:p>
        </w:tc>
      </w:tr>
      <w:tr>
        <w:tc>
          <w:tcPr>
            <w:tcW w:type="dxa" w:w="5141"/>
          </w:tcPr>
          <w:p>
            <w:pPr>
              <w:spacing w:after="0"/>
            </w:pPr>
            <w:r>
              <w:rPr>
                <w:sz w:val="12"/>
              </w:rPr>
              <w:t>Annotation_Source_Registry.csv</w:t>
            </w:r>
          </w:p>
        </w:tc>
        <w:tc>
          <w:tcPr>
            <w:tcW w:type="dxa" w:w="5141"/>
          </w:tcPr>
          <w:p>
            <w:pPr>
              <w:spacing w:after="0"/>
            </w:pPr>
            <w:r>
              <w:rPr>
                <w:sz w:val="12"/>
              </w:rPr>
              <w:t>Citation/version/access and corpus metadata</w:t>
            </w:r>
          </w:p>
        </w:tc>
      </w:tr>
      <w:tr>
        <w:tc>
          <w:tcPr>
            <w:tcW w:type="dxa" w:w="5141"/>
          </w:tcPr>
          <w:p>
            <w:pPr>
              <w:spacing w:after="0"/>
            </w:pPr>
            <w:r>
              <w:rPr>
                <w:sz w:val="12"/>
              </w:rPr>
              <w:t>Published_Annotation_Rule_Inventory.csv</w:t>
            </w:r>
          </w:p>
        </w:tc>
        <w:tc>
          <w:tcPr>
            <w:tcW w:type="dxa" w:w="5141"/>
          </w:tcPr>
          <w:p>
            <w:pPr>
              <w:spacing w:after="0"/>
            </w:pPr>
            <w:r>
              <w:rPr>
                <w:sz w:val="12"/>
              </w:rPr>
              <w:t>Source-native rules and attributes</w:t>
            </w:r>
          </w:p>
        </w:tc>
      </w:tr>
      <w:tr>
        <w:tc>
          <w:tcPr>
            <w:tcW w:type="dxa" w:w="5141"/>
          </w:tcPr>
          <w:p>
            <w:pPr>
              <w:spacing w:after="0"/>
            </w:pPr>
            <w:r>
              <w:rPr>
                <w:sz w:val="12"/>
              </w:rPr>
              <w:t>Annotation_Concept_Crosswalk.csv</w:t>
            </w:r>
          </w:p>
        </w:tc>
        <w:tc>
          <w:tcPr>
            <w:tcW w:type="dxa" w:w="5141"/>
          </w:tcPr>
          <w:p>
            <w:pPr>
              <w:spacing w:after="0"/>
            </w:pPr>
            <w:r>
              <w:rPr>
                <w:sz w:val="12"/>
              </w:rPr>
              <w:t>External concept → MedAI mapping</w:t>
            </w:r>
          </w:p>
        </w:tc>
      </w:tr>
      <w:tr>
        <w:tc>
          <w:tcPr>
            <w:tcW w:type="dxa" w:w="5141"/>
          </w:tcPr>
          <w:p>
            <w:pPr>
              <w:spacing w:after="0"/>
            </w:pPr>
            <w:r>
              <w:rPr>
                <w:sz w:val="12"/>
              </w:rPr>
              <w:t>Annotation_Method_Crosswalk.csv</w:t>
            </w:r>
          </w:p>
        </w:tc>
        <w:tc>
          <w:tcPr>
            <w:tcW w:type="dxa" w:w="5141"/>
          </w:tcPr>
          <w:p>
            <w:pPr>
              <w:spacing w:after="0"/>
            </w:pPr>
            <w:r>
              <w:rPr>
                <w:sz w:val="12"/>
              </w:rPr>
              <w:t>Span, attribute, relation, adjudication and IAA methods</w:t>
            </w:r>
          </w:p>
        </w:tc>
      </w:tr>
      <w:tr>
        <w:tc>
          <w:tcPr>
            <w:tcW w:type="dxa" w:w="5141"/>
          </w:tcPr>
          <w:p>
            <w:pPr>
              <w:spacing w:after="0"/>
            </w:pPr>
            <w:r>
              <w:rPr>
                <w:sz w:val="12"/>
              </w:rPr>
              <w:t>Unsupported_or_Unresolved_Annotation_Items.csv</w:t>
            </w:r>
          </w:p>
        </w:tc>
        <w:tc>
          <w:tcPr>
            <w:tcW w:type="dxa" w:w="5141"/>
          </w:tcPr>
          <w:p>
            <w:pPr>
              <w:spacing w:after="0"/>
            </w:pPr>
            <w:r>
              <w:rPr>
                <w:sz w:val="12"/>
              </w:rPr>
              <w:t>Explicit gaps and blocked mappings</w:t>
            </w:r>
          </w:p>
        </w:tc>
      </w:tr>
      <w:tr>
        <w:tc>
          <w:tcPr>
            <w:tcW w:type="dxa" w:w="5141"/>
          </w:tcPr>
          <w:p>
            <w:pPr>
              <w:spacing w:after="0"/>
            </w:pPr>
            <w:r>
              <w:rPr>
                <w:sz w:val="12"/>
              </w:rPr>
              <w:t>Phase4A_Annotation_Evidence_Harmonization.docx</w:t>
            </w:r>
          </w:p>
        </w:tc>
        <w:tc>
          <w:tcPr>
            <w:tcW w:type="dxa" w:w="5141"/>
          </w:tcPr>
          <w:p>
            <w:pPr>
              <w:spacing w:after="0"/>
            </w:pPr>
            <w:r>
              <w:rPr>
                <w:sz w:val="12"/>
              </w:rPr>
              <w:t>Narrative methods specification</w:t>
            </w:r>
          </w:p>
        </w:tc>
      </w:tr>
    </w:tbl>
    <w:p/>
    <w:p>
      <w:pPr>
        <w:pStyle w:val="Heading1"/>
      </w:pPr>
      <w:r>
        <w:t>10. Phase 4B — MedAI Clinical Annotation Application Profile</w:t>
      </w:r>
    </w:p>
    <w:p>
      <w:r>
        <w:t>Phase 4B freezes the annotation representation that can be used across published synthetic data, EpiSynth documents, and real clinical notes.</w:t>
      </w:r>
    </w:p>
    <w:p>
      <w:pPr>
        <w:pStyle w:val="ListBullet"/>
      </w:pPr>
      <w:r>
        <w:t>Freeze annotation entity types and permitted values only where the semantic source is sufficiently resolved.</w:t>
      </w:r>
    </w:p>
    <w:p>
      <w:pPr>
        <w:pStyle w:val="ListBullet"/>
      </w:pPr>
      <w:r>
        <w:t>Define exact evidence-span rules separately from normalization rules.</w:t>
      </w:r>
    </w:p>
    <w:p>
      <w:pPr>
        <w:pStyle w:val="ListBullet"/>
      </w:pPr>
      <w:r>
        <w:t>Define assertion-state, temporality, experiencer, laterality, anatomical-site and relation rules only to the degree supported by the evidence base.</w:t>
      </w:r>
    </w:p>
    <w:p>
      <w:pPr>
        <w:pStyle w:val="ListBullet"/>
      </w:pPr>
      <w:r>
        <w:t>Specify document-level versus patient-level annotation boundaries.</w:t>
      </w:r>
    </w:p>
    <w:p>
      <w:pPr>
        <w:pStyle w:val="ListBullet"/>
      </w:pPr>
      <w:r>
        <w:t>Specify which derived phenotypes are prohibited from direct span annotation.</w:t>
      </w:r>
    </w:p>
    <w:p>
      <w:pPr>
        <w:pStyle w:val="ListBullet"/>
      </w:pPr>
      <w:r>
        <w:t>Version mappings to source standards and preserve source wording when canonical normalization is blocked.</w:t>
      </w:r>
    </w:p>
    <w:p>
      <w:pPr>
        <w:pStyle w:val="Heading2"/>
      </w:pPr>
      <w:r>
        <w:t>Phase 4B deliverables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2"/>
              </w:rPr>
              <w:t>Artifact</w:t>
            </w:r>
          </w:p>
        </w:tc>
        <w:tc>
          <w:tcPr>
            <w:tcW w:type="dxa" w:w="5141"/>
            <w:shd w:fill="D9EAF7"/>
          </w:tcPr>
          <w:p>
            <w:r>
              <w:rPr>
                <w:b/>
                <w:sz w:val="12"/>
              </w:rPr>
              <w:t>Purpose</w:t>
            </w:r>
          </w:p>
        </w:tc>
      </w:tr>
      <w:tr>
        <w:tc>
          <w:tcPr>
            <w:tcW w:type="dxa" w:w="5141"/>
          </w:tcPr>
          <w:p>
            <w:pPr>
              <w:spacing w:after="0"/>
            </w:pPr>
            <w:r>
              <w:rPr>
                <w:sz w:val="11"/>
              </w:rPr>
              <w:t>MedAI_Annotation_Profile.csv/json</w:t>
            </w:r>
          </w:p>
        </w:tc>
        <w:tc>
          <w:tcPr>
            <w:tcW w:type="dxa" w:w="5141"/>
          </w:tcPr>
          <w:p>
            <w:pPr>
              <w:spacing w:after="0"/>
            </w:pPr>
            <w:r>
              <w:rPr>
                <w:sz w:val="11"/>
              </w:rPr>
              <w:t>Canonical annotation objects, fields, values and statuses</w:t>
            </w:r>
          </w:p>
        </w:tc>
      </w:tr>
      <w:tr>
        <w:tc>
          <w:tcPr>
            <w:tcW w:type="dxa" w:w="5141"/>
          </w:tcPr>
          <w:p>
            <w:pPr>
              <w:spacing w:after="0"/>
            </w:pPr>
            <w:r>
              <w:rPr>
                <w:sz w:val="11"/>
              </w:rPr>
              <w:t>Annotation_Value_Sets.csv</w:t>
            </w:r>
          </w:p>
        </w:tc>
        <w:tc>
          <w:tcPr>
            <w:tcW w:type="dxa" w:w="5141"/>
          </w:tcPr>
          <w:p>
            <w:pPr>
              <w:spacing w:after="0"/>
            </w:pPr>
            <w:r>
              <w:rPr>
                <w:sz w:val="11"/>
              </w:rPr>
              <w:t>Frozen annotation values and provenance</w:t>
            </w:r>
          </w:p>
        </w:tc>
      </w:tr>
      <w:tr>
        <w:tc>
          <w:tcPr>
            <w:tcW w:type="dxa" w:w="5141"/>
          </w:tcPr>
          <w:p>
            <w:pPr>
              <w:spacing w:after="0"/>
            </w:pPr>
            <w:r>
              <w:rPr>
                <w:sz w:val="11"/>
              </w:rPr>
              <w:t>Annotation_Relation_Model.csv</w:t>
            </w:r>
          </w:p>
        </w:tc>
        <w:tc>
          <w:tcPr>
            <w:tcW w:type="dxa" w:w="5141"/>
          </w:tcPr>
          <w:p>
            <w:pPr>
              <w:spacing w:after="0"/>
            </w:pPr>
            <w:r>
              <w:rPr>
                <w:sz w:val="11"/>
              </w:rPr>
              <w:t>Permitted typed relationships</w:t>
            </w:r>
          </w:p>
        </w:tc>
      </w:tr>
      <w:tr>
        <w:tc>
          <w:tcPr>
            <w:tcW w:type="dxa" w:w="5141"/>
          </w:tcPr>
          <w:p>
            <w:pPr>
              <w:spacing w:after="0"/>
            </w:pPr>
            <w:r>
              <w:rPr>
                <w:sz w:val="11"/>
              </w:rPr>
              <w:t>Evidence_Span_Rules.csv</w:t>
            </w:r>
          </w:p>
        </w:tc>
        <w:tc>
          <w:tcPr>
            <w:tcW w:type="dxa" w:w="5141"/>
          </w:tcPr>
          <w:p>
            <w:pPr>
              <w:spacing w:after="0"/>
            </w:pPr>
            <w:r>
              <w:rPr>
                <w:sz w:val="11"/>
              </w:rPr>
              <w:t>How exact textual evidence is selected</w:t>
            </w:r>
          </w:p>
        </w:tc>
      </w:tr>
      <w:tr>
        <w:tc>
          <w:tcPr>
            <w:tcW w:type="dxa" w:w="5141"/>
          </w:tcPr>
          <w:p>
            <w:pPr>
              <w:spacing w:after="0"/>
            </w:pPr>
            <w:r>
              <w:rPr>
                <w:sz w:val="11"/>
              </w:rPr>
              <w:t>Normalization_Rules.csv</w:t>
            </w:r>
          </w:p>
        </w:tc>
        <w:tc>
          <w:tcPr>
            <w:tcW w:type="dxa" w:w="5141"/>
          </w:tcPr>
          <w:p>
            <w:pPr>
              <w:spacing w:after="0"/>
            </w:pPr>
            <w:r>
              <w:rPr>
                <w:sz w:val="11"/>
              </w:rPr>
              <w:t>Evidence → normalized concept rules</w:t>
            </w:r>
          </w:p>
        </w:tc>
      </w:tr>
      <w:tr>
        <w:tc>
          <w:tcPr>
            <w:tcW w:type="dxa" w:w="5141"/>
          </w:tcPr>
          <w:p>
            <w:pPr>
              <w:spacing w:after="0"/>
            </w:pPr>
            <w:r>
              <w:rPr>
                <w:sz w:val="11"/>
              </w:rPr>
              <w:t>Annotation_Provenance_Schema.json</w:t>
            </w:r>
          </w:p>
        </w:tc>
        <w:tc>
          <w:tcPr>
            <w:tcW w:type="dxa" w:w="5141"/>
          </w:tcPr>
          <w:p>
            <w:pPr>
              <w:spacing w:after="0"/>
            </w:pPr>
            <w:r>
              <w:rPr>
                <w:sz w:val="11"/>
              </w:rPr>
              <w:t>Origin, annotator, source and adjudication provenance</w:t>
            </w:r>
          </w:p>
        </w:tc>
      </w:tr>
      <w:tr>
        <w:tc>
          <w:tcPr>
            <w:tcW w:type="dxa" w:w="5141"/>
          </w:tcPr>
          <w:p>
            <w:pPr>
              <w:spacing w:after="0"/>
            </w:pPr>
            <w:r>
              <w:rPr>
                <w:sz w:val="11"/>
              </w:rPr>
              <w:t>Blocked_Annotation_Items.csv</w:t>
            </w:r>
          </w:p>
        </w:tc>
        <w:tc>
          <w:tcPr>
            <w:tcW w:type="dxa" w:w="5141"/>
          </w:tcPr>
          <w:p>
            <w:pPr>
              <w:spacing w:after="0"/>
            </w:pPr>
            <w:r>
              <w:rPr>
                <w:sz w:val="11"/>
              </w:rPr>
              <w:t>Fields that cannot become canonical gold</w:t>
            </w:r>
          </w:p>
        </w:tc>
      </w:tr>
    </w:tbl>
    <w:p/>
    <w:p>
      <w:pPr>
        <w:pStyle w:val="Heading1"/>
      </w:pPr>
      <w:r>
        <w:t>11. EpiSynth annotation workflow</w:t>
      </w:r>
    </w:p>
    <w:p>
      <w:pPr>
        <w:pStyle w:val="ListNumber"/>
      </w:pPr>
      <w:r>
        <w:t>1. Freeze G0 latent truth</w:t>
      </w:r>
    </w:p>
    <w:p>
      <w:pPr>
        <w:pStyle w:val="ListNumber"/>
      </w:pPr>
      <w:r>
        <w:t>2. Freeze G1 semantic plan / authorized assertions</w:t>
      </w:r>
    </w:p>
    <w:p>
      <w:pPr>
        <w:pStyle w:val="ListNumber"/>
      </w:pPr>
      <w:r>
        <w:t>3. Render document independently</w:t>
      </w:r>
    </w:p>
    <w:p>
      <w:pPr>
        <w:pStyle w:val="ListNumber"/>
      </w:pPr>
      <w:r>
        <w:t>4. Preserve raw text and generation provenance</w:t>
      </w:r>
    </w:p>
    <w:p>
      <w:pPr>
        <w:pStyle w:val="ListNumber"/>
      </w:pPr>
      <w:r>
        <w:t>5. Create machine projection candidates from G0/G1 only as annotation aids</w:t>
      </w:r>
    </w:p>
    <w:p>
      <w:pPr>
        <w:pStyle w:val="ListNumber"/>
      </w:pPr>
      <w:r>
        <w:t>6. Independently annotate the actual rendered text</w:t>
      </w:r>
    </w:p>
    <w:p>
      <w:pPr>
        <w:pStyle w:val="ListNumber"/>
      </w:pPr>
      <w:r>
        <w:t>7. Link evidence spans to normalized assertions and source events</w:t>
      </w:r>
    </w:p>
    <w:p>
      <w:pPr>
        <w:pStyle w:val="ListNumber"/>
      </w:pPr>
      <w:r>
        <w:t>8. Compare G2 rendered evidence against G0/G1</w:t>
      </w:r>
    </w:p>
    <w:p>
      <w:pPr>
        <w:pStyle w:val="ListNumber"/>
      </w:pPr>
      <w:r>
        <w:t>9. Label generation omissions, unsupported additions, corruption, contradiction and leakage</w:t>
      </w:r>
    </w:p>
    <w:p>
      <w:pPr>
        <w:pStyle w:val="ListNumber"/>
      </w:pPr>
      <w:r>
        <w:t>10. Human review / adjudication creates G3 where required</w:t>
      </w:r>
    </w:p>
    <w:p>
      <w:pPr>
        <w:pStyle w:val="ListNumber"/>
      </w:pPr>
      <w:r>
        <w:t>11. Freeze benchmark annotations and provenance</w:t>
      </w:r>
    </w:p>
    <w:tbl>
      <w:tblPr>
        <w:tblStyle w:val="TableGrid"/>
        <w:tblW w:type="auto" w:w="0"/>
        <w:tblLook w:firstColumn="1" w:firstRow="1" w:lastColumn="0" w:lastRow="0" w:noHBand="0" w:noVBand="1" w:val="04A0"/>
      </w:tblPr>
      <w:tblGrid>
        <w:gridCol w:w="10282"/>
      </w:tblGrid>
      <w:tr>
        <w:tc>
          <w:tcPr>
            <w:tcW w:type="dxa" w:w="10282"/>
            <w:shd w:fill="FFF2CC"/>
          </w:tcPr>
          <w:p>
            <w:r>
              <w:rPr>
                <w:b/>
                <w:color w:val="17365D"/>
              </w:rPr>
              <w:t>No circular annotation</w:t>
              <w:br/>
            </w:r>
            <w:r>
              <w:t>The generator must not be treated as the gold annotator of its own output. Latent truth can propose what should be found, but the actual document must be independently checked because the renderer may omit, alter, contradict, or invent information.</w:t>
            </w:r>
          </w:p>
        </w:tc>
      </w:tr>
    </w:tbl>
    <w:p/>
    <w:p>
      <w:pPr>
        <w:pStyle w:val="Heading1"/>
      </w:pPr>
      <w:r>
        <w:t>12. Real clinical note workflow</w:t>
      </w:r>
    </w:p>
    <w:p>
      <w:pPr>
        <w:pStyle w:val="ListBullet"/>
      </w:pPr>
      <w:r>
        <w:t>Use the same MedAI Annotation Application Profile, but there is no G0 latent synthetic truth.</w:t>
      </w:r>
    </w:p>
    <w:p>
      <w:pPr>
        <w:pStyle w:val="ListBullet"/>
      </w:pPr>
      <w:r>
        <w:t>Annotators label only what the real document supports; they do not infer unstated patient truth.</w:t>
      </w:r>
    </w:p>
    <w:p>
      <w:pPr>
        <w:pStyle w:val="ListBullet"/>
      </w:pPr>
      <w:r>
        <w:t>Preserve document provenance, timestamp, source type, evidence span, uncertainty, negation, temporality and experiencer.</w:t>
      </w:r>
    </w:p>
    <w:p>
      <w:pPr>
        <w:pStyle w:val="ListBullet"/>
      </w:pPr>
      <w:r>
        <w:t>Normalize only to concepts/value sets frozen in the application profile.</w:t>
      </w:r>
    </w:p>
    <w:p>
      <w:pPr>
        <w:pStyle w:val="ListBullet"/>
      </w:pPr>
      <w:r>
        <w:t>Use independent double annotation and adjudication for the real-world gold subset where feasible.</w:t>
      </w:r>
    </w:p>
    <w:p>
      <w:pPr>
        <w:pStyle w:val="ListBullet"/>
      </w:pPr>
      <w:r>
        <w:t>Keep real-note patient-level synthesis separate from direct document assertions.</w:t>
      </w:r>
    </w:p>
    <w:p>
      <w:r>
        <w:t>For real notes, the primary chain is: REAL DOCUMENT → EVIDENCE SPAN → DIRECT ASSERTION → NORMALIZED ASSERTION → optional DERIVED ASSERTION / PATIENT VIEW.</w:t>
      </w:r>
    </w:p>
    <w:p>
      <w:pPr>
        <w:pStyle w:val="Heading1"/>
      </w:pPr>
      <w:r>
        <w:t>13. Revised roadmap placement</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2"/>
              </w:rPr>
              <w:t>Phase</w:t>
            </w:r>
          </w:p>
        </w:tc>
        <w:tc>
          <w:tcPr>
            <w:tcW w:type="dxa" w:w="5141"/>
            <w:shd w:fill="D9EAF7"/>
          </w:tcPr>
          <w:p>
            <w:r>
              <w:rPr>
                <w:b/>
                <w:sz w:val="12"/>
              </w:rPr>
              <w:t>Role</w:t>
            </w:r>
          </w:p>
        </w:tc>
      </w:tr>
      <w:tr>
        <w:tc>
          <w:tcPr>
            <w:tcW w:type="dxa" w:w="5141"/>
          </w:tcPr>
          <w:p>
            <w:pPr>
              <w:spacing w:after="0"/>
            </w:pPr>
            <w:r>
              <w:rPr>
                <w:sz w:val="11"/>
              </w:rPr>
              <w:t>1–3D/4.1</w:t>
            </w:r>
          </w:p>
        </w:tc>
        <w:tc>
          <w:tcPr>
            <w:tcW w:type="dxa" w:w="5141"/>
          </w:tcPr>
          <w:p>
            <w:pPr>
              <w:spacing w:after="0"/>
            </w:pPr>
            <w:r>
              <w:rPr>
                <w:sz w:val="11"/>
              </w:rPr>
              <w:t>Authoritative evidence, source taxonomy, assertion model, semantic closure</w:t>
            </w:r>
          </w:p>
        </w:tc>
      </w:tr>
      <w:tr>
        <w:tc>
          <w:tcPr>
            <w:tcW w:type="dxa" w:w="5141"/>
          </w:tcPr>
          <w:p>
            <w:pPr>
              <w:spacing w:after="0"/>
            </w:pPr>
            <w:r>
              <w:rPr>
                <w:sz w:val="11"/>
              </w:rPr>
              <w:t>4</w:t>
            </w:r>
          </w:p>
        </w:tc>
        <w:tc>
          <w:tcPr>
            <w:tcW w:type="dxa" w:w="5141"/>
          </w:tcPr>
          <w:p>
            <w:pPr>
              <w:spacing w:after="0"/>
            </w:pPr>
            <w:r>
              <w:rPr>
                <w:sz w:val="11"/>
              </w:rPr>
              <w:t>Evidence-backed annotation manual</w:t>
            </w:r>
          </w:p>
        </w:tc>
      </w:tr>
      <w:tr>
        <w:tc>
          <w:tcPr>
            <w:tcW w:type="dxa" w:w="5141"/>
          </w:tcPr>
          <w:p>
            <w:pPr>
              <w:spacing w:after="0"/>
            </w:pPr>
            <w:r>
              <w:rPr>
                <w:sz w:val="11"/>
              </w:rPr>
              <w:t>4A — NEW</w:t>
            </w:r>
          </w:p>
        </w:tc>
        <w:tc>
          <w:tcPr>
            <w:tcW w:type="dxa" w:w="5141"/>
          </w:tcPr>
          <w:p>
            <w:pPr>
              <w:spacing w:after="0"/>
            </w:pPr>
            <w:r>
              <w:rPr>
                <w:sz w:val="11"/>
              </w:rPr>
              <w:t>Published Annotation Evidence Harmonization</w:t>
            </w:r>
          </w:p>
        </w:tc>
      </w:tr>
      <w:tr>
        <w:tc>
          <w:tcPr>
            <w:tcW w:type="dxa" w:w="5141"/>
          </w:tcPr>
          <w:p>
            <w:pPr>
              <w:spacing w:after="0"/>
            </w:pPr>
            <w:r>
              <w:rPr>
                <w:sz w:val="11"/>
              </w:rPr>
              <w:t>4B — NEW</w:t>
            </w:r>
          </w:p>
        </w:tc>
        <w:tc>
          <w:tcPr>
            <w:tcW w:type="dxa" w:w="5141"/>
          </w:tcPr>
          <w:p>
            <w:pPr>
              <w:spacing w:after="0"/>
            </w:pPr>
            <w:r>
              <w:rPr>
                <w:sz w:val="11"/>
              </w:rPr>
              <w:t>MedAI Clinical Annotation Application Profile</w:t>
            </w:r>
          </w:p>
        </w:tc>
      </w:tr>
      <w:tr>
        <w:tc>
          <w:tcPr>
            <w:tcW w:type="dxa" w:w="5141"/>
          </w:tcPr>
          <w:p>
            <w:pPr>
              <w:spacing w:after="0"/>
            </w:pPr>
            <w:r>
              <w:rPr>
                <w:sz w:val="11"/>
              </w:rPr>
              <w:t>5</w:t>
            </w:r>
          </w:p>
        </w:tc>
        <w:tc>
          <w:tcPr>
            <w:tcW w:type="dxa" w:w="5141"/>
          </w:tcPr>
          <w:p>
            <w:pPr>
              <w:spacing w:after="0"/>
            </w:pPr>
            <w:r>
              <w:rPr>
                <w:sz w:val="11"/>
              </w:rPr>
              <w:t>Synthetic Patient &amp; Event Model</w:t>
            </w:r>
          </w:p>
        </w:tc>
      </w:tr>
      <w:tr>
        <w:tc>
          <w:tcPr>
            <w:tcW w:type="dxa" w:w="5141"/>
          </w:tcPr>
          <w:p>
            <w:pPr>
              <w:spacing w:after="0"/>
            </w:pPr>
            <w:r>
              <w:rPr>
                <w:sz w:val="11"/>
              </w:rPr>
              <w:t>6A–6D.2</w:t>
            </w:r>
          </w:p>
        </w:tc>
        <w:tc>
          <w:tcPr>
            <w:tcW w:type="dxa" w:w="5141"/>
          </w:tcPr>
          <w:p>
            <w:pPr>
              <w:spacing w:after="0"/>
            </w:pPr>
            <w:r>
              <w:rPr>
                <w:sz w:val="11"/>
              </w:rPr>
              <w:t>Document evidence, generation method, pilot protocol and execution</w:t>
            </w:r>
          </w:p>
        </w:tc>
      </w:tr>
      <w:tr>
        <w:tc>
          <w:tcPr>
            <w:tcW w:type="dxa" w:w="5141"/>
          </w:tcPr>
          <w:p>
            <w:pPr>
              <w:spacing w:after="0"/>
            </w:pPr>
            <w:r>
              <w:rPr>
                <w:sz w:val="11"/>
              </w:rPr>
              <w:t>6D.3 — EXPANDED</w:t>
            </w:r>
          </w:p>
        </w:tc>
        <w:tc>
          <w:tcPr>
            <w:tcW w:type="dxa" w:w="5141"/>
          </w:tcPr>
          <w:p>
            <w:pPr>
              <w:spacing w:after="0"/>
            </w:pPr>
            <w:r>
              <w:rPr>
                <w:sz w:val="11"/>
              </w:rPr>
              <w:t>Evidence-Grounded Synthetic Annotation &amp; Truth-Preservation Adjudication</w:t>
            </w:r>
          </w:p>
        </w:tc>
      </w:tr>
      <w:tr>
        <w:tc>
          <w:tcPr>
            <w:tcW w:type="dxa" w:w="5141"/>
          </w:tcPr>
          <w:p>
            <w:pPr>
              <w:spacing w:after="0"/>
            </w:pPr>
            <w:r>
              <w:rPr>
                <w:sz w:val="11"/>
              </w:rPr>
              <w:t>6D.4</w:t>
            </w:r>
          </w:p>
        </w:tc>
        <w:tc>
          <w:tcPr>
            <w:tcW w:type="dxa" w:w="5141"/>
          </w:tcPr>
          <w:p>
            <w:pPr>
              <w:spacing w:after="0"/>
            </w:pPr>
            <w:r>
              <w:rPr>
                <w:sz w:val="11"/>
              </w:rPr>
              <w:t>Pilot analysis using adjudicated claim/annotation data</w:t>
            </w:r>
          </w:p>
        </w:tc>
      </w:tr>
      <w:tr>
        <w:tc>
          <w:tcPr>
            <w:tcW w:type="dxa" w:w="5141"/>
          </w:tcPr>
          <w:p>
            <w:pPr>
              <w:spacing w:after="0"/>
            </w:pPr>
            <w:r>
              <w:rPr>
                <w:sz w:val="11"/>
              </w:rPr>
              <w:t>6E</w:t>
            </w:r>
          </w:p>
        </w:tc>
        <w:tc>
          <w:tcPr>
            <w:tcW w:type="dxa" w:w="5141"/>
          </w:tcPr>
          <w:p>
            <w:pPr>
              <w:spacing w:after="0"/>
            </w:pPr>
            <w:r>
              <w:rPr>
                <w:sz w:val="11"/>
              </w:rPr>
              <w:t>Clinician realism/plausibility validation</w:t>
            </w:r>
          </w:p>
        </w:tc>
      </w:tr>
      <w:tr>
        <w:tc>
          <w:tcPr>
            <w:tcW w:type="dxa" w:w="5141"/>
          </w:tcPr>
          <w:p>
            <w:pPr>
              <w:spacing w:after="0"/>
            </w:pPr>
            <w:r>
              <w:rPr>
                <w:sz w:val="11"/>
              </w:rPr>
              <w:t>6F</w:t>
            </w:r>
          </w:p>
        </w:tc>
        <w:tc>
          <w:tcPr>
            <w:tcW w:type="dxa" w:w="5141"/>
          </w:tcPr>
          <w:p>
            <w:pPr>
              <w:spacing w:after="0"/>
            </w:pPr>
            <w:r>
              <w:rPr>
                <w:sz w:val="11"/>
              </w:rPr>
              <w:t>Production generation + annotation method freeze</w:t>
            </w:r>
          </w:p>
        </w:tc>
      </w:tr>
      <w:tr>
        <w:tc>
          <w:tcPr>
            <w:tcW w:type="dxa" w:w="5141"/>
          </w:tcPr>
          <w:p>
            <w:pPr>
              <w:spacing w:after="0"/>
            </w:pPr>
            <w:r>
              <w:rPr>
                <w:sz w:val="11"/>
              </w:rPr>
              <w:t>7</w:t>
            </w:r>
          </w:p>
        </w:tc>
        <w:tc>
          <w:tcPr>
            <w:tcW w:type="dxa" w:w="5141"/>
          </w:tcPr>
          <w:p>
            <w:pPr>
              <w:spacing w:after="0"/>
            </w:pPr>
            <w:r>
              <w:rPr>
                <w:sz w:val="11"/>
              </w:rPr>
              <w:t>EpiSynth benchmark construction</w:t>
            </w:r>
          </w:p>
        </w:tc>
      </w:tr>
      <w:tr>
        <w:tc>
          <w:tcPr>
            <w:tcW w:type="dxa" w:w="5141"/>
          </w:tcPr>
          <w:p>
            <w:pPr>
              <w:spacing w:after="0"/>
            </w:pPr>
            <w:r>
              <w:rPr>
                <w:sz w:val="11"/>
              </w:rPr>
              <w:t>8</w:t>
            </w:r>
          </w:p>
        </w:tc>
        <w:tc>
          <w:tcPr>
            <w:tcW w:type="dxa" w:w="5141"/>
          </w:tcPr>
          <w:p>
            <w:pPr>
              <w:spacing w:after="0"/>
            </w:pPr>
            <w:r>
              <w:rPr>
                <w:sz w:val="11"/>
              </w:rPr>
              <w:t>MedAI extraction benchmark</w:t>
            </w:r>
          </w:p>
        </w:tc>
      </w:tr>
      <w:tr>
        <w:tc>
          <w:tcPr>
            <w:tcW w:type="dxa" w:w="5141"/>
          </w:tcPr>
          <w:p>
            <w:pPr>
              <w:spacing w:after="0"/>
            </w:pPr>
            <w:r>
              <w:rPr>
                <w:sz w:val="11"/>
              </w:rPr>
              <w:t>9</w:t>
            </w:r>
          </w:p>
        </w:tc>
        <w:tc>
          <w:tcPr>
            <w:tcW w:type="dxa" w:w="5141"/>
          </w:tcPr>
          <w:p>
            <w:pPr>
              <w:spacing w:after="0"/>
            </w:pPr>
            <w:r>
              <w:rPr>
                <w:sz w:val="11"/>
              </w:rPr>
              <w:t>Real-world clinical validation using the same annotation profile</w:t>
            </w:r>
          </w:p>
        </w:tc>
      </w:tr>
      <w:tr>
        <w:tc>
          <w:tcPr>
            <w:tcW w:type="dxa" w:w="5141"/>
          </w:tcPr>
          <w:p>
            <w:pPr>
              <w:spacing w:after="0"/>
            </w:pPr>
            <w:r>
              <w:rPr>
                <w:sz w:val="11"/>
              </w:rPr>
              <w:t>10</w:t>
            </w:r>
          </w:p>
        </w:tc>
        <w:tc>
          <w:tcPr>
            <w:tcW w:type="dxa" w:w="5141"/>
          </w:tcPr>
          <w:p>
            <w:pPr>
              <w:spacing w:after="0"/>
            </w:pPr>
            <w:r>
              <w:rPr>
                <w:sz w:val="11"/>
              </w:rPr>
              <w:t>Publication and release</w:t>
            </w:r>
          </w:p>
        </w:tc>
      </w:tr>
    </w:tbl>
    <w:p/>
    <w:p>
      <w:pPr>
        <w:pStyle w:val="Heading1"/>
      </w:pPr>
      <w:r>
        <w:t>14. Expanded Phase 6D.3 outputs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2"/>
              </w:rPr>
              <w:t>Artifact</w:t>
            </w:r>
          </w:p>
        </w:tc>
        <w:tc>
          <w:tcPr>
            <w:tcW w:type="dxa" w:w="5141"/>
            <w:shd w:fill="D9EAF7"/>
          </w:tcPr>
          <w:p>
            <w:r>
              <w:rPr>
                <w:b/>
                <w:sz w:val="12"/>
              </w:rPr>
              <w:t>Contents</w:t>
            </w:r>
          </w:p>
        </w:tc>
      </w:tr>
      <w:tr>
        <w:tc>
          <w:tcPr>
            <w:tcW w:type="dxa" w:w="5141"/>
          </w:tcPr>
          <w:p>
            <w:pPr>
              <w:spacing w:after="0"/>
            </w:pPr>
            <w:r>
              <w:rPr>
                <w:sz w:val="11"/>
              </w:rPr>
              <w:t>latent_truth.jsonl</w:t>
            </w:r>
          </w:p>
        </w:tc>
        <w:tc>
          <w:tcPr>
            <w:tcW w:type="dxa" w:w="5141"/>
          </w:tcPr>
          <w:p>
            <w:pPr>
              <w:spacing w:after="0"/>
            </w:pPr>
            <w:r>
              <w:rPr>
                <w:sz w:val="11"/>
              </w:rPr>
              <w:t>G0 patient/event truth</w:t>
            </w:r>
          </w:p>
        </w:tc>
      </w:tr>
      <w:tr>
        <w:tc>
          <w:tcPr>
            <w:tcW w:type="dxa" w:w="5141"/>
          </w:tcPr>
          <w:p>
            <w:pPr>
              <w:spacing w:after="0"/>
            </w:pPr>
            <w:r>
              <w:rPr>
                <w:sz w:val="11"/>
              </w:rPr>
              <w:t>authorized_assertions.jsonl</w:t>
            </w:r>
          </w:p>
        </w:tc>
        <w:tc>
          <w:tcPr>
            <w:tcW w:type="dxa" w:w="5141"/>
          </w:tcPr>
          <w:p>
            <w:pPr>
              <w:spacing w:after="0"/>
            </w:pPr>
            <w:r>
              <w:rPr>
                <w:sz w:val="11"/>
              </w:rPr>
              <w:t>G1 permitted/required document assertions</w:t>
            </w:r>
          </w:p>
        </w:tc>
      </w:tr>
      <w:tr>
        <w:tc>
          <w:tcPr>
            <w:tcW w:type="dxa" w:w="5141"/>
          </w:tcPr>
          <w:p>
            <w:pPr>
              <w:spacing w:after="0"/>
            </w:pPr>
            <w:r>
              <w:rPr>
                <w:sz w:val="11"/>
              </w:rPr>
              <w:t>documents.jsonl</w:t>
            </w:r>
          </w:p>
        </w:tc>
        <w:tc>
          <w:tcPr>
            <w:tcW w:type="dxa" w:w="5141"/>
          </w:tcPr>
          <w:p>
            <w:pPr>
              <w:spacing w:after="0"/>
            </w:pPr>
            <w:r>
              <w:rPr>
                <w:sz w:val="11"/>
              </w:rPr>
              <w:t>Rendered document metadata</w:t>
            </w:r>
          </w:p>
        </w:tc>
      </w:tr>
      <w:tr>
        <w:tc>
          <w:tcPr>
            <w:tcW w:type="dxa" w:w="5141"/>
          </w:tcPr>
          <w:p>
            <w:pPr>
              <w:spacing w:after="0"/>
            </w:pPr>
            <w:r>
              <w:rPr>
                <w:sz w:val="11"/>
              </w:rPr>
              <w:t>evidence_spans.jsonl</w:t>
            </w:r>
          </w:p>
        </w:tc>
        <w:tc>
          <w:tcPr>
            <w:tcW w:type="dxa" w:w="5141"/>
          </w:tcPr>
          <w:p>
            <w:pPr>
              <w:spacing w:after="0"/>
            </w:pPr>
            <w:r>
              <w:rPr>
                <w:sz w:val="11"/>
              </w:rPr>
              <w:t>G2 exact text spans</w:t>
            </w:r>
          </w:p>
        </w:tc>
      </w:tr>
      <w:tr>
        <w:tc>
          <w:tcPr>
            <w:tcW w:type="dxa" w:w="5141"/>
          </w:tcPr>
          <w:p>
            <w:pPr>
              <w:spacing w:after="0"/>
            </w:pPr>
            <w:r>
              <w:rPr>
                <w:sz w:val="11"/>
              </w:rPr>
              <w:t>annotations.jsonl</w:t>
            </w:r>
          </w:p>
        </w:tc>
        <w:tc>
          <w:tcPr>
            <w:tcW w:type="dxa" w:w="5141"/>
          </w:tcPr>
          <w:p>
            <w:pPr>
              <w:spacing w:after="0"/>
            </w:pPr>
            <w:r>
              <w:rPr>
                <w:sz w:val="11"/>
              </w:rPr>
              <w:t>Entities, attributes, normalized concepts</w:t>
            </w:r>
          </w:p>
        </w:tc>
      </w:tr>
      <w:tr>
        <w:tc>
          <w:tcPr>
            <w:tcW w:type="dxa" w:w="5141"/>
          </w:tcPr>
          <w:p>
            <w:pPr>
              <w:spacing w:after="0"/>
            </w:pPr>
            <w:r>
              <w:rPr>
                <w:sz w:val="11"/>
              </w:rPr>
              <w:t>relations.jsonl</w:t>
            </w:r>
          </w:p>
        </w:tc>
        <w:tc>
          <w:tcPr>
            <w:tcW w:type="dxa" w:w="5141"/>
          </w:tcPr>
          <w:p>
            <w:pPr>
              <w:spacing w:after="0"/>
            </w:pPr>
            <w:r>
              <w:rPr>
                <w:sz w:val="11"/>
              </w:rPr>
              <w:t>Typed relationships among annotations</w:t>
            </w:r>
          </w:p>
        </w:tc>
      </w:tr>
      <w:tr>
        <w:tc>
          <w:tcPr>
            <w:tcW w:type="dxa" w:w="5141"/>
          </w:tcPr>
          <w:p>
            <w:pPr>
              <w:spacing w:after="0"/>
            </w:pPr>
            <w:r>
              <w:rPr>
                <w:sz w:val="11"/>
              </w:rPr>
              <w:t>generation_errors.jsonl</w:t>
            </w:r>
          </w:p>
        </w:tc>
        <w:tc>
          <w:tcPr>
            <w:tcW w:type="dxa" w:w="5141"/>
          </w:tcPr>
          <w:p>
            <w:pPr>
              <w:spacing w:after="0"/>
            </w:pPr>
            <w:r>
              <w:rPr>
                <w:sz w:val="11"/>
              </w:rPr>
              <w:t>Omission, unsupported assertion, corruption, contradiction, leakage, rule violation</w:t>
            </w:r>
          </w:p>
        </w:tc>
      </w:tr>
      <w:tr>
        <w:tc>
          <w:tcPr>
            <w:tcW w:type="dxa" w:w="5141"/>
          </w:tcPr>
          <w:p>
            <w:pPr>
              <w:spacing w:after="0"/>
            </w:pPr>
            <w:r>
              <w:rPr>
                <w:sz w:val="11"/>
              </w:rPr>
              <w:t>human_annotations.jsonl</w:t>
            </w:r>
          </w:p>
        </w:tc>
        <w:tc>
          <w:tcPr>
            <w:tcW w:type="dxa" w:w="5141"/>
          </w:tcPr>
          <w:p>
            <w:pPr>
              <w:spacing w:after="0"/>
            </w:pPr>
            <w:r>
              <w:rPr>
                <w:sz w:val="11"/>
              </w:rPr>
              <w:t>Independent human annotations</w:t>
            </w:r>
          </w:p>
        </w:tc>
      </w:tr>
      <w:tr>
        <w:tc>
          <w:tcPr>
            <w:tcW w:type="dxa" w:w="5141"/>
          </w:tcPr>
          <w:p>
            <w:pPr>
              <w:spacing w:after="0"/>
            </w:pPr>
            <w:r>
              <w:rPr>
                <w:sz w:val="11"/>
              </w:rPr>
              <w:t>adjudicated_gold.jsonl</w:t>
            </w:r>
          </w:p>
        </w:tc>
        <w:tc>
          <w:tcPr>
            <w:tcW w:type="dxa" w:w="5141"/>
          </w:tcPr>
          <w:p>
            <w:pPr>
              <w:spacing w:after="0"/>
            </w:pPr>
            <w:r>
              <w:rPr>
                <w:sz w:val="11"/>
              </w:rPr>
              <w:t>G3 consensus/adjudicated benchmark gold</w:t>
            </w:r>
          </w:p>
        </w:tc>
      </w:tr>
      <w:tr>
        <w:tc>
          <w:tcPr>
            <w:tcW w:type="dxa" w:w="5141"/>
          </w:tcPr>
          <w:p>
            <w:pPr>
              <w:spacing w:after="0"/>
            </w:pPr>
            <w:r>
              <w:rPr>
                <w:sz w:val="11"/>
              </w:rPr>
              <w:t>annotation_provenance.jsonl</w:t>
            </w:r>
          </w:p>
        </w:tc>
        <w:tc>
          <w:tcPr>
            <w:tcW w:type="dxa" w:w="5141"/>
          </w:tcPr>
          <w:p>
            <w:pPr>
              <w:spacing w:after="0"/>
            </w:pPr>
            <w:r>
              <w:rPr>
                <w:sz w:val="11"/>
              </w:rPr>
              <w:t>Complete source, model, annotator and mapping provenance</w:t>
            </w:r>
          </w:p>
        </w:tc>
      </w:tr>
    </w:tbl>
    <w:p/>
    <w:p>
      <w:pPr>
        <w:pStyle w:val="Heading1"/>
      </w:pPr>
      <w:r>
        <w:t>15. Quality and validation plan</w:t>
      </w:r>
    </w:p>
    <w:p>
      <w:pPr>
        <w:pStyle w:val="ListBullet"/>
      </w:pPr>
      <w:r>
        <w:t>Pilot the annotation manual before production annotation.</w:t>
      </w:r>
    </w:p>
    <w:p>
      <w:pPr>
        <w:pStyle w:val="ListBullet"/>
      </w:pPr>
      <w:r>
        <w:t>Measure inter-annotator agreement at the entity/span and attribute levels appropriate to the task; do not rely on a single aggregate score.</w:t>
      </w:r>
    </w:p>
    <w:p>
      <w:pPr>
        <w:pStyle w:val="ListBullet"/>
      </w:pPr>
      <w:r>
        <w:t>Review difficult narrative concepts separately from structured concepts such as medication mentions.</w:t>
      </w:r>
    </w:p>
    <w:p>
      <w:pPr>
        <w:pStyle w:val="ListBullet"/>
      </w:pPr>
      <w:r>
        <w:t>Maintain a disagreement taxonomy to improve rules without retrospectively altering already-frozen evaluation labels.</w:t>
      </w:r>
    </w:p>
    <w:p>
      <w:pPr>
        <w:pStyle w:val="ListBullet"/>
      </w:pPr>
      <w:r>
        <w:t>Evaluate machine-projected annotations against human-adjudicated G3 before using projection at scale.</w:t>
      </w:r>
    </w:p>
    <w:p>
      <w:pPr>
        <w:pStyle w:val="ListBullet"/>
      </w:pPr>
      <w:r>
        <w:t>Perform offset validation, relation-integrity checks, allowed-value validation, and provenance completeness checks programmatically.</w:t>
      </w:r>
    </w:p>
    <w:p>
      <w:pPr>
        <w:pStyle w:val="ListBullet"/>
      </w:pPr>
      <w:r>
        <w:t>For synthetic data, report generation truth preservation separately from annotation agreement.</w:t>
      </w:r>
    </w:p>
    <w:p>
      <w:pPr>
        <w:pStyle w:val="ListBullet"/>
      </w:pPr>
      <w:r>
        <w:t>For real clinical data, report annotation reliability and model performance separately.</w:t>
      </w:r>
    </w:p>
    <w:p>
      <w:pPr>
        <w:pStyle w:val="Heading1"/>
      </w:pPr>
      <w:r>
        <w:t>16. Scientific contribution enabled by this architecture</w:t>
      </w:r>
    </w:p>
    <w:tbl>
      <w:tblPr>
        <w:tblStyle w:val="TableGrid"/>
        <w:tblW w:type="auto" w:w="0"/>
        <w:tblLook w:firstColumn="1" w:firstRow="1" w:lastColumn="0" w:lastRow="0" w:noHBand="0" w:noVBand="1" w:val="04A0"/>
      </w:tblPr>
      <w:tblGrid>
        <w:gridCol w:w="10282"/>
      </w:tblGrid>
      <w:tr>
        <w:tc>
          <w:tcPr>
            <w:tcW w:type="dxa" w:w="10282"/>
            <w:shd w:fill="E2F0D9"/>
          </w:tcPr>
          <w:p>
            <w:r>
              <w:rPr>
                <w:b/>
                <w:color w:val="17365D"/>
              </w:rPr>
              <w:t>Proposed contribution statement</w:t>
              <w:br/>
            </w:r>
            <w:r>
              <w:t>MedAI/EpiSynth uses a shared evidence-backed clinical semantic representation to govern both synthetic clinical-document generation and annotation while preserving operational independence between the two processes. This permits latent patient truth, authorized document content, rendered textual evidence, normalized phenotype assertions, and human-adjudicated gold to remain explicitly separable and traceable across synthetic and real clinical corpora.</w:t>
            </w:r>
          </w:p>
        </w:tc>
      </w:tr>
    </w:tbl>
    <w:p/>
    <w:p>
      <w:r>
        <w:t>This is stronger than a pipeline that simply generates synthetic notes and copies generation labels into a gold file. It creates an auditable benchmark architecture in which generation fidelity, annotation fidelity, and synthetic-to-real transfer can be evaluated as distinct scientific questions.</w:t>
      </w:r>
    </w:p>
    <w:p>
      <w:pPr>
        <w:pStyle w:val="Heading1"/>
      </w:pPr>
      <w:r>
        <w:t>17. Key risks and safeguards</w:t>
      </w:r>
    </w:p>
    <w:tbl>
      <w:tblPr>
        <w:tblStyle w:val="TableGrid"/>
        <w:tblW w:type="auto" w:w="0"/>
        <w:jc w:val="center"/>
        <w:tblLook w:firstColumn="1" w:firstRow="1" w:lastColumn="0" w:lastRow="0" w:noHBand="0" w:noVBand="1" w:val="04A0"/>
      </w:tblPr>
      <w:tblGrid>
        <w:gridCol w:w="5141"/>
        <w:gridCol w:w="5141"/>
      </w:tblGrid>
      <w:tr>
        <w:tc>
          <w:tcPr>
            <w:tcW w:type="dxa" w:w="5141"/>
            <w:shd w:fill="D9EAF7"/>
          </w:tcPr>
          <w:p>
            <w:r>
              <w:rPr>
                <w:b/>
                <w:sz w:val="12"/>
              </w:rPr>
              <w:t>Risk</w:t>
            </w:r>
          </w:p>
        </w:tc>
        <w:tc>
          <w:tcPr>
            <w:tcW w:type="dxa" w:w="5141"/>
            <w:shd w:fill="D9EAF7"/>
          </w:tcPr>
          <w:p>
            <w:r>
              <w:rPr>
                <w:b/>
                <w:sz w:val="12"/>
              </w:rPr>
              <w:t>Safeguard</w:t>
            </w:r>
          </w:p>
        </w:tc>
      </w:tr>
      <w:tr>
        <w:tc>
          <w:tcPr>
            <w:tcW w:type="dxa" w:w="5141"/>
          </w:tcPr>
          <w:p>
            <w:pPr>
              <w:spacing w:after="0"/>
            </w:pPr>
            <w:r>
              <w:rPr>
                <w:sz w:val="11"/>
              </w:rPr>
              <w:t>Generator and annotator share the same model and reproduce the same error</w:t>
            </w:r>
          </w:p>
        </w:tc>
        <w:tc>
          <w:tcPr>
            <w:tcW w:type="dxa" w:w="5141"/>
          </w:tcPr>
          <w:p>
            <w:pPr>
              <w:spacing w:after="0"/>
            </w:pPr>
            <w:r>
              <w:rPr>
                <w:sz w:val="11"/>
              </w:rPr>
              <w:t>Independent human annotation/adjudication; generator output is never self-validating gold</w:t>
            </w:r>
          </w:p>
        </w:tc>
      </w:tr>
      <w:tr>
        <w:tc>
          <w:tcPr>
            <w:tcW w:type="dxa" w:w="5141"/>
          </w:tcPr>
          <w:p>
            <w:pPr>
              <w:spacing w:after="0"/>
            </w:pPr>
            <w:r>
              <w:rPr>
                <w:sz w:val="11"/>
              </w:rPr>
              <w:t>Latent truth overwrites what the document actually says</w:t>
            </w:r>
          </w:p>
        </w:tc>
        <w:tc>
          <w:tcPr>
            <w:tcW w:type="dxa" w:w="5141"/>
          </w:tcPr>
          <w:p>
            <w:pPr>
              <w:spacing w:after="0"/>
            </w:pPr>
            <w:r>
              <w:rPr>
                <w:sz w:val="11"/>
              </w:rPr>
              <w:t>Separate G0/G1 from G2; annotate actual rendered evidence faithfully</w:t>
            </w:r>
          </w:p>
        </w:tc>
      </w:tr>
      <w:tr>
        <w:tc>
          <w:tcPr>
            <w:tcW w:type="dxa" w:w="5141"/>
          </w:tcPr>
          <w:p>
            <w:pPr>
              <w:spacing w:after="0"/>
            </w:pPr>
            <w:r>
              <w:rPr>
                <w:sz w:val="11"/>
              </w:rPr>
              <w:t>External corpus labels are treated as identical to MedAI labels</w:t>
            </w:r>
          </w:p>
        </w:tc>
        <w:tc>
          <w:tcPr>
            <w:tcW w:type="dxa" w:w="5141"/>
          </w:tcPr>
          <w:p>
            <w:pPr>
              <w:spacing w:after="0"/>
            </w:pPr>
            <w:r>
              <w:rPr>
                <w:sz w:val="11"/>
              </w:rPr>
              <w:t>Use explicit crosswalk + mapping status; preserve source-native labels</w:t>
            </w:r>
          </w:p>
        </w:tc>
      </w:tr>
      <w:tr>
        <w:tc>
          <w:tcPr>
            <w:tcW w:type="dxa" w:w="5141"/>
          </w:tcPr>
          <w:p>
            <w:pPr>
              <w:spacing w:after="0"/>
            </w:pPr>
            <w:r>
              <w:rPr>
                <w:sz w:val="11"/>
              </w:rPr>
              <w:t>Over-normalization creates unsupported specificity</w:t>
            </w:r>
          </w:p>
        </w:tc>
        <w:tc>
          <w:tcPr>
            <w:tcW w:type="dxa" w:w="5141"/>
          </w:tcPr>
          <w:p>
            <w:pPr>
              <w:spacing w:after="0"/>
            </w:pPr>
            <w:r>
              <w:rPr>
                <w:sz w:val="11"/>
              </w:rPr>
              <w:t>Stop at supported specificity; source-text-only and blocked statuses remain available</w:t>
            </w:r>
          </w:p>
        </w:tc>
      </w:tr>
      <w:tr>
        <w:tc>
          <w:tcPr>
            <w:tcW w:type="dxa" w:w="5141"/>
          </w:tcPr>
          <w:p>
            <w:pPr>
              <w:spacing w:after="0"/>
            </w:pPr>
            <w:r>
              <w:rPr>
                <w:sz w:val="11"/>
              </w:rPr>
              <w:t>Synthetic benchmark becomes stylistically easy</w:t>
            </w:r>
          </w:p>
        </w:tc>
        <w:tc>
          <w:tcPr>
            <w:tcW w:type="dxa" w:w="5141"/>
          </w:tcPr>
          <w:p>
            <w:pPr>
              <w:spacing w:after="0"/>
            </w:pPr>
            <w:r>
              <w:rPr>
                <w:sz w:val="11"/>
              </w:rPr>
              <w:t>Multiple generators/styles; patient-level split; duplicate/leakage QA; external real-note validation</w:t>
            </w:r>
          </w:p>
        </w:tc>
      </w:tr>
      <w:tr>
        <w:tc>
          <w:tcPr>
            <w:tcW w:type="dxa" w:w="5141"/>
          </w:tcPr>
          <w:p>
            <w:pPr>
              <w:spacing w:after="0"/>
            </w:pPr>
            <w:r>
              <w:rPr>
                <w:sz w:val="11"/>
              </w:rPr>
              <w:t>Derived phenotype appears as direct evidence</w:t>
            </w:r>
          </w:p>
        </w:tc>
        <w:tc>
          <w:tcPr>
            <w:tcW w:type="dxa" w:w="5141"/>
          </w:tcPr>
          <w:p>
            <w:pPr>
              <w:spacing w:after="0"/>
            </w:pPr>
            <w:r>
              <w:rPr>
                <w:sz w:val="11"/>
              </w:rPr>
              <w:t>Derived layer requires derivation rule and input assertion IDs</w:t>
            </w:r>
          </w:p>
        </w:tc>
      </w:tr>
      <w:tr>
        <w:tc>
          <w:tcPr>
            <w:tcW w:type="dxa" w:w="5141"/>
          </w:tcPr>
          <w:p>
            <w:pPr>
              <w:spacing w:after="0"/>
            </w:pPr>
            <w:r>
              <w:rPr>
                <w:sz w:val="11"/>
              </w:rPr>
              <w:t>Human disagreement hidden by consensus</w:t>
            </w:r>
          </w:p>
        </w:tc>
        <w:tc>
          <w:tcPr>
            <w:tcW w:type="dxa" w:w="5141"/>
          </w:tcPr>
          <w:p>
            <w:pPr>
              <w:spacing w:after="0"/>
            </w:pPr>
            <w:r>
              <w:rPr>
                <w:sz w:val="11"/>
              </w:rPr>
              <w:t>Retain pre-adjudication annotations and agreement statistics</w:t>
            </w:r>
          </w:p>
        </w:tc>
      </w:tr>
    </w:tbl>
    <w:p/>
    <w:p>
      <w:pPr>
        <w:pStyle w:val="Heading1"/>
      </w:pPr>
      <w:r>
        <w:t>18. References and evidence base</w:t>
      </w:r>
    </w:p>
    <w:p>
      <w:pPr>
        <w:pStyle w:val="ListBullet"/>
      </w:pPr>
      <w:r>
        <w:t>Fonferko-Shadrach B, Strafford H, et al. Annotation of epilepsy clinic letters for natural language processing. Journal of Biomedical Semantics. 2024;15:17. DOI: 10.1186/s13326-024-00316-z. Evidence used here: 200 synthetic epilepsy clinic letters, double annotation, agreed guidelines, consensus gold standard, released annotations/guidelines, and reported inter-annotator agreement.</w:t>
      </w:r>
    </w:p>
    <w:p>
      <w:pPr>
        <w:pStyle w:val="ListBullet"/>
      </w:pPr>
      <w:r>
        <w:t>Cui L, et al. EpiDEA: Extracting Structured Epilepsy and Seizure Information from Patient Discharge Summaries for Cohort Identification. AMIA Annual Symposium Proceedings. 2012. Evidence used here: 104 real EMU discharge summaries and a gold standard manually annotated by two clinicians, with EpSO as a knowledge resource.</w:t>
      </w:r>
    </w:p>
    <w:p>
      <w:pPr>
        <w:pStyle w:val="ListBullet"/>
      </w:pPr>
      <w:r>
        <w:t>Leveraging pretrained language models for seizure frequency extraction from epilepsy evaluation reports. npj Digital Medicine. 2025. Evidence used here: de-identified seizure-frequency text segments and code are publicly available as SZFreqExtract.</w:t>
      </w:r>
    </w:p>
    <w:p>
      <w:pPr>
        <w:pStyle w:val="ListBullet"/>
      </w:pPr>
      <w:r>
        <w:t>Automated epilepsy and seizure type phenotyping with pre-trained language models. 2026. Evidence used here: outpatient epilepsy notes were annotated for epilepsy and seizure phenotypes at granular and broader mapped label levels.</w:t>
      </w:r>
    </w:p>
    <w:p>
      <w:pPr>
        <w:pStyle w:val="ListBullet"/>
      </w:pPr>
      <w:r>
        <w:t>Internal MedAI specifications: Phase 3B Source Taxonomy Reconstruction; Phase 3C Clinical Document Phenotype Model; Phase 3D/4.1 Application Profile and Value-Set Closure; Phase 4 Evidence-Backed Annotation Manual; Phase 5 Synthetic Patient and Event Model; Phases 6A–6D generation/validation specifications.</w:t>
      </w:r>
    </w:p>
    <w:p>
      <w:pPr>
        <w:pStyle w:val="Heading1"/>
      </w:pPr>
      <w:r>
        <w:t>19. Immediate implementation sequence</w:t>
      </w:r>
    </w:p>
    <w:p>
      <w:pPr>
        <w:pStyle w:val="ListNumber"/>
      </w:pPr>
      <w:r>
        <w:t>Freeze Phase 4A source set and extract source-native annotation rules.</w:t>
      </w:r>
    </w:p>
    <w:p>
      <w:pPr>
        <w:pStyle w:val="ListNumber"/>
      </w:pPr>
      <w:r>
        <w:t>Build the Phase 4A evidence/crosswalk artifacts.</w:t>
      </w:r>
    </w:p>
    <w:p>
      <w:pPr>
        <w:pStyle w:val="ListNumber"/>
      </w:pPr>
      <w:r>
        <w:t>Freeze Phase 4B MedAI Annotation Application Profile.</w:t>
      </w:r>
    </w:p>
    <w:p>
      <w:pPr>
        <w:pStyle w:val="ListNumber"/>
      </w:pPr>
      <w:r>
        <w:t>Update the master documentation hierarchy to add 4A and 4B.</w:t>
      </w:r>
    </w:p>
    <w:p>
      <w:pPr>
        <w:pStyle w:val="ListNumber"/>
      </w:pPr>
      <w:r>
        <w:t>Expand Phase 6D.3 from generic claim adjudication into rendered-evidence annotation + generation-error adjudication.</w:t>
      </w:r>
    </w:p>
    <w:p>
      <w:pPr>
        <w:pStyle w:val="ListNumber"/>
      </w:pPr>
      <w:r>
        <w:t>Run Phase 6D.2 generation only after the annotation/evaluation definitions required for 6D.3 are sufficiently frozen.</w:t>
      </w:r>
    </w:p>
    <w:p>
      <w:pPr>
        <w:pStyle w:val="ListNumber"/>
      </w:pPr>
      <w:r>
        <w:t>Use pilot outputs to validate the annotation workflow before scaling Phase 7.</w:t>
      </w:r>
    </w:p>
    <w:sectPr w:rsidR="00FC693F" w:rsidRPr="0006063C" w:rsidSect="00034616">
      <w:pgSz w:w="12240" w:h="15840"/>
      <w:pgMar w:top="893" w:right="979" w:bottom="893"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472C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