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365D"/>
          <w:sz w:val="68"/>
        </w:rPr>
        <w:t>MedAI</w:t>
      </w:r>
    </w:p>
    <w:p>
      <w:pPr>
        <w:jc w:val="center"/>
      </w:pPr>
      <w:r>
        <w:rPr>
          <w:b/>
          <w:color w:val="2F5597"/>
          <w:sz w:val="46"/>
        </w:rPr>
        <w:t>Epilepsy Ontology &amp; Phenotype Schema Specification</w:t>
      </w:r>
    </w:p>
    <w:p>
      <w:pPr>
        <w:jc w:val="center"/>
      </w:pPr>
      <w:r>
        <w:rPr>
          <w:color w:val="505050"/>
          <w:sz w:val="26"/>
        </w:rPr>
        <w:t>Standards-informed architecture for synthetic data generation,</w:t>
        <w:br/>
        <w:t>evidence-grounded clinical NLP, and research-grade structured phenotyping</w:t>
      </w:r>
    </w:p>
    <w:p/>
    <w:p>
      <w:pPr>
        <w:jc w:val="center"/>
      </w:pPr>
      <w:r>
        <w:rPr>
          <w:sz w:val="22"/>
        </w:rPr>
        <w:t>Foundation: ILAE + NINDS Epilepsy CDEs + EpSO</w:t>
        <w:br/>
        <w:t>Normalization: RxNorm + SNOMED CT + RadLex + EEG terminology</w:t>
        <w:br/>
        <w:t>Interoperability target: OMOP/OHDSI-compatible research exports</w:t>
      </w:r>
    </w:p>
    <w:p/>
    <w:p>
      <w:pPr>
        <w:jc w:val="center"/>
      </w:pPr>
      <w:r>
        <w:rPr>
          <w:i/>
          <w:sz w:val="20"/>
        </w:rPr>
        <w:t>Version 0.1 • September 2026</w:t>
      </w:r>
    </w:p>
    <w:p>
      <w:r>
        <w:br w:type="page"/>
      </w:r>
    </w:p>
    <w:p>
      <w:pPr>
        <w:pStyle w:val="Heading1"/>
      </w:pPr>
      <w:r>
        <w:t>Executive summary</w:t>
      </w:r>
    </w:p>
    <w:p>
      <w:r>
        <w:t>This document defines the proposed standards-informed ontology and phenotype schema for MedAI, an epilepsy-focused clinical information extraction and research data platform. The design deliberately does not create a competing epilepsy ontology. Instead, it defines a MedAI application profile that harmonizes established clinical classifications, research common data elements, domain ontologies, and biomedical terminologies into a machine-readable schema suitable for synthetic patient generation, clinical-document phenotyping, evidence provenance, human review, and downstream research.</w:t>
      </w:r>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sz w:val="19"/>
              </w:rPr>
              <w:t>Core design principle</w:t>
              <w:br/>
            </w:r>
            <w:r>
              <w:rPr>
                <w:sz w:val="17"/>
              </w:rPr>
              <w:t>Clinical meaning should come from authoritative epilepsy standards; research variables should be aligned to established CDEs; formal relationships should reuse EpSO where possible; terminology normalization should use established biomedical vocabularies; MedAI should add only the application-specific assertion, evidence, temporal, provenance, and review layers needed for NLP and research workflows.</w:t>
            </w:r>
          </w:p>
        </w:tc>
      </w:tr>
    </w:tbl>
    <w:p/>
    <w:p>
      <w:pPr>
        <w:pStyle w:val="Heading1"/>
      </w:pPr>
      <w:r>
        <w:t>1. Architecture at a glance</w:t>
      </w:r>
    </w:p>
    <w:p>
      <w:pPr>
        <w:pStyle w:val="CodeBlock"/>
      </w:pPr>
      <w:r>
        <w:t xml:space="preserve">                         MedAI Schema</w:t>
        <w:br/>
        <w:t xml:space="preserve">                              |</w:t>
        <w:br/>
        <w:t xml:space="preserve">          +-------------------+-------------------+</w:t>
        <w:br/>
        <w:t xml:space="preserve">          |                   |                   |</w:t>
        <w:br/>
        <w:t xml:space="preserve">        ILAE                NINDS                EpSO</w:t>
        <w:br/>
        <w:t xml:space="preserve">  Clinical meaning       Research CDEs      Relationships</w:t>
        <w:br/>
        <w:t xml:space="preserve">          |                   |                   |</w:t>
        <w:br/>
        <w:t xml:space="preserve">          +-------------------+-------------------+</w:t>
        <w:br/>
        <w:t xml:space="preserve">                              |</w:t>
        <w:br/>
        <w:t xml:space="preserve">                     Normalization layer</w:t>
        <w:br/>
        <w:t xml:space="preserve">                              |</w:t>
        <w:br/>
        <w:t xml:space="preserve">          +-------------------+-------------------+</w:t>
        <w:br/>
        <w:t xml:space="preserve">          |                   |                   |</w:t>
        <w:br/>
        <w:t xml:space="preserve">       RxNorm              SNOMED CT            RadLex</w:t>
        <w:br/>
        <w:t xml:space="preserve">    medications         clinical concepts       imaging</w:t>
        <w:br/>
        <w:t xml:space="preserve">                              |</w:t>
        <w:br/>
        <w:t xml:space="preserve">                              v</w:t>
        <w:br/>
        <w:t xml:space="preserve">                       EEG terminology</w:t>
        <w:br/>
        <w:t xml:space="preserve">                        ACNS / SCORE / etc.</w:t>
        <w:br/>
        <w:t xml:space="preserve">                              |</w:t>
        <w:br/>
        <w:t xml:space="preserve">                              v</w:t>
        <w:br/>
        <w:t xml:space="preserve">                 MedAI phenotype assertions</w:t>
        <w:br/>
        <w:t xml:space="preserve">        value + certainty + negation + temporality</w:t>
        <w:br/>
        <w:t xml:space="preserve">       + evidence + source + provenance + human review</w:t>
        <w:br/>
        <w:t xml:space="preserve">                              |</w:t>
        <w:br/>
        <w:t xml:space="preserve">                              v</w:t>
        <w:br/>
        <w:t xml:space="preserve">       Synthetic benchmark / clinical extraction / research</w:t>
        <w:br/>
        <w:t xml:space="preserve">                              |</w:t>
        <w:br/>
        <w:t xml:space="preserve">                              v</w:t>
        <w:br/>
        <w:t xml:space="preserve">                 CSV / JSON / REDCap / OMOP</w:t>
      </w:r>
    </w:p>
    <w:p>
      <w:pPr>
        <w:pStyle w:val="Heading1"/>
      </w:pPr>
      <w:r>
        <w:t>2. Scope and intended use</w:t>
      </w:r>
    </w:p>
    <w:p>
      <w:pPr>
        <w:pStyle w:val="ListBullet"/>
        <w:ind w:left="360" w:hanging="173"/>
      </w:pPr>
      <w:r>
        <w:t>Primary scope: epilepsy phenotyping from heterogeneous text documents, including epilepsy/neurology progress notes, EEG/EMU reports, MRI reports, presurgical evaluations, discharge summaries, procedure notes, and multidisciplinary conference notes.</w:t>
      </w:r>
    </w:p>
    <w:p>
      <w:pPr>
        <w:pStyle w:val="ListBullet"/>
        <w:ind w:left="360" w:hanging="173"/>
      </w:pPr>
      <w:r>
        <w:t>Secondary scope: generation of knowledge-constrained synthetic patients and documents with known latent ground truth.</w:t>
      </w:r>
    </w:p>
    <w:p>
      <w:pPr>
        <w:pStyle w:val="ListBullet"/>
        <w:ind w:left="360" w:hanging="173"/>
      </w:pPr>
      <w:r>
        <w:t>Research outputs: patient-level and event-level structured datasets, cohort definitions, longitudinal phenotypes, and multimodal research features.</w:t>
      </w:r>
    </w:p>
    <w:p>
      <w:pPr>
        <w:pStyle w:val="ListBullet"/>
        <w:ind w:left="360" w:hanging="173"/>
      </w:pPr>
      <w:r>
        <w:t>Initial status: research-use-only specification. It is not a diagnostic rule set and should not be represented as an autonomous clinical decision-support standard without prospective clinical validation.</w:t>
      </w:r>
    </w:p>
    <w:p>
      <w:pPr>
        <w:pStyle w:val="ListBullet"/>
        <w:ind w:left="360" w:hanging="173"/>
      </w:pPr>
      <w:r>
        <w:t>Design goal: model-agnostic. Med42, DeepSeek, future LLMs, rules, or encoder models should all map into the same phenotype assertion schema.</w:t>
      </w:r>
    </w:p>
    <w:p>
      <w:pPr>
        <w:pStyle w:val="Heading1"/>
      </w:pPr>
      <w:r>
        <w:t>3. Standards foundation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shd w:fill="D9EAF7"/>
            <w:vAlign w:val="center"/>
          </w:tcPr>
          <w:p>
            <w:pPr>
              <w:spacing w:after="0"/>
            </w:pPr>
            <w:r/>
            <w:r>
              <w:rPr>
                <w:rFonts w:ascii="Aptos" w:hAnsi="Aptos"/>
                <w:b/>
                <w:sz w:val="16"/>
              </w:rPr>
              <w:t>Standard/resource</w:t>
            </w:r>
          </w:p>
        </w:tc>
        <w:tc>
          <w:tcPr>
            <w:tcW w:type="dxa" w:w="2088"/>
            <w:shd w:fill="D9EAF7"/>
            <w:vAlign w:val="center"/>
          </w:tcPr>
          <w:p>
            <w:pPr>
              <w:spacing w:after="0"/>
            </w:pPr>
            <w:r/>
            <w:r>
              <w:rPr>
                <w:rFonts w:ascii="Aptos" w:hAnsi="Aptos"/>
                <w:b/>
                <w:sz w:val="16"/>
              </w:rPr>
              <w:t>Primary role in MedAI</w:t>
            </w:r>
          </w:p>
        </w:tc>
        <w:tc>
          <w:tcPr>
            <w:tcW w:type="dxa" w:w="3528"/>
            <w:shd w:fill="D9EAF7"/>
            <w:vAlign w:val="center"/>
          </w:tcPr>
          <w:p>
            <w:pPr>
              <w:spacing w:after="0"/>
            </w:pPr>
            <w:r/>
            <w:r>
              <w:rPr>
                <w:rFonts w:ascii="Aptos" w:hAnsi="Aptos"/>
                <w:b/>
                <w:sz w:val="16"/>
              </w:rPr>
              <w:t>What MedAI should inherit</w:t>
            </w:r>
          </w:p>
        </w:tc>
        <w:tc>
          <w:tcPr>
            <w:tcW w:type="dxa" w:w="3096"/>
            <w:shd w:fill="D9EAF7"/>
            <w:vAlign w:val="center"/>
          </w:tcPr>
          <w:p>
            <w:pPr>
              <w:spacing w:after="0"/>
            </w:pPr>
            <w:r/>
            <w:r>
              <w:rPr>
                <w:rFonts w:ascii="Aptos" w:hAnsi="Aptos"/>
                <w:b/>
                <w:sz w:val="16"/>
              </w:rPr>
              <w:t>What MedAI should not assume</w:t>
            </w:r>
          </w:p>
        </w:tc>
      </w:tr>
      <w:tr>
        <w:tc>
          <w:tcPr>
            <w:tcW w:type="dxa" w:w="1800"/>
            <w:vAlign w:val="top"/>
          </w:tcPr>
          <w:p>
            <w:pPr>
              <w:spacing w:after="0"/>
            </w:pPr>
            <w:r/>
            <w:r>
              <w:rPr>
                <w:rFonts w:ascii="Aptos" w:hAnsi="Aptos"/>
                <w:b w:val="0"/>
                <w:sz w:val="15"/>
              </w:rPr>
              <w:t>ILAE classifications</w:t>
            </w:r>
          </w:p>
        </w:tc>
        <w:tc>
          <w:tcPr>
            <w:tcW w:type="dxa" w:w="2088"/>
            <w:vAlign w:val="top"/>
          </w:tcPr>
          <w:p>
            <w:pPr>
              <w:spacing w:after="0"/>
            </w:pPr>
            <w:r/>
            <w:r>
              <w:rPr>
                <w:rFonts w:ascii="Aptos" w:hAnsi="Aptos"/>
                <w:b w:val="0"/>
                <w:sz w:val="15"/>
              </w:rPr>
              <w:t>Clinical semantic authority</w:t>
            </w:r>
          </w:p>
        </w:tc>
        <w:tc>
          <w:tcPr>
            <w:tcW w:type="dxa" w:w="3528"/>
            <w:vAlign w:val="top"/>
          </w:tcPr>
          <w:p>
            <w:pPr>
              <w:spacing w:after="0"/>
            </w:pPr>
            <w:r/>
            <w:r>
              <w:rPr>
                <w:rFonts w:ascii="Aptos" w:hAnsi="Aptos"/>
                <w:b w:val="0"/>
                <w:sz w:val="15"/>
              </w:rPr>
              <w:t>Seizure classes/descriptors; epilepsy type/syndrome concepts; etiology framework; DRE and pathology classifications where applicable</w:t>
            </w:r>
          </w:p>
        </w:tc>
        <w:tc>
          <w:tcPr>
            <w:tcW w:type="dxa" w:w="3096"/>
            <w:vAlign w:val="top"/>
          </w:tcPr>
          <w:p>
            <w:pPr>
              <w:spacing w:after="0"/>
            </w:pPr>
            <w:r/>
            <w:r>
              <w:rPr>
                <w:rFonts w:ascii="Aptos" w:hAnsi="Aptos"/>
                <w:b w:val="0"/>
                <w:sz w:val="15"/>
              </w:rPr>
              <w:t>That every free-text phrase maps unambiguously without context</w:t>
            </w:r>
          </w:p>
        </w:tc>
      </w:tr>
      <w:tr>
        <w:tc>
          <w:tcPr>
            <w:tcW w:type="dxa" w:w="1800"/>
            <w:vAlign w:val="top"/>
          </w:tcPr>
          <w:p>
            <w:pPr>
              <w:spacing w:after="0"/>
            </w:pPr>
            <w:r/>
            <w:r>
              <w:rPr>
                <w:rFonts w:ascii="Aptos" w:hAnsi="Aptos"/>
                <w:b w:val="0"/>
                <w:sz w:val="15"/>
              </w:rPr>
              <w:t>NINDS Epilepsy CDEs</w:t>
            </w:r>
          </w:p>
        </w:tc>
        <w:tc>
          <w:tcPr>
            <w:tcW w:type="dxa" w:w="2088"/>
            <w:vAlign w:val="top"/>
          </w:tcPr>
          <w:p>
            <w:pPr>
              <w:spacing w:after="0"/>
            </w:pPr>
            <w:r/>
            <w:r>
              <w:rPr>
                <w:rFonts w:ascii="Aptos" w:hAnsi="Aptos"/>
                <w:b w:val="0"/>
                <w:sz w:val="15"/>
              </w:rPr>
              <w:t>Research data-element design</w:t>
            </w:r>
          </w:p>
        </w:tc>
        <w:tc>
          <w:tcPr>
            <w:tcW w:type="dxa" w:w="3528"/>
            <w:vAlign w:val="top"/>
          </w:tcPr>
          <w:p>
            <w:pPr>
              <w:spacing w:after="0"/>
            </w:pPr>
            <w:r/>
            <w:r>
              <w:rPr>
                <w:rFonts w:ascii="Aptos" w:hAnsi="Aptos"/>
                <w:b w:val="0"/>
                <w:sz w:val="15"/>
              </w:rPr>
              <w:t>Research-ready variable definitions, CRF organization, core/highly recommended/supplemental prioritization</w:t>
            </w:r>
          </w:p>
        </w:tc>
        <w:tc>
          <w:tcPr>
            <w:tcW w:type="dxa" w:w="3096"/>
            <w:vAlign w:val="top"/>
          </w:tcPr>
          <w:p>
            <w:pPr>
              <w:spacing w:after="0"/>
            </w:pPr>
            <w:r/>
            <w:r>
              <w:rPr>
                <w:rFonts w:ascii="Aptos" w:hAnsi="Aptos"/>
                <w:b w:val="0"/>
                <w:sz w:val="15"/>
              </w:rPr>
              <w:t>That all CDEs are extractable from notes or needed in v1</w:t>
            </w:r>
          </w:p>
        </w:tc>
      </w:tr>
      <w:tr>
        <w:tc>
          <w:tcPr>
            <w:tcW w:type="dxa" w:w="1800"/>
            <w:vAlign w:val="top"/>
          </w:tcPr>
          <w:p>
            <w:pPr>
              <w:spacing w:after="0"/>
            </w:pPr>
            <w:r/>
            <w:r>
              <w:rPr>
                <w:rFonts w:ascii="Aptos" w:hAnsi="Aptos"/>
                <w:b w:val="0"/>
                <w:sz w:val="15"/>
              </w:rPr>
              <w:t>EpSO</w:t>
            </w:r>
          </w:p>
        </w:tc>
        <w:tc>
          <w:tcPr>
            <w:tcW w:type="dxa" w:w="2088"/>
            <w:vAlign w:val="top"/>
          </w:tcPr>
          <w:p>
            <w:pPr>
              <w:spacing w:after="0"/>
            </w:pPr>
            <w:r/>
            <w:r>
              <w:rPr>
                <w:rFonts w:ascii="Aptos" w:hAnsi="Aptos"/>
                <w:b w:val="0"/>
                <w:sz w:val="15"/>
              </w:rPr>
              <w:t>Epilepsy domain ontology</w:t>
            </w:r>
          </w:p>
        </w:tc>
        <w:tc>
          <w:tcPr>
            <w:tcW w:type="dxa" w:w="3528"/>
            <w:vAlign w:val="top"/>
          </w:tcPr>
          <w:p>
            <w:pPr>
              <w:spacing w:after="0"/>
            </w:pPr>
            <w:r/>
            <w:r>
              <w:rPr>
                <w:rFonts w:ascii="Aptos" w:hAnsi="Aptos"/>
                <w:b w:val="0"/>
                <w:sz w:val="15"/>
              </w:rPr>
              <w:t>Formal epilepsy relationships, synonyms, seizure/syndrome/etiology/electrophysiology/medication/anatomy concepts</w:t>
            </w:r>
          </w:p>
        </w:tc>
        <w:tc>
          <w:tcPr>
            <w:tcW w:type="dxa" w:w="3096"/>
            <w:vAlign w:val="top"/>
          </w:tcPr>
          <w:p>
            <w:pPr>
              <w:spacing w:after="0"/>
            </w:pPr>
            <w:r/>
            <w:r>
              <w:rPr>
                <w:rFonts w:ascii="Aptos" w:hAnsi="Aptos"/>
                <w:b w:val="0"/>
                <w:sz w:val="15"/>
              </w:rPr>
              <w:t>That EpSO alone supplies NLP provenance, temporality, or document evidence</w:t>
            </w:r>
          </w:p>
        </w:tc>
      </w:tr>
      <w:tr>
        <w:tc>
          <w:tcPr>
            <w:tcW w:type="dxa" w:w="1800"/>
            <w:vAlign w:val="top"/>
          </w:tcPr>
          <w:p>
            <w:pPr>
              <w:spacing w:after="0"/>
            </w:pPr>
            <w:r/>
            <w:r>
              <w:rPr>
                <w:rFonts w:ascii="Aptos" w:hAnsi="Aptos"/>
                <w:b w:val="0"/>
                <w:sz w:val="15"/>
              </w:rPr>
              <w:t>SNOMED CT</w:t>
            </w:r>
          </w:p>
        </w:tc>
        <w:tc>
          <w:tcPr>
            <w:tcW w:type="dxa" w:w="2088"/>
            <w:vAlign w:val="top"/>
          </w:tcPr>
          <w:p>
            <w:pPr>
              <w:spacing w:after="0"/>
            </w:pPr>
            <w:r/>
            <w:r>
              <w:rPr>
                <w:rFonts w:ascii="Aptos" w:hAnsi="Aptos"/>
                <w:b w:val="0"/>
                <w:sz w:val="15"/>
              </w:rPr>
              <w:t>General clinical terminology</w:t>
            </w:r>
          </w:p>
        </w:tc>
        <w:tc>
          <w:tcPr>
            <w:tcW w:type="dxa" w:w="3528"/>
            <w:vAlign w:val="top"/>
          </w:tcPr>
          <w:p>
            <w:pPr>
              <w:spacing w:after="0"/>
            </w:pPr>
            <w:r/>
            <w:r>
              <w:rPr>
                <w:rFonts w:ascii="Aptos" w:hAnsi="Aptos"/>
                <w:b w:val="0"/>
                <w:sz w:val="15"/>
              </w:rPr>
              <w:t>Normalized clinical concepts and mappings where licensed/available</w:t>
            </w:r>
          </w:p>
        </w:tc>
        <w:tc>
          <w:tcPr>
            <w:tcW w:type="dxa" w:w="3096"/>
            <w:vAlign w:val="top"/>
          </w:tcPr>
          <w:p>
            <w:pPr>
              <w:spacing w:after="0"/>
            </w:pPr>
            <w:r/>
            <w:r>
              <w:rPr>
                <w:rFonts w:ascii="Aptos" w:hAnsi="Aptos"/>
                <w:b w:val="0"/>
                <w:sz w:val="15"/>
              </w:rPr>
              <w:t>That SNOMED replaces ILAE's specialty semantics</w:t>
            </w:r>
          </w:p>
        </w:tc>
      </w:tr>
      <w:tr>
        <w:tc>
          <w:tcPr>
            <w:tcW w:type="dxa" w:w="1800"/>
            <w:vAlign w:val="top"/>
          </w:tcPr>
          <w:p>
            <w:pPr>
              <w:spacing w:after="0"/>
            </w:pPr>
            <w:r/>
            <w:r>
              <w:rPr>
                <w:rFonts w:ascii="Aptos" w:hAnsi="Aptos"/>
                <w:b w:val="0"/>
                <w:sz w:val="15"/>
              </w:rPr>
              <w:t>RxNorm</w:t>
            </w:r>
          </w:p>
        </w:tc>
        <w:tc>
          <w:tcPr>
            <w:tcW w:type="dxa" w:w="2088"/>
            <w:vAlign w:val="top"/>
          </w:tcPr>
          <w:p>
            <w:pPr>
              <w:spacing w:after="0"/>
            </w:pPr>
            <w:r/>
            <w:r>
              <w:rPr>
                <w:rFonts w:ascii="Aptos" w:hAnsi="Aptos"/>
                <w:b w:val="0"/>
                <w:sz w:val="15"/>
              </w:rPr>
              <w:t>Medication normalization</w:t>
            </w:r>
          </w:p>
        </w:tc>
        <w:tc>
          <w:tcPr>
            <w:tcW w:type="dxa" w:w="3528"/>
            <w:vAlign w:val="top"/>
          </w:tcPr>
          <w:p>
            <w:pPr>
              <w:spacing w:after="0"/>
            </w:pPr>
            <w:r/>
            <w:r>
              <w:rPr>
                <w:rFonts w:ascii="Aptos" w:hAnsi="Aptos"/>
                <w:b w:val="0"/>
                <w:sz w:val="15"/>
              </w:rPr>
              <w:t>Generic/brand drug normalization and RXCUI identifiers</w:t>
            </w:r>
          </w:p>
        </w:tc>
        <w:tc>
          <w:tcPr>
            <w:tcW w:type="dxa" w:w="3096"/>
            <w:vAlign w:val="top"/>
          </w:tcPr>
          <w:p>
            <w:pPr>
              <w:spacing w:after="0"/>
            </w:pPr>
            <w:r/>
            <w:r>
              <w:rPr>
                <w:rFonts w:ascii="Aptos" w:hAnsi="Aptos"/>
                <w:b w:val="0"/>
                <w:sz w:val="15"/>
              </w:rPr>
              <w:t>Treatment response, adherence, or failure without clinical context</w:t>
            </w:r>
          </w:p>
        </w:tc>
      </w:tr>
      <w:tr>
        <w:tc>
          <w:tcPr>
            <w:tcW w:type="dxa" w:w="1800"/>
            <w:vAlign w:val="top"/>
          </w:tcPr>
          <w:p>
            <w:pPr>
              <w:spacing w:after="0"/>
            </w:pPr>
            <w:r/>
            <w:r>
              <w:rPr>
                <w:rFonts w:ascii="Aptos" w:hAnsi="Aptos"/>
                <w:b w:val="0"/>
                <w:sz w:val="15"/>
              </w:rPr>
              <w:t>RadLex</w:t>
            </w:r>
          </w:p>
        </w:tc>
        <w:tc>
          <w:tcPr>
            <w:tcW w:type="dxa" w:w="2088"/>
            <w:vAlign w:val="top"/>
          </w:tcPr>
          <w:p>
            <w:pPr>
              <w:spacing w:after="0"/>
            </w:pPr>
            <w:r/>
            <w:r>
              <w:rPr>
                <w:rFonts w:ascii="Aptos" w:hAnsi="Aptos"/>
                <w:b w:val="0"/>
                <w:sz w:val="15"/>
              </w:rPr>
              <w:t>Imaging terminology</w:t>
            </w:r>
          </w:p>
        </w:tc>
        <w:tc>
          <w:tcPr>
            <w:tcW w:type="dxa" w:w="3528"/>
            <w:vAlign w:val="top"/>
          </w:tcPr>
          <w:p>
            <w:pPr>
              <w:spacing w:after="0"/>
            </w:pPr>
            <w:r/>
            <w:r>
              <w:rPr>
                <w:rFonts w:ascii="Aptos" w:hAnsi="Aptos"/>
                <w:b w:val="0"/>
                <w:sz w:val="15"/>
              </w:rPr>
              <w:t>Radiology anatomy/findings/procedure terminology and imaging synonyms</w:t>
            </w:r>
          </w:p>
        </w:tc>
        <w:tc>
          <w:tcPr>
            <w:tcW w:type="dxa" w:w="3096"/>
            <w:vAlign w:val="top"/>
          </w:tcPr>
          <w:p>
            <w:pPr>
              <w:spacing w:after="0"/>
            </w:pPr>
            <w:r/>
            <w:r>
              <w:rPr>
                <w:rFonts w:ascii="Aptos" w:hAnsi="Aptos"/>
                <w:b w:val="0"/>
                <w:sz w:val="15"/>
              </w:rPr>
              <w:t>A complete epilepsy-specific MRI interpretation ontology</w:t>
            </w:r>
          </w:p>
        </w:tc>
      </w:tr>
      <w:tr>
        <w:tc>
          <w:tcPr>
            <w:tcW w:type="dxa" w:w="1800"/>
            <w:vAlign w:val="top"/>
          </w:tcPr>
          <w:p>
            <w:pPr>
              <w:spacing w:after="0"/>
            </w:pPr>
            <w:r/>
            <w:r>
              <w:rPr>
                <w:rFonts w:ascii="Aptos" w:hAnsi="Aptos"/>
                <w:b w:val="0"/>
                <w:sz w:val="15"/>
              </w:rPr>
              <w:t>ACNS/SCORE/EEG standards</w:t>
            </w:r>
          </w:p>
        </w:tc>
        <w:tc>
          <w:tcPr>
            <w:tcW w:type="dxa" w:w="2088"/>
            <w:vAlign w:val="top"/>
          </w:tcPr>
          <w:p>
            <w:pPr>
              <w:spacing w:after="0"/>
            </w:pPr>
            <w:r/>
            <w:r>
              <w:rPr>
                <w:rFonts w:ascii="Aptos" w:hAnsi="Aptos"/>
                <w:b w:val="0"/>
                <w:sz w:val="15"/>
              </w:rPr>
              <w:t>EEG terminology</w:t>
            </w:r>
          </w:p>
        </w:tc>
        <w:tc>
          <w:tcPr>
            <w:tcW w:type="dxa" w:w="3528"/>
            <w:vAlign w:val="top"/>
          </w:tcPr>
          <w:p>
            <w:pPr>
              <w:spacing w:after="0"/>
            </w:pPr>
            <w:r/>
            <w:r>
              <w:rPr>
                <w:rFonts w:ascii="Aptos" w:hAnsi="Aptos"/>
                <w:b w:val="0"/>
                <w:sz w:val="15"/>
              </w:rPr>
              <w:t>Standard EEG descriptors, patterns, seizures, reporting concepts</w:t>
            </w:r>
          </w:p>
        </w:tc>
        <w:tc>
          <w:tcPr>
            <w:tcW w:type="dxa" w:w="3096"/>
            <w:vAlign w:val="top"/>
          </w:tcPr>
          <w:p>
            <w:pPr>
              <w:spacing w:after="0"/>
            </w:pPr>
            <w:r/>
            <w:r>
              <w:rPr>
                <w:rFonts w:ascii="Aptos" w:hAnsi="Aptos"/>
                <w:b w:val="0"/>
                <w:sz w:val="15"/>
              </w:rPr>
              <w:t>That critical-care EEG terminology covers all outpatient/EMU epilepsy reporting</w:t>
            </w:r>
          </w:p>
        </w:tc>
      </w:tr>
      <w:tr>
        <w:tc>
          <w:tcPr>
            <w:tcW w:type="dxa" w:w="1800"/>
            <w:vAlign w:val="top"/>
          </w:tcPr>
          <w:p>
            <w:pPr>
              <w:spacing w:after="0"/>
            </w:pPr>
            <w:r/>
            <w:r>
              <w:rPr>
                <w:rFonts w:ascii="Aptos" w:hAnsi="Aptos"/>
                <w:b w:val="0"/>
                <w:sz w:val="15"/>
              </w:rPr>
              <w:t>OMOP/OHDSI</w:t>
            </w:r>
          </w:p>
        </w:tc>
        <w:tc>
          <w:tcPr>
            <w:tcW w:type="dxa" w:w="2088"/>
            <w:vAlign w:val="top"/>
          </w:tcPr>
          <w:p>
            <w:pPr>
              <w:spacing w:after="0"/>
            </w:pPr>
            <w:r/>
            <w:r>
              <w:rPr>
                <w:rFonts w:ascii="Aptos" w:hAnsi="Aptos"/>
                <w:b w:val="0"/>
                <w:sz w:val="15"/>
              </w:rPr>
              <w:t>Downstream interoperability</w:t>
            </w:r>
          </w:p>
        </w:tc>
        <w:tc>
          <w:tcPr>
            <w:tcW w:type="dxa" w:w="3528"/>
            <w:vAlign w:val="top"/>
          </w:tcPr>
          <w:p>
            <w:pPr>
              <w:spacing w:after="0"/>
            </w:pPr>
            <w:r/>
            <w:r>
              <w:rPr>
                <w:rFonts w:ascii="Aptos" w:hAnsi="Aptos"/>
                <w:b w:val="0"/>
                <w:sz w:val="15"/>
              </w:rPr>
              <w:t>Standardized observational research representation and vocabulary mappings</w:t>
            </w:r>
          </w:p>
        </w:tc>
        <w:tc>
          <w:tcPr>
            <w:tcW w:type="dxa" w:w="3096"/>
            <w:vAlign w:val="top"/>
          </w:tcPr>
          <w:p>
            <w:pPr>
              <w:spacing w:after="0"/>
            </w:pPr>
            <w:r/>
            <w:r>
              <w:rPr>
                <w:rFonts w:ascii="Aptos" w:hAnsi="Aptos"/>
                <w:b w:val="0"/>
                <w:sz w:val="15"/>
              </w:rPr>
              <w:t>That every nuanced NLP assertion maps losslessly into one OMOP concept</w:t>
            </w:r>
          </w:p>
        </w:tc>
      </w:tr>
    </w:tbl>
    <w:p/>
    <w:p>
      <w:pPr>
        <w:pStyle w:val="Heading1"/>
      </w:pPr>
      <w:r>
        <w:t>4. ILAE clinical-semantic layer</w:t>
      </w:r>
    </w:p>
    <w:p>
      <w:r>
        <w:t>The International League Against Epilepsy (ILAE) should be treated as the principal source for epilepsy-specific clinical definitions and classification. The 2025 seizure classification retains four main classes—focal, generalized, unknown whether focal or generalized, and unclassified—and distinguishes classifiers from semiological descriptors. MedAI should preserve the source wording while normalizing to the current canonical concept and, where useful, historical terminology.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pPr>
            <w:r/>
            <w:r>
              <w:rPr>
                <w:rFonts w:ascii="Aptos" w:hAnsi="Aptos"/>
                <w:b/>
                <w:sz w:val="16"/>
              </w:rPr>
              <w:t>Domain</w:t>
            </w:r>
          </w:p>
        </w:tc>
        <w:tc>
          <w:tcPr>
            <w:tcW w:type="dxa" w:w="3389"/>
            <w:shd w:fill="D9EAF7"/>
            <w:vAlign w:val="center"/>
          </w:tcPr>
          <w:p>
            <w:pPr>
              <w:spacing w:after="0"/>
            </w:pPr>
            <w:r/>
            <w:r>
              <w:rPr>
                <w:rFonts w:ascii="Aptos" w:hAnsi="Aptos"/>
                <w:b/>
                <w:sz w:val="16"/>
              </w:rPr>
              <w:t>Canonical MedAI representation</w:t>
            </w:r>
          </w:p>
        </w:tc>
        <w:tc>
          <w:tcPr>
            <w:tcW w:type="dxa" w:w="3389"/>
            <w:shd w:fill="D9EAF7"/>
            <w:vAlign w:val="center"/>
          </w:tcPr>
          <w:p>
            <w:pPr>
              <w:spacing w:after="0"/>
            </w:pPr>
            <w:r/>
            <w:r>
              <w:rPr>
                <w:rFonts w:ascii="Aptos" w:hAnsi="Aptos"/>
                <w:b/>
                <w:sz w:val="16"/>
              </w:rPr>
              <w:t>Important attributes</w:t>
            </w:r>
          </w:p>
        </w:tc>
      </w:tr>
      <w:tr>
        <w:tc>
          <w:tcPr>
            <w:tcW w:type="dxa" w:w="3389"/>
            <w:vAlign w:val="top"/>
          </w:tcPr>
          <w:p>
            <w:pPr>
              <w:spacing w:after="0"/>
            </w:pPr>
            <w:r/>
            <w:r>
              <w:rPr>
                <w:rFonts w:ascii="Aptos" w:hAnsi="Aptos"/>
                <w:b w:val="0"/>
                <w:sz w:val="15"/>
              </w:rPr>
              <w:t>Seizure classification</w:t>
            </w:r>
          </w:p>
        </w:tc>
        <w:tc>
          <w:tcPr>
            <w:tcW w:type="dxa" w:w="3389"/>
            <w:vAlign w:val="top"/>
          </w:tcPr>
          <w:p>
            <w:pPr>
              <w:spacing w:after="0"/>
            </w:pPr>
            <w:r/>
            <w:r>
              <w:rPr>
                <w:rFonts w:ascii="Aptos" w:hAnsi="Aptos"/>
                <w:b w:val="0"/>
                <w:sz w:val="15"/>
              </w:rPr>
              <w:t>Focal; generalized; unknown whether focal/generalized; unclassified; supported seizure types</w:t>
            </w:r>
          </w:p>
        </w:tc>
        <w:tc>
          <w:tcPr>
            <w:tcW w:type="dxa" w:w="3389"/>
            <w:vAlign w:val="top"/>
          </w:tcPr>
          <w:p>
            <w:pPr>
              <w:spacing w:after="0"/>
            </w:pPr>
            <w:r/>
            <w:r>
              <w:rPr>
                <w:rFonts w:ascii="Aptos" w:hAnsi="Aptos"/>
                <w:b w:val="0"/>
                <w:sz w:val="15"/>
              </w:rPr>
              <w:t>consciousness; manifestations; chronological semiology; certainty; source</w:t>
            </w:r>
          </w:p>
        </w:tc>
      </w:tr>
      <w:tr>
        <w:tc>
          <w:tcPr>
            <w:tcW w:type="dxa" w:w="3389"/>
            <w:vAlign w:val="top"/>
          </w:tcPr>
          <w:p>
            <w:pPr>
              <w:spacing w:after="0"/>
            </w:pPr>
            <w:r/>
            <w:r>
              <w:rPr>
                <w:rFonts w:ascii="Aptos" w:hAnsi="Aptos"/>
                <w:b w:val="0"/>
                <w:sz w:val="15"/>
              </w:rPr>
              <w:t>Epilepsy type</w:t>
            </w:r>
          </w:p>
        </w:tc>
        <w:tc>
          <w:tcPr>
            <w:tcW w:type="dxa" w:w="3389"/>
            <w:vAlign w:val="top"/>
          </w:tcPr>
          <w:p>
            <w:pPr>
              <w:spacing w:after="0"/>
            </w:pPr>
            <w:r/>
            <w:r>
              <w:rPr>
                <w:rFonts w:ascii="Aptos" w:hAnsi="Aptos"/>
                <w:b w:val="0"/>
                <w:sz w:val="15"/>
              </w:rPr>
              <w:t>Focal; generalized; combined generalized and focal; unknown, using current applicable ILAE framework</w:t>
            </w:r>
          </w:p>
        </w:tc>
        <w:tc>
          <w:tcPr>
            <w:tcW w:type="dxa" w:w="3389"/>
            <w:vAlign w:val="top"/>
          </w:tcPr>
          <w:p>
            <w:pPr>
              <w:spacing w:after="0"/>
            </w:pPr>
            <w:r/>
            <w:r>
              <w:rPr>
                <w:rFonts w:ascii="Aptos" w:hAnsi="Aptos"/>
                <w:b w:val="0"/>
                <w:sz w:val="15"/>
              </w:rPr>
              <w:t>diagnosis certainty; onset date; source clinician/document</w:t>
            </w:r>
          </w:p>
        </w:tc>
      </w:tr>
      <w:tr>
        <w:tc>
          <w:tcPr>
            <w:tcW w:type="dxa" w:w="3389"/>
            <w:vAlign w:val="top"/>
          </w:tcPr>
          <w:p>
            <w:pPr>
              <w:spacing w:after="0"/>
            </w:pPr>
            <w:r/>
            <w:r>
              <w:rPr>
                <w:rFonts w:ascii="Aptos" w:hAnsi="Aptos"/>
                <w:b w:val="0"/>
                <w:sz w:val="15"/>
              </w:rPr>
              <w:t>Epilepsy syndrome</w:t>
            </w:r>
          </w:p>
        </w:tc>
        <w:tc>
          <w:tcPr>
            <w:tcW w:type="dxa" w:w="3389"/>
            <w:vAlign w:val="top"/>
          </w:tcPr>
          <w:p>
            <w:pPr>
              <w:spacing w:after="0"/>
            </w:pPr>
            <w:r/>
            <w:r>
              <w:rPr>
                <w:rFonts w:ascii="Aptos" w:hAnsi="Aptos"/>
                <w:b w:val="0"/>
                <w:sz w:val="15"/>
              </w:rPr>
              <w:t>Named syndrome when explicitly documented or validated</w:t>
            </w:r>
          </w:p>
        </w:tc>
        <w:tc>
          <w:tcPr>
            <w:tcW w:type="dxa" w:w="3389"/>
            <w:vAlign w:val="top"/>
          </w:tcPr>
          <w:p>
            <w:pPr>
              <w:spacing w:after="0"/>
            </w:pPr>
            <w:r/>
            <w:r>
              <w:rPr>
                <w:rFonts w:ascii="Aptos" w:hAnsi="Aptos"/>
                <w:b w:val="0"/>
                <w:sz w:val="15"/>
              </w:rPr>
              <w:t>syndrome certainty; age context; supporting findings</w:t>
            </w:r>
          </w:p>
        </w:tc>
      </w:tr>
      <w:tr>
        <w:tc>
          <w:tcPr>
            <w:tcW w:type="dxa" w:w="3389"/>
            <w:vAlign w:val="top"/>
          </w:tcPr>
          <w:p>
            <w:pPr>
              <w:spacing w:after="0"/>
            </w:pPr>
            <w:r/>
            <w:r>
              <w:rPr>
                <w:rFonts w:ascii="Aptos" w:hAnsi="Aptos"/>
                <w:b w:val="0"/>
                <w:sz w:val="15"/>
              </w:rPr>
              <w:t>Etiology</w:t>
            </w:r>
          </w:p>
        </w:tc>
        <w:tc>
          <w:tcPr>
            <w:tcW w:type="dxa" w:w="3389"/>
            <w:vAlign w:val="top"/>
          </w:tcPr>
          <w:p>
            <w:pPr>
              <w:spacing w:after="0"/>
            </w:pPr>
            <w:r/>
            <w:r>
              <w:rPr>
                <w:rFonts w:ascii="Aptos" w:hAnsi="Aptos"/>
                <w:b w:val="0"/>
                <w:sz w:val="15"/>
              </w:rPr>
              <w:t>Structural; genetic; infectious; metabolic; immune; unknown; combinations where appropriate</w:t>
            </w:r>
          </w:p>
        </w:tc>
        <w:tc>
          <w:tcPr>
            <w:tcW w:type="dxa" w:w="3389"/>
            <w:vAlign w:val="top"/>
          </w:tcPr>
          <w:p>
            <w:pPr>
              <w:spacing w:after="0"/>
            </w:pPr>
            <w:r/>
            <w:r>
              <w:rPr>
                <w:rFonts w:ascii="Aptos" w:hAnsi="Aptos"/>
                <w:b w:val="0"/>
                <w:sz w:val="15"/>
              </w:rPr>
              <w:t>subtype; causal certainty; evidence; temporal validity</w:t>
            </w:r>
          </w:p>
        </w:tc>
      </w:tr>
      <w:tr>
        <w:tc>
          <w:tcPr>
            <w:tcW w:type="dxa" w:w="3389"/>
            <w:vAlign w:val="top"/>
          </w:tcPr>
          <w:p>
            <w:pPr>
              <w:spacing w:after="0"/>
            </w:pPr>
            <w:r/>
            <w:r>
              <w:rPr>
                <w:rFonts w:ascii="Aptos" w:hAnsi="Aptos"/>
                <w:b w:val="0"/>
                <w:sz w:val="15"/>
              </w:rPr>
              <w:t>Drug resistance</w:t>
            </w:r>
          </w:p>
        </w:tc>
        <w:tc>
          <w:tcPr>
            <w:tcW w:type="dxa" w:w="3389"/>
            <w:vAlign w:val="top"/>
          </w:tcPr>
          <w:p>
            <w:pPr>
              <w:spacing w:after="0"/>
            </w:pPr>
            <w:r/>
            <w:r>
              <w:rPr>
                <w:rFonts w:ascii="Aptos" w:hAnsi="Aptos"/>
                <w:b w:val="0"/>
                <w:sz w:val="15"/>
              </w:rPr>
              <w:t>ILAE-aligned treatment-failure representation</w:t>
            </w:r>
          </w:p>
        </w:tc>
        <w:tc>
          <w:tcPr>
            <w:tcW w:type="dxa" w:w="3389"/>
            <w:vAlign w:val="top"/>
          </w:tcPr>
          <w:p>
            <w:pPr>
              <w:spacing w:after="0"/>
            </w:pPr>
            <w:r/>
            <w:r>
              <w:rPr>
                <w:rFonts w:ascii="Aptos" w:hAnsi="Aptos"/>
                <w:b w:val="0"/>
                <w:sz w:val="15"/>
              </w:rPr>
              <w:t>adequate trial; tolerated; appropriately chosen/used; seizure-freedom outcome</w:t>
            </w:r>
          </w:p>
        </w:tc>
      </w:tr>
      <w:tr>
        <w:tc>
          <w:tcPr>
            <w:tcW w:type="dxa" w:w="3389"/>
            <w:vAlign w:val="top"/>
          </w:tcPr>
          <w:p>
            <w:pPr>
              <w:spacing w:after="0"/>
            </w:pPr>
            <w:r/>
            <w:r>
              <w:rPr>
                <w:rFonts w:ascii="Aptos" w:hAnsi="Aptos"/>
                <w:b w:val="0"/>
                <w:sz w:val="15"/>
              </w:rPr>
              <w:t>Neuropathology</w:t>
            </w:r>
          </w:p>
        </w:tc>
        <w:tc>
          <w:tcPr>
            <w:tcW w:type="dxa" w:w="3389"/>
            <w:vAlign w:val="top"/>
          </w:tcPr>
          <w:p>
            <w:pPr>
              <w:spacing w:after="0"/>
            </w:pPr>
            <w:r/>
            <w:r>
              <w:rPr>
                <w:rFonts w:ascii="Aptos" w:hAnsi="Aptos"/>
                <w:b w:val="0"/>
                <w:sz w:val="15"/>
              </w:rPr>
              <w:t>HS/FCD and other epilepsy surgery pathology concepts using ILAE consensus classifications where relevant</w:t>
            </w:r>
          </w:p>
        </w:tc>
        <w:tc>
          <w:tcPr>
            <w:tcW w:type="dxa" w:w="3389"/>
            <w:vAlign w:val="top"/>
          </w:tcPr>
          <w:p>
            <w:pPr>
              <w:spacing w:after="0"/>
            </w:pPr>
            <w:r/>
            <w:r>
              <w:rPr>
                <w:rFonts w:ascii="Aptos" w:hAnsi="Aptos"/>
                <w:b w:val="0"/>
                <w:sz w:val="15"/>
              </w:rPr>
              <w:t>pathology type/subtype; specimen; certainty</w:t>
            </w:r>
          </w:p>
        </w:tc>
      </w:tr>
    </w:tbl>
    <w:p/>
    <w:p>
      <w:pPr>
        <w:pStyle w:val="Heading1"/>
      </w:pPr>
      <w:r>
        <w:t>5. NINDS Epilepsy CDE layer</w:t>
      </w:r>
    </w:p>
    <w:p>
      <w:r>
        <w:t>NINDS Epilepsy Common Data Elements provide the research-variable layer. They have been developed and periodically updated by epilepsy expert working groups and are organized into Core, Supplemental–Highly Recommended, Supplemental, and Exploratory elements. MedAI should create a traceability matrix showing which CDEs are (a) directly extractable from text, (b) derivable only with explicit rules, (c) require structured EHR data, or (d) are out of scope.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pPr>
            <w:r/>
            <w:r>
              <w:rPr>
                <w:rFonts w:ascii="Aptos" w:hAnsi="Aptos"/>
                <w:b/>
                <w:sz w:val="16"/>
              </w:rPr>
              <w:t>CDE mapping status</w:t>
            </w:r>
          </w:p>
        </w:tc>
        <w:tc>
          <w:tcPr>
            <w:tcW w:type="dxa" w:w="3389"/>
            <w:shd w:fill="D9EAF7"/>
            <w:vAlign w:val="center"/>
          </w:tcPr>
          <w:p>
            <w:pPr>
              <w:spacing w:after="0"/>
            </w:pPr>
            <w:r/>
            <w:r>
              <w:rPr>
                <w:rFonts w:ascii="Aptos" w:hAnsi="Aptos"/>
                <w:b/>
                <w:sz w:val="16"/>
              </w:rPr>
              <w:t>Meaning</w:t>
            </w:r>
          </w:p>
        </w:tc>
        <w:tc>
          <w:tcPr>
            <w:tcW w:type="dxa" w:w="3389"/>
            <w:shd w:fill="D9EAF7"/>
            <w:vAlign w:val="center"/>
          </w:tcPr>
          <w:p>
            <w:pPr>
              <w:spacing w:after="0"/>
            </w:pPr>
            <w:r/>
            <w:r>
              <w:rPr>
                <w:rFonts w:ascii="Aptos" w:hAnsi="Aptos"/>
                <w:b/>
                <w:sz w:val="16"/>
              </w:rPr>
              <w:t>Example</w:t>
            </w:r>
          </w:p>
        </w:tc>
      </w:tr>
      <w:tr>
        <w:tc>
          <w:tcPr>
            <w:tcW w:type="dxa" w:w="3389"/>
            <w:vAlign w:val="top"/>
          </w:tcPr>
          <w:p>
            <w:pPr>
              <w:spacing w:after="0"/>
            </w:pPr>
            <w:r/>
            <w:r>
              <w:rPr>
                <w:rFonts w:ascii="Aptos" w:hAnsi="Aptos"/>
                <w:b w:val="0"/>
                <w:sz w:val="15"/>
              </w:rPr>
              <w:t>DIRECT</w:t>
            </w:r>
          </w:p>
        </w:tc>
        <w:tc>
          <w:tcPr>
            <w:tcW w:type="dxa" w:w="3389"/>
            <w:vAlign w:val="top"/>
          </w:tcPr>
          <w:p>
            <w:pPr>
              <w:spacing w:after="0"/>
            </w:pPr>
            <w:r/>
            <w:r>
              <w:rPr>
                <w:rFonts w:ascii="Aptos" w:hAnsi="Aptos"/>
                <w:b w:val="0"/>
                <w:sz w:val="15"/>
              </w:rPr>
              <w:t>Explicitly stated in document</w:t>
            </w:r>
          </w:p>
        </w:tc>
        <w:tc>
          <w:tcPr>
            <w:tcW w:type="dxa" w:w="3389"/>
            <w:vAlign w:val="top"/>
          </w:tcPr>
          <w:p>
            <w:pPr>
              <w:spacing w:after="0"/>
            </w:pPr>
            <w:r/>
            <w:r>
              <w:rPr>
                <w:rFonts w:ascii="Aptos" w:hAnsi="Aptos"/>
                <w:b w:val="0"/>
                <w:sz w:val="15"/>
              </w:rPr>
              <w:t>Seizure frequency stated as '3 per month'</w:t>
            </w:r>
          </w:p>
        </w:tc>
      </w:tr>
      <w:tr>
        <w:tc>
          <w:tcPr>
            <w:tcW w:type="dxa" w:w="3389"/>
            <w:vAlign w:val="top"/>
          </w:tcPr>
          <w:p>
            <w:pPr>
              <w:spacing w:after="0"/>
            </w:pPr>
            <w:r/>
            <w:r>
              <w:rPr>
                <w:rFonts w:ascii="Aptos" w:hAnsi="Aptos"/>
                <w:b w:val="0"/>
                <w:sz w:val="15"/>
              </w:rPr>
              <w:t>NORMALIZED</w:t>
            </w:r>
          </w:p>
        </w:tc>
        <w:tc>
          <w:tcPr>
            <w:tcW w:type="dxa" w:w="3389"/>
            <w:vAlign w:val="top"/>
          </w:tcPr>
          <w:p>
            <w:pPr>
              <w:spacing w:after="0"/>
            </w:pPr>
            <w:r/>
            <w:r>
              <w:rPr>
                <w:rFonts w:ascii="Aptos" w:hAnsi="Aptos"/>
                <w:b w:val="0"/>
                <w:sz w:val="15"/>
              </w:rPr>
              <w:t>Explicit concept but terminology normalization required</w:t>
            </w:r>
          </w:p>
        </w:tc>
        <w:tc>
          <w:tcPr>
            <w:tcW w:type="dxa" w:w="3389"/>
            <w:vAlign w:val="top"/>
          </w:tcPr>
          <w:p>
            <w:pPr>
              <w:spacing w:after="0"/>
            </w:pPr>
            <w:r/>
            <w:r>
              <w:rPr>
                <w:rFonts w:ascii="Aptos" w:hAnsi="Aptos"/>
                <w:b w:val="0"/>
                <w:sz w:val="15"/>
              </w:rPr>
              <w:t>'Keppra' → levetiracetam/RxNorm</w:t>
            </w:r>
          </w:p>
        </w:tc>
      </w:tr>
      <w:tr>
        <w:tc>
          <w:tcPr>
            <w:tcW w:type="dxa" w:w="3389"/>
            <w:vAlign w:val="top"/>
          </w:tcPr>
          <w:p>
            <w:pPr>
              <w:spacing w:after="0"/>
            </w:pPr>
            <w:r/>
            <w:r>
              <w:rPr>
                <w:rFonts w:ascii="Aptos" w:hAnsi="Aptos"/>
                <w:b w:val="0"/>
                <w:sz w:val="15"/>
              </w:rPr>
              <w:t>DERIVED</w:t>
            </w:r>
          </w:p>
        </w:tc>
        <w:tc>
          <w:tcPr>
            <w:tcW w:type="dxa" w:w="3389"/>
            <w:vAlign w:val="top"/>
          </w:tcPr>
          <w:p>
            <w:pPr>
              <w:spacing w:after="0"/>
            </w:pPr>
            <w:r/>
            <w:r>
              <w:rPr>
                <w:rFonts w:ascii="Aptos" w:hAnsi="Aptos"/>
                <w:b w:val="0"/>
                <w:sz w:val="15"/>
              </w:rPr>
              <w:t>Requires a documented deterministic rule</w:t>
            </w:r>
          </w:p>
        </w:tc>
        <w:tc>
          <w:tcPr>
            <w:tcW w:type="dxa" w:w="3389"/>
            <w:vAlign w:val="top"/>
          </w:tcPr>
          <w:p>
            <w:pPr>
              <w:spacing w:after="0"/>
            </w:pPr>
            <w:r/>
            <w:r>
              <w:rPr>
                <w:rFonts w:ascii="Aptos" w:hAnsi="Aptos"/>
                <w:b w:val="0"/>
                <w:sz w:val="15"/>
              </w:rPr>
              <w:t>DRE only if required medication-trial evidence is available</w:t>
            </w:r>
          </w:p>
        </w:tc>
      </w:tr>
      <w:tr>
        <w:tc>
          <w:tcPr>
            <w:tcW w:type="dxa" w:w="3389"/>
            <w:vAlign w:val="top"/>
          </w:tcPr>
          <w:p>
            <w:pPr>
              <w:spacing w:after="0"/>
            </w:pPr>
            <w:r/>
            <w:r>
              <w:rPr>
                <w:rFonts w:ascii="Aptos" w:hAnsi="Aptos"/>
                <w:b w:val="0"/>
                <w:sz w:val="15"/>
              </w:rPr>
              <w:t>MULTISOURCE</w:t>
            </w:r>
          </w:p>
        </w:tc>
        <w:tc>
          <w:tcPr>
            <w:tcW w:type="dxa" w:w="3389"/>
            <w:vAlign w:val="top"/>
          </w:tcPr>
          <w:p>
            <w:pPr>
              <w:spacing w:after="0"/>
            </w:pPr>
            <w:r/>
            <w:r>
              <w:rPr>
                <w:rFonts w:ascii="Aptos" w:hAnsi="Aptos"/>
                <w:b w:val="0"/>
                <w:sz w:val="15"/>
              </w:rPr>
              <w:t>Requires synthesis across documents/modalities</w:t>
            </w:r>
          </w:p>
        </w:tc>
        <w:tc>
          <w:tcPr>
            <w:tcW w:type="dxa" w:w="3389"/>
            <w:vAlign w:val="top"/>
          </w:tcPr>
          <w:p>
            <w:pPr>
              <w:spacing w:after="0"/>
            </w:pPr>
            <w:r/>
            <w:r>
              <w:rPr>
                <w:rFonts w:ascii="Aptos" w:hAnsi="Aptos"/>
                <w:b w:val="0"/>
                <w:sz w:val="15"/>
              </w:rPr>
              <w:t>Presurgical concordance across semiology, EEG, MRI</w:t>
            </w:r>
          </w:p>
        </w:tc>
      </w:tr>
      <w:tr>
        <w:tc>
          <w:tcPr>
            <w:tcW w:type="dxa" w:w="3389"/>
            <w:vAlign w:val="top"/>
          </w:tcPr>
          <w:p>
            <w:pPr>
              <w:spacing w:after="0"/>
            </w:pPr>
            <w:r/>
            <w:r>
              <w:rPr>
                <w:rFonts w:ascii="Aptos" w:hAnsi="Aptos"/>
                <w:b w:val="0"/>
                <w:sz w:val="15"/>
              </w:rPr>
              <w:t>NOT EXTRACTABLE</w:t>
            </w:r>
          </w:p>
        </w:tc>
        <w:tc>
          <w:tcPr>
            <w:tcW w:type="dxa" w:w="3389"/>
            <w:vAlign w:val="top"/>
          </w:tcPr>
          <w:p>
            <w:pPr>
              <w:spacing w:after="0"/>
            </w:pPr>
            <w:r/>
            <w:r>
              <w:rPr>
                <w:rFonts w:ascii="Aptos" w:hAnsi="Aptos"/>
                <w:b w:val="0"/>
                <w:sz w:val="15"/>
              </w:rPr>
              <w:t>Not reliably present in narrative text</w:t>
            </w:r>
          </w:p>
        </w:tc>
        <w:tc>
          <w:tcPr>
            <w:tcW w:type="dxa" w:w="3389"/>
            <w:vAlign w:val="top"/>
          </w:tcPr>
          <w:p>
            <w:pPr>
              <w:spacing w:after="0"/>
            </w:pPr>
            <w:r/>
            <w:r>
              <w:rPr>
                <w:rFonts w:ascii="Aptos" w:hAnsi="Aptos"/>
                <w:b w:val="0"/>
                <w:sz w:val="15"/>
              </w:rPr>
              <w:t>A research instrument score not documented in the note</w:t>
            </w:r>
          </w:p>
        </w:tc>
      </w:tr>
      <w:tr>
        <w:tc>
          <w:tcPr>
            <w:tcW w:type="dxa" w:w="3389"/>
            <w:vAlign w:val="top"/>
          </w:tcPr>
          <w:p>
            <w:pPr>
              <w:spacing w:after="0"/>
            </w:pPr>
            <w:r/>
            <w:r>
              <w:rPr>
                <w:rFonts w:ascii="Aptos" w:hAnsi="Aptos"/>
                <w:b w:val="0"/>
                <w:sz w:val="15"/>
              </w:rPr>
              <w:t>REVIEW REQUIRED</w:t>
            </w:r>
          </w:p>
        </w:tc>
        <w:tc>
          <w:tcPr>
            <w:tcW w:type="dxa" w:w="3389"/>
            <w:vAlign w:val="top"/>
          </w:tcPr>
          <w:p>
            <w:pPr>
              <w:spacing w:after="0"/>
            </w:pPr>
            <w:r/>
            <w:r>
              <w:rPr>
                <w:rFonts w:ascii="Aptos" w:hAnsi="Aptos"/>
                <w:b w:val="0"/>
                <w:sz w:val="15"/>
              </w:rPr>
              <w:t>Evidence is incomplete, conflicting, or uncertain</w:t>
            </w:r>
          </w:p>
        </w:tc>
        <w:tc>
          <w:tcPr>
            <w:tcW w:type="dxa" w:w="3389"/>
            <w:vAlign w:val="top"/>
          </w:tcPr>
          <w:p>
            <w:pPr>
              <w:spacing w:after="0"/>
            </w:pPr>
            <w:r/>
            <w:r>
              <w:rPr>
                <w:rFonts w:ascii="Aptos" w:hAnsi="Aptos"/>
                <w:b w:val="0"/>
                <w:sz w:val="15"/>
              </w:rPr>
              <w:t>Possible FCD with discordant MRI descriptions</w:t>
            </w:r>
          </w:p>
        </w:tc>
      </w:tr>
    </w:tbl>
    <w:p/>
    <w:p>
      <w:pPr>
        <w:pStyle w:val="Heading1"/>
      </w:pPr>
      <w:r>
        <w:t>6. EpSO relationship layer</w:t>
      </w:r>
    </w:p>
    <w:p>
      <w:r>
        <w:t>EpSO (Epilepsy and Seizure Ontology) should be evaluated as the domain-ontology backbone. The current public BioPortal listing describes version 3.1 (2025) in OWL and includes seizure types, syndromes, etiology, electrophysiology, medication, neuropathology, anatomical descriptions, and additional translational concepts. MedAI should reuse EpSO identifiers and relations where they fit, while maintaining a mapping table rather than silently changing EpSO semantics.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pPr>
            <w:r/>
            <w:r>
              <w:rPr>
                <w:rFonts w:ascii="Aptos" w:hAnsi="Aptos"/>
                <w:b/>
                <w:sz w:val="16"/>
              </w:rPr>
              <w:t>Relation type</w:t>
            </w:r>
          </w:p>
        </w:tc>
        <w:tc>
          <w:tcPr>
            <w:tcW w:type="dxa" w:w="5083"/>
            <w:shd w:fill="D9EAF7"/>
            <w:vAlign w:val="center"/>
          </w:tcPr>
          <w:p>
            <w:pPr>
              <w:spacing w:after="0"/>
            </w:pPr>
            <w:r/>
            <w:r>
              <w:rPr>
                <w:rFonts w:ascii="Aptos" w:hAnsi="Aptos"/>
                <w:b/>
                <w:sz w:val="16"/>
              </w:rPr>
              <w:t>Illustrative use</w:t>
            </w:r>
          </w:p>
        </w:tc>
      </w:tr>
      <w:tr>
        <w:tc>
          <w:tcPr>
            <w:tcW w:type="dxa" w:w="5083"/>
            <w:vAlign w:val="top"/>
          </w:tcPr>
          <w:p>
            <w:pPr>
              <w:spacing w:after="0"/>
            </w:pPr>
            <w:r/>
            <w:r>
              <w:rPr>
                <w:rFonts w:ascii="Aptos" w:hAnsi="Aptos"/>
                <w:b w:val="0"/>
                <w:sz w:val="15"/>
              </w:rPr>
              <w:t>is_a</w:t>
            </w:r>
          </w:p>
        </w:tc>
        <w:tc>
          <w:tcPr>
            <w:tcW w:type="dxa" w:w="5083"/>
            <w:vAlign w:val="top"/>
          </w:tcPr>
          <w:p>
            <w:pPr>
              <w:spacing w:after="0"/>
            </w:pPr>
            <w:r/>
            <w:r>
              <w:rPr>
                <w:rFonts w:ascii="Aptos" w:hAnsi="Aptos"/>
                <w:b w:val="0"/>
                <w:sz w:val="15"/>
              </w:rPr>
              <w:t>hippocampal sclerosis → structural etiology concept hierarchy</w:t>
            </w:r>
          </w:p>
        </w:tc>
      </w:tr>
      <w:tr>
        <w:tc>
          <w:tcPr>
            <w:tcW w:type="dxa" w:w="5083"/>
            <w:vAlign w:val="top"/>
          </w:tcPr>
          <w:p>
            <w:pPr>
              <w:spacing w:after="0"/>
            </w:pPr>
            <w:r/>
            <w:r>
              <w:rPr>
                <w:rFonts w:ascii="Aptos" w:hAnsi="Aptos"/>
                <w:b w:val="0"/>
                <w:sz w:val="15"/>
              </w:rPr>
              <w:t>has_anatomical_location</w:t>
            </w:r>
          </w:p>
        </w:tc>
        <w:tc>
          <w:tcPr>
            <w:tcW w:type="dxa" w:w="5083"/>
            <w:vAlign w:val="top"/>
          </w:tcPr>
          <w:p>
            <w:pPr>
              <w:spacing w:after="0"/>
            </w:pPr>
            <w:r/>
            <w:r>
              <w:rPr>
                <w:rFonts w:ascii="Aptos" w:hAnsi="Aptos"/>
                <w:b w:val="0"/>
                <w:sz w:val="15"/>
              </w:rPr>
              <w:t>IED → temporal region</w:t>
            </w:r>
          </w:p>
        </w:tc>
      </w:tr>
      <w:tr>
        <w:tc>
          <w:tcPr>
            <w:tcW w:type="dxa" w:w="5083"/>
            <w:vAlign w:val="top"/>
          </w:tcPr>
          <w:p>
            <w:pPr>
              <w:spacing w:after="0"/>
            </w:pPr>
            <w:r/>
            <w:r>
              <w:rPr>
                <w:rFonts w:ascii="Aptos" w:hAnsi="Aptos"/>
                <w:b w:val="0"/>
                <w:sz w:val="15"/>
              </w:rPr>
              <w:t>has_laterality</w:t>
            </w:r>
          </w:p>
        </w:tc>
        <w:tc>
          <w:tcPr>
            <w:tcW w:type="dxa" w:w="5083"/>
            <w:vAlign w:val="top"/>
          </w:tcPr>
          <w:p>
            <w:pPr>
              <w:spacing w:after="0"/>
            </w:pPr>
            <w:r/>
            <w:r>
              <w:rPr>
                <w:rFonts w:ascii="Aptos" w:hAnsi="Aptos"/>
                <w:b w:val="0"/>
                <w:sz w:val="15"/>
              </w:rPr>
              <w:t>finding → left/right/bilateral/midline/unknown</w:t>
            </w:r>
          </w:p>
        </w:tc>
      </w:tr>
      <w:tr>
        <w:tc>
          <w:tcPr>
            <w:tcW w:type="dxa" w:w="5083"/>
            <w:vAlign w:val="top"/>
          </w:tcPr>
          <w:p>
            <w:pPr>
              <w:spacing w:after="0"/>
            </w:pPr>
            <w:r/>
            <w:r>
              <w:rPr>
                <w:rFonts w:ascii="Aptos" w:hAnsi="Aptos"/>
                <w:b w:val="0"/>
                <w:sz w:val="15"/>
              </w:rPr>
              <w:t>has_manifestation</w:t>
            </w:r>
          </w:p>
        </w:tc>
        <w:tc>
          <w:tcPr>
            <w:tcW w:type="dxa" w:w="5083"/>
            <w:vAlign w:val="top"/>
          </w:tcPr>
          <w:p>
            <w:pPr>
              <w:spacing w:after="0"/>
            </w:pPr>
            <w:r/>
            <w:r>
              <w:rPr>
                <w:rFonts w:ascii="Aptos" w:hAnsi="Aptos"/>
                <w:b w:val="0"/>
                <w:sz w:val="15"/>
              </w:rPr>
              <w:t>seizure → observable/non-observable semiology descriptor</w:t>
            </w:r>
          </w:p>
        </w:tc>
      </w:tr>
      <w:tr>
        <w:tc>
          <w:tcPr>
            <w:tcW w:type="dxa" w:w="5083"/>
            <w:vAlign w:val="top"/>
          </w:tcPr>
          <w:p>
            <w:pPr>
              <w:spacing w:after="0"/>
            </w:pPr>
            <w:r/>
            <w:r>
              <w:rPr>
                <w:rFonts w:ascii="Aptos" w:hAnsi="Aptos"/>
                <w:b w:val="0"/>
                <w:sz w:val="15"/>
              </w:rPr>
              <w:t>treated_with</w:t>
            </w:r>
          </w:p>
        </w:tc>
        <w:tc>
          <w:tcPr>
            <w:tcW w:type="dxa" w:w="5083"/>
            <w:vAlign w:val="top"/>
          </w:tcPr>
          <w:p>
            <w:pPr>
              <w:spacing w:after="0"/>
            </w:pPr>
            <w:r/>
            <w:r>
              <w:rPr>
                <w:rFonts w:ascii="Aptos" w:hAnsi="Aptos"/>
                <w:b w:val="0"/>
                <w:sz w:val="15"/>
              </w:rPr>
              <w:t>epilepsy/treatment episode → antiseizure medication or intervention</w:t>
            </w:r>
          </w:p>
        </w:tc>
      </w:tr>
      <w:tr>
        <w:tc>
          <w:tcPr>
            <w:tcW w:type="dxa" w:w="5083"/>
            <w:vAlign w:val="top"/>
          </w:tcPr>
          <w:p>
            <w:pPr>
              <w:spacing w:after="0"/>
            </w:pPr>
            <w:r/>
            <w:r>
              <w:rPr>
                <w:rFonts w:ascii="Aptos" w:hAnsi="Aptos"/>
                <w:b w:val="0"/>
                <w:sz w:val="15"/>
              </w:rPr>
              <w:t>supported_by</w:t>
            </w:r>
          </w:p>
        </w:tc>
        <w:tc>
          <w:tcPr>
            <w:tcW w:type="dxa" w:w="5083"/>
            <w:vAlign w:val="top"/>
          </w:tcPr>
          <w:p>
            <w:pPr>
              <w:spacing w:after="0"/>
            </w:pPr>
            <w:r/>
            <w:r>
              <w:rPr>
                <w:rFonts w:ascii="Aptos" w:hAnsi="Aptos"/>
                <w:b w:val="0"/>
                <w:sz w:val="15"/>
              </w:rPr>
              <w:t>patient phenotype assertion → source evidence/document (MedAI extension)</w:t>
            </w:r>
          </w:p>
        </w:tc>
      </w:tr>
      <w:tr>
        <w:tc>
          <w:tcPr>
            <w:tcW w:type="dxa" w:w="5083"/>
            <w:vAlign w:val="top"/>
          </w:tcPr>
          <w:p>
            <w:pPr>
              <w:spacing w:after="0"/>
            </w:pPr>
            <w:r/>
            <w:r>
              <w:rPr>
                <w:rFonts w:ascii="Aptos" w:hAnsi="Aptos"/>
                <w:b w:val="0"/>
                <w:sz w:val="15"/>
              </w:rPr>
              <w:t>valid_during</w:t>
            </w:r>
          </w:p>
        </w:tc>
        <w:tc>
          <w:tcPr>
            <w:tcW w:type="dxa" w:w="5083"/>
            <w:vAlign w:val="top"/>
          </w:tcPr>
          <w:p>
            <w:pPr>
              <w:spacing w:after="0"/>
            </w:pPr>
            <w:r/>
            <w:r>
              <w:rPr>
                <w:rFonts w:ascii="Aptos" w:hAnsi="Aptos"/>
                <w:b w:val="0"/>
                <w:sz w:val="15"/>
              </w:rPr>
              <w:t>assertion → temporal interval (MedAI extension)</w:t>
            </w:r>
          </w:p>
        </w:tc>
      </w:tr>
      <w:tr>
        <w:tc>
          <w:tcPr>
            <w:tcW w:type="dxa" w:w="5083"/>
            <w:vAlign w:val="top"/>
          </w:tcPr>
          <w:p>
            <w:pPr>
              <w:spacing w:after="0"/>
            </w:pPr>
            <w:r/>
            <w:r>
              <w:rPr>
                <w:rFonts w:ascii="Aptos" w:hAnsi="Aptos"/>
                <w:b w:val="0"/>
                <w:sz w:val="15"/>
              </w:rPr>
              <w:t>contradicts / conflicts_with</w:t>
            </w:r>
          </w:p>
        </w:tc>
        <w:tc>
          <w:tcPr>
            <w:tcW w:type="dxa" w:w="5083"/>
            <w:vAlign w:val="top"/>
          </w:tcPr>
          <w:p>
            <w:pPr>
              <w:spacing w:after="0"/>
            </w:pPr>
            <w:r/>
            <w:r>
              <w:rPr>
                <w:rFonts w:ascii="Aptos" w:hAnsi="Aptos"/>
                <w:b w:val="0"/>
                <w:sz w:val="15"/>
              </w:rPr>
              <w:t>assertion → competing assertion (MedAI application relation)</w:t>
            </w:r>
          </w:p>
        </w:tc>
      </w:tr>
    </w:tbl>
    <w:p/>
    <w:p>
      <w:pPr>
        <w:pStyle w:val="Heading1"/>
      </w:pPr>
      <w:r>
        <w:t>7. Normalization layer</w:t>
      </w:r>
    </w:p>
    <w:p>
      <w:pPr>
        <w:pStyle w:val="Heading2"/>
      </w:pPr>
      <w:r>
        <w:t>7.1 RxNorm — medications</w:t>
      </w:r>
    </w:p>
    <w:p>
      <w:r>
        <w:t>Normalize generic and branded antiseizure medications to RxNorm concepts/RXCUIs where possible. Preserve the exact source string and separately represent ingredient, strength, dose form, dose, route, frequency, status, start/stop timing, reason for stopping, adverse effect, and treatment outcome. A medication name alone must never imply treatment failure or drug resistance.</w:t>
      </w:r>
    </w:p>
    <w:p>
      <w:pPr>
        <w:pStyle w:val="CodeBlock"/>
      </w:pPr>
      <w:r>
        <w:t>source_text: "Keppra 1000 mg BID was stopped because of irritability"</w:t>
        <w:br/>
        <w:t>normalized_drug: levetiracetam</w:t>
        <w:br/>
        <w:t>rxnorm_id: &lt;resolved RXCUI&gt;</w:t>
        <w:br/>
        <w:t>dose: 1000 mg</w:t>
        <w:br/>
        <w:t>frequency: twice daily</w:t>
        <w:br/>
        <w:t>status: discontinued</w:t>
        <w:br/>
        <w:t>reason: adverse effect</w:t>
        <w:br/>
        <w:t>evidence_span: exact source phrase</w:t>
      </w:r>
    </w:p>
    <w:p>
      <w:pPr>
        <w:pStyle w:val="Heading2"/>
      </w:pPr>
      <w:r>
        <w:t>7.2 SNOMED CT — clinical concepts</w:t>
      </w:r>
    </w:p>
    <w:p>
      <w:r>
        <w:t>SNOMED CT should provide general clinical normalization for diagnoses, findings, procedures, anatomy, and related concepts when appropriate. MedAI should retain both the specialty-level canonical label (for example an ILAE-defined concept) and any mapped SNOMED CT identifier rather than forcing one terminology to replace the other.</w:t>
      </w:r>
    </w:p>
    <w:p>
      <w:pPr>
        <w:pStyle w:val="Heading2"/>
      </w:pPr>
      <w:r>
        <w:t>7.3 RadLex — imaging</w:t>
      </w:r>
    </w:p>
    <w:p>
      <w:r>
        <w:t>RadLex is an RSNA radiology ontology intended for reporting, decision support, data mining, registries, education, and research. For MedAI, RadLex can normalize imaging anatomy, observations, findings, and procedure terminology. Epilepsy-specific interpretation such as MRI-negative epilepsy or the clinical significance of a subtle lesion should remain a MedAI/ILAE-level assertion supported by the source report rather than being inferred solely from a RadLex code.</w:t>
      </w:r>
    </w:p>
    <w:p>
      <w:pPr>
        <w:pStyle w:val="Heading2"/>
      </w:pPr>
      <w:r>
        <w:t>7.4 EEG terminology</w:t>
      </w:r>
    </w:p>
    <w:p>
      <w:r>
        <w:t>EEG representation should reference recognized neurophysiology terminology. ACNS standardized critical-care EEG terminology is authoritative for its intended critical-care scope; routine EEG and epilepsy-monitoring concepts should additionally reference appropriate SCORE/ILAE/clinical neurophysiology reporting standards. MedAI should record the terminology source and version for each controlled term set rather than treating 'ACNS' as a universal EEG ontology.</w:t>
      </w:r>
    </w:p>
    <w:p>
      <w:pPr>
        <w:pStyle w:val="Heading1"/>
      </w:pPr>
      <w:r>
        <w:t>8. MedAI phenotype assertion model</w:t>
      </w:r>
    </w:p>
    <w:p>
      <w:r>
        <w:t>The principal MedAI-specific contribution should be the assertion model: a standard way to represent a clinical phenotype claim together with its evidence, uncertainty, time, provenance, and review status. This is the layer that existing disease ontologies generally do not provide in the exact form needed for evidence-grounded LLM extraction.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pPr>
            <w:r/>
            <w:r>
              <w:rPr>
                <w:rFonts w:ascii="Aptos" w:hAnsi="Aptos"/>
                <w:b/>
                <w:sz w:val="16"/>
              </w:rPr>
              <w:t>Field</w:t>
            </w:r>
          </w:p>
        </w:tc>
        <w:tc>
          <w:tcPr>
            <w:tcW w:type="dxa" w:w="3389"/>
            <w:shd w:fill="D9EAF7"/>
            <w:vAlign w:val="center"/>
          </w:tcPr>
          <w:p>
            <w:pPr>
              <w:spacing w:after="0"/>
            </w:pPr>
            <w:r/>
            <w:r>
              <w:rPr>
                <w:rFonts w:ascii="Aptos" w:hAnsi="Aptos"/>
                <w:b/>
                <w:sz w:val="16"/>
              </w:rPr>
              <w:t>Type / example</w:t>
            </w:r>
          </w:p>
        </w:tc>
        <w:tc>
          <w:tcPr>
            <w:tcW w:type="dxa" w:w="3389"/>
            <w:shd w:fill="D9EAF7"/>
            <w:vAlign w:val="center"/>
          </w:tcPr>
          <w:p>
            <w:pPr>
              <w:spacing w:after="0"/>
            </w:pPr>
            <w:r/>
            <w:r>
              <w:rPr>
                <w:rFonts w:ascii="Aptos" w:hAnsi="Aptos"/>
                <w:b/>
                <w:sz w:val="16"/>
              </w:rPr>
              <w:t>Requirement</w:t>
            </w:r>
          </w:p>
        </w:tc>
      </w:tr>
      <w:tr>
        <w:tc>
          <w:tcPr>
            <w:tcW w:type="dxa" w:w="3389"/>
            <w:vAlign w:val="top"/>
          </w:tcPr>
          <w:p>
            <w:pPr>
              <w:spacing w:after="0"/>
            </w:pPr>
            <w:r/>
            <w:r>
              <w:rPr>
                <w:rFonts w:ascii="Aptos" w:hAnsi="Aptos"/>
                <w:b w:val="0"/>
                <w:sz w:val="15"/>
              </w:rPr>
              <w:t>assertion_id</w:t>
            </w:r>
          </w:p>
        </w:tc>
        <w:tc>
          <w:tcPr>
            <w:tcW w:type="dxa" w:w="3389"/>
            <w:vAlign w:val="top"/>
          </w:tcPr>
          <w:p>
            <w:pPr>
              <w:spacing w:after="0"/>
            </w:pPr>
            <w:r/>
            <w:r>
              <w:rPr>
                <w:rFonts w:ascii="Aptos" w:hAnsi="Aptos"/>
                <w:b w:val="0"/>
                <w:sz w:val="15"/>
              </w:rPr>
              <w:t>UUID</w:t>
            </w:r>
          </w:p>
        </w:tc>
        <w:tc>
          <w:tcPr>
            <w:tcW w:type="dxa" w:w="3389"/>
            <w:vAlign w:val="top"/>
          </w:tcPr>
          <w:p>
            <w:pPr>
              <w:spacing w:after="0"/>
            </w:pPr>
            <w:r/>
            <w:r>
              <w:rPr>
                <w:rFonts w:ascii="Aptos" w:hAnsi="Aptos"/>
                <w:b w:val="0"/>
                <w:sz w:val="15"/>
              </w:rPr>
              <w:t>Required</w:t>
            </w:r>
          </w:p>
        </w:tc>
      </w:tr>
      <w:tr>
        <w:tc>
          <w:tcPr>
            <w:tcW w:type="dxa" w:w="3389"/>
            <w:vAlign w:val="top"/>
          </w:tcPr>
          <w:p>
            <w:pPr>
              <w:spacing w:after="0"/>
            </w:pPr>
            <w:r/>
            <w:r>
              <w:rPr>
                <w:rFonts w:ascii="Aptos" w:hAnsi="Aptos"/>
                <w:b w:val="0"/>
                <w:sz w:val="15"/>
              </w:rPr>
              <w:t>patient_id</w:t>
            </w:r>
          </w:p>
        </w:tc>
        <w:tc>
          <w:tcPr>
            <w:tcW w:type="dxa" w:w="3389"/>
            <w:vAlign w:val="top"/>
          </w:tcPr>
          <w:p>
            <w:pPr>
              <w:spacing w:after="0"/>
            </w:pPr>
            <w:r/>
            <w:r>
              <w:rPr>
                <w:rFonts w:ascii="Aptos" w:hAnsi="Aptos"/>
                <w:b w:val="0"/>
                <w:sz w:val="15"/>
              </w:rPr>
              <w:t>pseudonymous identifier</w:t>
            </w:r>
          </w:p>
        </w:tc>
        <w:tc>
          <w:tcPr>
            <w:tcW w:type="dxa" w:w="3389"/>
            <w:vAlign w:val="top"/>
          </w:tcPr>
          <w:p>
            <w:pPr>
              <w:spacing w:after="0"/>
            </w:pPr>
            <w:r/>
            <w:r>
              <w:rPr>
                <w:rFonts w:ascii="Aptos" w:hAnsi="Aptos"/>
                <w:b w:val="0"/>
                <w:sz w:val="15"/>
              </w:rPr>
              <w:t>Required</w:t>
            </w:r>
          </w:p>
        </w:tc>
      </w:tr>
      <w:tr>
        <w:tc>
          <w:tcPr>
            <w:tcW w:type="dxa" w:w="3389"/>
            <w:vAlign w:val="top"/>
          </w:tcPr>
          <w:p>
            <w:pPr>
              <w:spacing w:after="0"/>
            </w:pPr>
            <w:r/>
            <w:r>
              <w:rPr>
                <w:rFonts w:ascii="Aptos" w:hAnsi="Aptos"/>
                <w:b w:val="0"/>
                <w:sz w:val="15"/>
              </w:rPr>
              <w:t>concept_id</w:t>
            </w:r>
          </w:p>
        </w:tc>
        <w:tc>
          <w:tcPr>
            <w:tcW w:type="dxa" w:w="3389"/>
            <w:vAlign w:val="top"/>
          </w:tcPr>
          <w:p>
            <w:pPr>
              <w:spacing w:after="0"/>
            </w:pPr>
            <w:r/>
            <w:r>
              <w:rPr>
                <w:rFonts w:ascii="Aptos" w:hAnsi="Aptos"/>
                <w:b w:val="0"/>
                <w:sz w:val="15"/>
              </w:rPr>
              <w:t>MedAI canonical ID + external mappings</w:t>
            </w:r>
          </w:p>
        </w:tc>
        <w:tc>
          <w:tcPr>
            <w:tcW w:type="dxa" w:w="3389"/>
            <w:vAlign w:val="top"/>
          </w:tcPr>
          <w:p>
            <w:pPr>
              <w:spacing w:after="0"/>
            </w:pPr>
            <w:r/>
            <w:r>
              <w:rPr>
                <w:rFonts w:ascii="Aptos" w:hAnsi="Aptos"/>
                <w:b w:val="0"/>
                <w:sz w:val="15"/>
              </w:rPr>
              <w:t>Required</w:t>
            </w:r>
          </w:p>
        </w:tc>
      </w:tr>
      <w:tr>
        <w:tc>
          <w:tcPr>
            <w:tcW w:type="dxa" w:w="3389"/>
            <w:vAlign w:val="top"/>
          </w:tcPr>
          <w:p>
            <w:pPr>
              <w:spacing w:after="0"/>
            </w:pPr>
            <w:r/>
            <w:r>
              <w:rPr>
                <w:rFonts w:ascii="Aptos" w:hAnsi="Aptos"/>
                <w:b w:val="0"/>
                <w:sz w:val="15"/>
              </w:rPr>
              <w:t>canonical_label</w:t>
            </w:r>
          </w:p>
        </w:tc>
        <w:tc>
          <w:tcPr>
            <w:tcW w:type="dxa" w:w="3389"/>
            <w:vAlign w:val="top"/>
          </w:tcPr>
          <w:p>
            <w:pPr>
              <w:spacing w:after="0"/>
            </w:pPr>
            <w:r/>
            <w:r>
              <w:rPr>
                <w:rFonts w:ascii="Aptos" w:hAnsi="Aptos"/>
                <w:b w:val="0"/>
                <w:sz w:val="15"/>
              </w:rPr>
              <w:t>hippocampal sclerosis</w:t>
            </w:r>
          </w:p>
        </w:tc>
        <w:tc>
          <w:tcPr>
            <w:tcW w:type="dxa" w:w="3389"/>
            <w:vAlign w:val="top"/>
          </w:tcPr>
          <w:p>
            <w:pPr>
              <w:spacing w:after="0"/>
            </w:pPr>
            <w:r/>
            <w:r>
              <w:rPr>
                <w:rFonts w:ascii="Aptos" w:hAnsi="Aptos"/>
                <w:b w:val="0"/>
                <w:sz w:val="15"/>
              </w:rPr>
              <w:t>Required</w:t>
            </w:r>
          </w:p>
        </w:tc>
      </w:tr>
      <w:tr>
        <w:tc>
          <w:tcPr>
            <w:tcW w:type="dxa" w:w="3389"/>
            <w:vAlign w:val="top"/>
          </w:tcPr>
          <w:p>
            <w:pPr>
              <w:spacing w:after="0"/>
            </w:pPr>
            <w:r/>
            <w:r>
              <w:rPr>
                <w:rFonts w:ascii="Aptos" w:hAnsi="Aptos"/>
                <w:b w:val="0"/>
                <w:sz w:val="15"/>
              </w:rPr>
              <w:t>value</w:t>
            </w:r>
          </w:p>
        </w:tc>
        <w:tc>
          <w:tcPr>
            <w:tcW w:type="dxa" w:w="3389"/>
            <w:vAlign w:val="top"/>
          </w:tcPr>
          <w:p>
            <w:pPr>
              <w:spacing w:after="0"/>
            </w:pPr>
            <w:r/>
            <w:r>
              <w:rPr>
                <w:rFonts w:ascii="Aptos" w:hAnsi="Aptos"/>
                <w:b w:val="0"/>
                <w:sz w:val="15"/>
              </w:rPr>
              <w:t>present / absent / categorical / numeric / text</w:t>
            </w:r>
          </w:p>
        </w:tc>
        <w:tc>
          <w:tcPr>
            <w:tcW w:type="dxa" w:w="3389"/>
            <w:vAlign w:val="top"/>
          </w:tcPr>
          <w:p>
            <w:pPr>
              <w:spacing w:after="0"/>
            </w:pPr>
            <w:r/>
            <w:r>
              <w:rPr>
                <w:rFonts w:ascii="Aptos" w:hAnsi="Aptos"/>
                <w:b w:val="0"/>
                <w:sz w:val="15"/>
              </w:rPr>
              <w:t>Required</w:t>
            </w:r>
          </w:p>
        </w:tc>
      </w:tr>
      <w:tr>
        <w:tc>
          <w:tcPr>
            <w:tcW w:type="dxa" w:w="3389"/>
            <w:vAlign w:val="top"/>
          </w:tcPr>
          <w:p>
            <w:pPr>
              <w:spacing w:after="0"/>
            </w:pPr>
            <w:r/>
            <w:r>
              <w:rPr>
                <w:rFonts w:ascii="Aptos" w:hAnsi="Aptos"/>
                <w:b w:val="0"/>
                <w:sz w:val="15"/>
              </w:rPr>
              <w:t>certainty</w:t>
            </w:r>
          </w:p>
        </w:tc>
        <w:tc>
          <w:tcPr>
            <w:tcW w:type="dxa" w:w="3389"/>
            <w:vAlign w:val="top"/>
          </w:tcPr>
          <w:p>
            <w:pPr>
              <w:spacing w:after="0"/>
            </w:pPr>
            <w:r/>
            <w:r>
              <w:rPr>
                <w:rFonts w:ascii="Aptos" w:hAnsi="Aptos"/>
                <w:b w:val="0"/>
                <w:sz w:val="15"/>
              </w:rPr>
              <w:t>definite / probable / possible / uncertain / not stated</w:t>
            </w:r>
          </w:p>
        </w:tc>
        <w:tc>
          <w:tcPr>
            <w:tcW w:type="dxa" w:w="3389"/>
            <w:vAlign w:val="top"/>
          </w:tcPr>
          <w:p>
            <w:pPr>
              <w:spacing w:after="0"/>
            </w:pPr>
            <w:r/>
            <w:r>
              <w:rPr>
                <w:rFonts w:ascii="Aptos" w:hAnsi="Aptos"/>
                <w:b w:val="0"/>
                <w:sz w:val="15"/>
              </w:rPr>
              <w:t>Required</w:t>
            </w:r>
          </w:p>
        </w:tc>
      </w:tr>
      <w:tr>
        <w:tc>
          <w:tcPr>
            <w:tcW w:type="dxa" w:w="3389"/>
            <w:vAlign w:val="top"/>
          </w:tcPr>
          <w:p>
            <w:pPr>
              <w:spacing w:after="0"/>
            </w:pPr>
            <w:r/>
            <w:r>
              <w:rPr>
                <w:rFonts w:ascii="Aptos" w:hAnsi="Aptos"/>
                <w:b w:val="0"/>
                <w:sz w:val="15"/>
              </w:rPr>
              <w:t>negation</w:t>
            </w:r>
          </w:p>
        </w:tc>
        <w:tc>
          <w:tcPr>
            <w:tcW w:type="dxa" w:w="3389"/>
            <w:vAlign w:val="top"/>
          </w:tcPr>
          <w:p>
            <w:pPr>
              <w:spacing w:after="0"/>
            </w:pPr>
            <w:r/>
            <w:r>
              <w:rPr>
                <w:rFonts w:ascii="Aptos" w:hAnsi="Aptos"/>
                <w:b w:val="0"/>
                <w:sz w:val="15"/>
              </w:rPr>
              <w:t>true/false</w:t>
            </w:r>
          </w:p>
        </w:tc>
        <w:tc>
          <w:tcPr>
            <w:tcW w:type="dxa" w:w="3389"/>
            <w:vAlign w:val="top"/>
          </w:tcPr>
          <w:p>
            <w:pPr>
              <w:spacing w:after="0"/>
            </w:pPr>
            <w:r/>
            <w:r>
              <w:rPr>
                <w:rFonts w:ascii="Aptos" w:hAnsi="Aptos"/>
                <w:b w:val="0"/>
                <w:sz w:val="15"/>
              </w:rPr>
              <w:t>Required</w:t>
            </w:r>
          </w:p>
        </w:tc>
      </w:tr>
      <w:tr>
        <w:tc>
          <w:tcPr>
            <w:tcW w:type="dxa" w:w="3389"/>
            <w:vAlign w:val="top"/>
          </w:tcPr>
          <w:p>
            <w:pPr>
              <w:spacing w:after="0"/>
            </w:pPr>
            <w:r/>
            <w:r>
              <w:rPr>
                <w:rFonts w:ascii="Aptos" w:hAnsi="Aptos"/>
                <w:b w:val="0"/>
                <w:sz w:val="15"/>
              </w:rPr>
              <w:t>temporality</w:t>
            </w:r>
          </w:p>
        </w:tc>
        <w:tc>
          <w:tcPr>
            <w:tcW w:type="dxa" w:w="3389"/>
            <w:vAlign w:val="top"/>
          </w:tcPr>
          <w:p>
            <w:pPr>
              <w:spacing w:after="0"/>
            </w:pPr>
            <w:r/>
            <w:r>
              <w:rPr>
                <w:rFonts w:ascii="Aptos" w:hAnsi="Aptos"/>
                <w:b w:val="0"/>
                <w:sz w:val="15"/>
              </w:rPr>
              <w:t>current / historical / planned / resolved + dates</w:t>
            </w:r>
          </w:p>
        </w:tc>
        <w:tc>
          <w:tcPr>
            <w:tcW w:type="dxa" w:w="3389"/>
            <w:vAlign w:val="top"/>
          </w:tcPr>
          <w:p>
            <w:pPr>
              <w:spacing w:after="0"/>
            </w:pPr>
            <w:r/>
            <w:r>
              <w:rPr>
                <w:rFonts w:ascii="Aptos" w:hAnsi="Aptos"/>
                <w:b w:val="0"/>
                <w:sz w:val="15"/>
              </w:rPr>
              <w:t>Required</w:t>
            </w:r>
          </w:p>
        </w:tc>
      </w:tr>
      <w:tr>
        <w:tc>
          <w:tcPr>
            <w:tcW w:type="dxa" w:w="3389"/>
            <w:vAlign w:val="top"/>
          </w:tcPr>
          <w:p>
            <w:pPr>
              <w:spacing w:after="0"/>
            </w:pPr>
            <w:r/>
            <w:r>
              <w:rPr>
                <w:rFonts w:ascii="Aptos" w:hAnsi="Aptos"/>
                <w:b w:val="0"/>
                <w:sz w:val="15"/>
              </w:rPr>
              <w:t>laterality</w:t>
            </w:r>
          </w:p>
        </w:tc>
        <w:tc>
          <w:tcPr>
            <w:tcW w:type="dxa" w:w="3389"/>
            <w:vAlign w:val="top"/>
          </w:tcPr>
          <w:p>
            <w:pPr>
              <w:spacing w:after="0"/>
            </w:pPr>
            <w:r/>
            <w:r>
              <w:rPr>
                <w:rFonts w:ascii="Aptos" w:hAnsi="Aptos"/>
                <w:b w:val="0"/>
                <w:sz w:val="15"/>
              </w:rPr>
              <w:t>left/right/bilateral/midline/none/unknown</w:t>
            </w:r>
          </w:p>
        </w:tc>
        <w:tc>
          <w:tcPr>
            <w:tcW w:type="dxa" w:w="3389"/>
            <w:vAlign w:val="top"/>
          </w:tcPr>
          <w:p>
            <w:pPr>
              <w:spacing w:after="0"/>
            </w:pPr>
            <w:r/>
            <w:r>
              <w:rPr>
                <w:rFonts w:ascii="Aptos" w:hAnsi="Aptos"/>
                <w:b w:val="0"/>
                <w:sz w:val="15"/>
              </w:rPr>
              <w:t>When applicable</w:t>
            </w:r>
          </w:p>
        </w:tc>
      </w:tr>
      <w:tr>
        <w:tc>
          <w:tcPr>
            <w:tcW w:type="dxa" w:w="3389"/>
            <w:vAlign w:val="top"/>
          </w:tcPr>
          <w:p>
            <w:pPr>
              <w:spacing w:after="0"/>
            </w:pPr>
            <w:r/>
            <w:r>
              <w:rPr>
                <w:rFonts w:ascii="Aptos" w:hAnsi="Aptos"/>
                <w:b w:val="0"/>
                <w:sz w:val="15"/>
              </w:rPr>
              <w:t>anatomical_site</w:t>
            </w:r>
          </w:p>
        </w:tc>
        <w:tc>
          <w:tcPr>
            <w:tcW w:type="dxa" w:w="3389"/>
            <w:vAlign w:val="top"/>
          </w:tcPr>
          <w:p>
            <w:pPr>
              <w:spacing w:after="0"/>
            </w:pPr>
            <w:r/>
            <w:r>
              <w:rPr>
                <w:rFonts w:ascii="Aptos" w:hAnsi="Aptos"/>
                <w:b w:val="0"/>
                <w:sz w:val="15"/>
              </w:rPr>
              <w:t>normalized anatomy</w:t>
            </w:r>
          </w:p>
        </w:tc>
        <w:tc>
          <w:tcPr>
            <w:tcW w:type="dxa" w:w="3389"/>
            <w:vAlign w:val="top"/>
          </w:tcPr>
          <w:p>
            <w:pPr>
              <w:spacing w:after="0"/>
            </w:pPr>
            <w:r/>
            <w:r>
              <w:rPr>
                <w:rFonts w:ascii="Aptos" w:hAnsi="Aptos"/>
                <w:b w:val="0"/>
                <w:sz w:val="15"/>
              </w:rPr>
              <w:t>When applicable</w:t>
            </w:r>
          </w:p>
        </w:tc>
      </w:tr>
      <w:tr>
        <w:tc>
          <w:tcPr>
            <w:tcW w:type="dxa" w:w="3389"/>
            <w:vAlign w:val="top"/>
          </w:tcPr>
          <w:p>
            <w:pPr>
              <w:spacing w:after="0"/>
            </w:pPr>
            <w:r/>
            <w:r>
              <w:rPr>
                <w:rFonts w:ascii="Aptos" w:hAnsi="Aptos"/>
                <w:b w:val="0"/>
                <w:sz w:val="15"/>
              </w:rPr>
              <w:t>source_document_type</w:t>
            </w:r>
          </w:p>
        </w:tc>
        <w:tc>
          <w:tcPr>
            <w:tcW w:type="dxa" w:w="3389"/>
            <w:vAlign w:val="top"/>
          </w:tcPr>
          <w:p>
            <w:pPr>
              <w:spacing w:after="0"/>
            </w:pPr>
            <w:r/>
            <w:r>
              <w:rPr>
                <w:rFonts w:ascii="Aptos" w:hAnsi="Aptos"/>
                <w:b w:val="0"/>
                <w:sz w:val="15"/>
              </w:rPr>
              <w:t>MRI/EEG/progress/EMU/etc.</w:t>
            </w:r>
          </w:p>
        </w:tc>
        <w:tc>
          <w:tcPr>
            <w:tcW w:type="dxa" w:w="3389"/>
            <w:vAlign w:val="top"/>
          </w:tcPr>
          <w:p>
            <w:pPr>
              <w:spacing w:after="0"/>
            </w:pPr>
            <w:r/>
            <w:r>
              <w:rPr>
                <w:rFonts w:ascii="Aptos" w:hAnsi="Aptos"/>
                <w:b w:val="0"/>
                <w:sz w:val="15"/>
              </w:rPr>
              <w:t>Required</w:t>
            </w:r>
          </w:p>
        </w:tc>
      </w:tr>
      <w:tr>
        <w:tc>
          <w:tcPr>
            <w:tcW w:type="dxa" w:w="3389"/>
            <w:vAlign w:val="top"/>
          </w:tcPr>
          <w:p>
            <w:pPr>
              <w:spacing w:after="0"/>
            </w:pPr>
            <w:r/>
            <w:r>
              <w:rPr>
                <w:rFonts w:ascii="Aptos" w:hAnsi="Aptos"/>
                <w:b w:val="0"/>
                <w:sz w:val="15"/>
              </w:rPr>
              <w:t>source_document_id</w:t>
            </w:r>
          </w:p>
        </w:tc>
        <w:tc>
          <w:tcPr>
            <w:tcW w:type="dxa" w:w="3389"/>
            <w:vAlign w:val="top"/>
          </w:tcPr>
          <w:p>
            <w:pPr>
              <w:spacing w:after="0"/>
            </w:pPr>
            <w:r/>
            <w:r>
              <w:rPr>
                <w:rFonts w:ascii="Aptos" w:hAnsi="Aptos"/>
                <w:b w:val="0"/>
                <w:sz w:val="15"/>
              </w:rPr>
              <w:t>pseudonymous document key</w:t>
            </w:r>
          </w:p>
        </w:tc>
        <w:tc>
          <w:tcPr>
            <w:tcW w:type="dxa" w:w="3389"/>
            <w:vAlign w:val="top"/>
          </w:tcPr>
          <w:p>
            <w:pPr>
              <w:spacing w:after="0"/>
            </w:pPr>
            <w:r/>
            <w:r>
              <w:rPr>
                <w:rFonts w:ascii="Aptos" w:hAnsi="Aptos"/>
                <w:b w:val="0"/>
                <w:sz w:val="15"/>
              </w:rPr>
              <w:t>Required</w:t>
            </w:r>
          </w:p>
        </w:tc>
      </w:tr>
      <w:tr>
        <w:tc>
          <w:tcPr>
            <w:tcW w:type="dxa" w:w="3389"/>
            <w:vAlign w:val="top"/>
          </w:tcPr>
          <w:p>
            <w:pPr>
              <w:spacing w:after="0"/>
            </w:pPr>
            <w:r/>
            <w:r>
              <w:rPr>
                <w:rFonts w:ascii="Aptos" w:hAnsi="Aptos"/>
                <w:b w:val="0"/>
                <w:sz w:val="15"/>
              </w:rPr>
              <w:t>document_datetime</w:t>
            </w:r>
          </w:p>
        </w:tc>
        <w:tc>
          <w:tcPr>
            <w:tcW w:type="dxa" w:w="3389"/>
            <w:vAlign w:val="top"/>
          </w:tcPr>
          <w:p>
            <w:pPr>
              <w:spacing w:after="0"/>
            </w:pPr>
            <w:r/>
            <w:r>
              <w:rPr>
                <w:rFonts w:ascii="Aptos" w:hAnsi="Aptos"/>
                <w:b w:val="0"/>
                <w:sz w:val="15"/>
              </w:rPr>
              <w:t>timestamp/date</w:t>
            </w:r>
          </w:p>
        </w:tc>
        <w:tc>
          <w:tcPr>
            <w:tcW w:type="dxa" w:w="3389"/>
            <w:vAlign w:val="top"/>
          </w:tcPr>
          <w:p>
            <w:pPr>
              <w:spacing w:after="0"/>
            </w:pPr>
            <w:r/>
            <w:r>
              <w:rPr>
                <w:rFonts w:ascii="Aptos" w:hAnsi="Aptos"/>
                <w:b w:val="0"/>
                <w:sz w:val="15"/>
              </w:rPr>
              <w:t>Required when available</w:t>
            </w:r>
          </w:p>
        </w:tc>
      </w:tr>
      <w:tr>
        <w:tc>
          <w:tcPr>
            <w:tcW w:type="dxa" w:w="3389"/>
            <w:vAlign w:val="top"/>
          </w:tcPr>
          <w:p>
            <w:pPr>
              <w:spacing w:after="0"/>
            </w:pPr>
            <w:r/>
            <w:r>
              <w:rPr>
                <w:rFonts w:ascii="Aptos" w:hAnsi="Aptos"/>
                <w:b w:val="0"/>
                <w:sz w:val="15"/>
              </w:rPr>
              <w:t>evidence_text</w:t>
            </w:r>
          </w:p>
        </w:tc>
        <w:tc>
          <w:tcPr>
            <w:tcW w:type="dxa" w:w="3389"/>
            <w:vAlign w:val="top"/>
          </w:tcPr>
          <w:p>
            <w:pPr>
              <w:spacing w:after="0"/>
            </w:pPr>
            <w:r/>
            <w:r>
              <w:rPr>
                <w:rFonts w:ascii="Aptos" w:hAnsi="Aptos"/>
                <w:b w:val="0"/>
                <w:sz w:val="15"/>
              </w:rPr>
              <w:t>minimal supporting span</w:t>
            </w:r>
          </w:p>
        </w:tc>
        <w:tc>
          <w:tcPr>
            <w:tcW w:type="dxa" w:w="3389"/>
            <w:vAlign w:val="top"/>
          </w:tcPr>
          <w:p>
            <w:pPr>
              <w:spacing w:after="0"/>
            </w:pPr>
            <w:r/>
            <w:r>
              <w:rPr>
                <w:rFonts w:ascii="Aptos" w:hAnsi="Aptos"/>
                <w:b w:val="0"/>
                <w:sz w:val="15"/>
              </w:rPr>
              <w:t>Required for extracted assertions</w:t>
            </w:r>
          </w:p>
        </w:tc>
      </w:tr>
      <w:tr>
        <w:tc>
          <w:tcPr>
            <w:tcW w:type="dxa" w:w="3389"/>
            <w:vAlign w:val="top"/>
          </w:tcPr>
          <w:p>
            <w:pPr>
              <w:spacing w:after="0"/>
            </w:pPr>
            <w:r/>
            <w:r>
              <w:rPr>
                <w:rFonts w:ascii="Aptos" w:hAnsi="Aptos"/>
                <w:b w:val="0"/>
                <w:sz w:val="15"/>
              </w:rPr>
              <w:t>evidence_offsets</w:t>
            </w:r>
          </w:p>
        </w:tc>
        <w:tc>
          <w:tcPr>
            <w:tcW w:type="dxa" w:w="3389"/>
            <w:vAlign w:val="top"/>
          </w:tcPr>
          <w:p>
            <w:pPr>
              <w:spacing w:after="0"/>
            </w:pPr>
            <w:r/>
            <w:r>
              <w:rPr>
                <w:rFonts w:ascii="Aptos" w:hAnsi="Aptos"/>
                <w:b w:val="0"/>
                <w:sz w:val="15"/>
              </w:rPr>
              <w:t>character/token offsets</w:t>
            </w:r>
          </w:p>
        </w:tc>
        <w:tc>
          <w:tcPr>
            <w:tcW w:type="dxa" w:w="3389"/>
            <w:vAlign w:val="top"/>
          </w:tcPr>
          <w:p>
            <w:pPr>
              <w:spacing w:after="0"/>
            </w:pPr>
            <w:r/>
            <w:r>
              <w:rPr>
                <w:rFonts w:ascii="Aptos" w:hAnsi="Aptos"/>
                <w:b w:val="0"/>
                <w:sz w:val="15"/>
              </w:rPr>
              <w:t>Recommended</w:t>
            </w:r>
          </w:p>
        </w:tc>
      </w:tr>
      <w:tr>
        <w:tc>
          <w:tcPr>
            <w:tcW w:type="dxa" w:w="3389"/>
            <w:vAlign w:val="top"/>
          </w:tcPr>
          <w:p>
            <w:pPr>
              <w:spacing w:after="0"/>
            </w:pPr>
            <w:r/>
            <w:r>
              <w:rPr>
                <w:rFonts w:ascii="Aptos" w:hAnsi="Aptos"/>
                <w:b w:val="0"/>
                <w:sz w:val="15"/>
              </w:rPr>
              <w:t>extractor</w:t>
            </w:r>
          </w:p>
        </w:tc>
        <w:tc>
          <w:tcPr>
            <w:tcW w:type="dxa" w:w="3389"/>
            <w:vAlign w:val="top"/>
          </w:tcPr>
          <w:p>
            <w:pPr>
              <w:spacing w:after="0"/>
            </w:pPr>
            <w:r/>
            <w:r>
              <w:rPr>
                <w:rFonts w:ascii="Aptos" w:hAnsi="Aptos"/>
                <w:b w:val="0"/>
                <w:sz w:val="15"/>
              </w:rPr>
              <w:t>model/rules + version</w:t>
            </w:r>
          </w:p>
        </w:tc>
        <w:tc>
          <w:tcPr>
            <w:tcW w:type="dxa" w:w="3389"/>
            <w:vAlign w:val="top"/>
          </w:tcPr>
          <w:p>
            <w:pPr>
              <w:spacing w:after="0"/>
            </w:pPr>
            <w:r/>
            <w:r>
              <w:rPr>
                <w:rFonts w:ascii="Aptos" w:hAnsi="Aptos"/>
                <w:b w:val="0"/>
                <w:sz w:val="15"/>
              </w:rPr>
              <w:t>Required</w:t>
            </w:r>
          </w:p>
        </w:tc>
      </w:tr>
      <w:tr>
        <w:tc>
          <w:tcPr>
            <w:tcW w:type="dxa" w:w="3389"/>
            <w:vAlign w:val="top"/>
          </w:tcPr>
          <w:p>
            <w:pPr>
              <w:spacing w:after="0"/>
            </w:pPr>
            <w:r/>
            <w:r>
              <w:rPr>
                <w:rFonts w:ascii="Aptos" w:hAnsi="Aptos"/>
                <w:b w:val="0"/>
                <w:sz w:val="15"/>
              </w:rPr>
              <w:t>prompt_schema_version</w:t>
            </w:r>
          </w:p>
        </w:tc>
        <w:tc>
          <w:tcPr>
            <w:tcW w:type="dxa" w:w="3389"/>
            <w:vAlign w:val="top"/>
          </w:tcPr>
          <w:p>
            <w:pPr>
              <w:spacing w:after="0"/>
            </w:pPr>
            <w:r/>
            <w:r>
              <w:rPr>
                <w:rFonts w:ascii="Aptos" w:hAnsi="Aptos"/>
                <w:b w:val="0"/>
                <w:sz w:val="15"/>
              </w:rPr>
              <w:t>versioned configuration</w:t>
            </w:r>
          </w:p>
        </w:tc>
        <w:tc>
          <w:tcPr>
            <w:tcW w:type="dxa" w:w="3389"/>
            <w:vAlign w:val="top"/>
          </w:tcPr>
          <w:p>
            <w:pPr>
              <w:spacing w:after="0"/>
            </w:pPr>
            <w:r/>
            <w:r>
              <w:rPr>
                <w:rFonts w:ascii="Aptos" w:hAnsi="Aptos"/>
                <w:b w:val="0"/>
                <w:sz w:val="15"/>
              </w:rPr>
              <w:t>For LLM extraction</w:t>
            </w:r>
          </w:p>
        </w:tc>
      </w:tr>
      <w:tr>
        <w:tc>
          <w:tcPr>
            <w:tcW w:type="dxa" w:w="3389"/>
            <w:vAlign w:val="top"/>
          </w:tcPr>
          <w:p>
            <w:pPr>
              <w:spacing w:after="0"/>
            </w:pPr>
            <w:r/>
            <w:r>
              <w:rPr>
                <w:rFonts w:ascii="Aptos" w:hAnsi="Aptos"/>
                <w:b w:val="0"/>
                <w:sz w:val="15"/>
              </w:rPr>
              <w:t>verification_status</w:t>
            </w:r>
          </w:p>
        </w:tc>
        <w:tc>
          <w:tcPr>
            <w:tcW w:type="dxa" w:w="3389"/>
            <w:vAlign w:val="top"/>
          </w:tcPr>
          <w:p>
            <w:pPr>
              <w:spacing w:after="0"/>
            </w:pPr>
            <w:r/>
            <w:r>
              <w:rPr>
                <w:rFonts w:ascii="Aptos" w:hAnsi="Aptos"/>
                <w:b w:val="0"/>
                <w:sz w:val="15"/>
              </w:rPr>
              <w:t>supported/conflicted/rejected/unverified</w:t>
            </w:r>
          </w:p>
        </w:tc>
        <w:tc>
          <w:tcPr>
            <w:tcW w:type="dxa" w:w="3389"/>
            <w:vAlign w:val="top"/>
          </w:tcPr>
          <w:p>
            <w:pPr>
              <w:spacing w:after="0"/>
            </w:pPr>
            <w:r/>
            <w:r>
              <w:rPr>
                <w:rFonts w:ascii="Aptos" w:hAnsi="Aptos"/>
                <w:b w:val="0"/>
                <w:sz w:val="15"/>
              </w:rPr>
              <w:t>Required</w:t>
            </w:r>
          </w:p>
        </w:tc>
      </w:tr>
      <w:tr>
        <w:tc>
          <w:tcPr>
            <w:tcW w:type="dxa" w:w="3389"/>
            <w:vAlign w:val="top"/>
          </w:tcPr>
          <w:p>
            <w:pPr>
              <w:spacing w:after="0"/>
            </w:pPr>
            <w:r/>
            <w:r>
              <w:rPr>
                <w:rFonts w:ascii="Aptos" w:hAnsi="Aptos"/>
                <w:b w:val="0"/>
                <w:sz w:val="15"/>
              </w:rPr>
              <w:t>verifier</w:t>
            </w:r>
          </w:p>
        </w:tc>
        <w:tc>
          <w:tcPr>
            <w:tcW w:type="dxa" w:w="3389"/>
            <w:vAlign w:val="top"/>
          </w:tcPr>
          <w:p>
            <w:pPr>
              <w:spacing w:after="0"/>
            </w:pPr>
            <w:r/>
            <w:r>
              <w:rPr>
                <w:rFonts w:ascii="Aptos" w:hAnsi="Aptos"/>
                <w:b w:val="0"/>
                <w:sz w:val="15"/>
              </w:rPr>
              <w:t>model/human + version/role</w:t>
            </w:r>
          </w:p>
        </w:tc>
        <w:tc>
          <w:tcPr>
            <w:tcW w:type="dxa" w:w="3389"/>
            <w:vAlign w:val="top"/>
          </w:tcPr>
          <w:p>
            <w:pPr>
              <w:spacing w:after="0"/>
            </w:pPr>
            <w:r/>
            <w:r>
              <w:rPr>
                <w:rFonts w:ascii="Aptos" w:hAnsi="Aptos"/>
                <w:b w:val="0"/>
                <w:sz w:val="15"/>
              </w:rPr>
              <w:t>When verification performed</w:t>
            </w:r>
          </w:p>
        </w:tc>
      </w:tr>
      <w:tr>
        <w:tc>
          <w:tcPr>
            <w:tcW w:type="dxa" w:w="3389"/>
            <w:vAlign w:val="top"/>
          </w:tcPr>
          <w:p>
            <w:pPr>
              <w:spacing w:after="0"/>
            </w:pPr>
            <w:r/>
            <w:r>
              <w:rPr>
                <w:rFonts w:ascii="Aptos" w:hAnsi="Aptos"/>
                <w:b w:val="0"/>
                <w:sz w:val="15"/>
              </w:rPr>
              <w:t>human_review_status</w:t>
            </w:r>
          </w:p>
        </w:tc>
        <w:tc>
          <w:tcPr>
            <w:tcW w:type="dxa" w:w="3389"/>
            <w:vAlign w:val="top"/>
          </w:tcPr>
          <w:p>
            <w:pPr>
              <w:spacing w:after="0"/>
            </w:pPr>
            <w:r/>
            <w:r>
              <w:rPr>
                <w:rFonts w:ascii="Aptos" w:hAnsi="Aptos"/>
                <w:b w:val="0"/>
                <w:sz w:val="15"/>
              </w:rPr>
              <w:t>not reviewed/accepted/modified/rejected</w:t>
            </w:r>
          </w:p>
        </w:tc>
        <w:tc>
          <w:tcPr>
            <w:tcW w:type="dxa" w:w="3389"/>
            <w:vAlign w:val="top"/>
          </w:tcPr>
          <w:p>
            <w:pPr>
              <w:spacing w:after="0"/>
            </w:pPr>
            <w:r/>
            <w:r>
              <w:rPr>
                <w:rFonts w:ascii="Aptos" w:hAnsi="Aptos"/>
                <w:b w:val="0"/>
                <w:sz w:val="15"/>
              </w:rPr>
              <w:t>Required</w:t>
            </w:r>
          </w:p>
        </w:tc>
      </w:tr>
      <w:tr>
        <w:tc>
          <w:tcPr>
            <w:tcW w:type="dxa" w:w="3389"/>
            <w:vAlign w:val="top"/>
          </w:tcPr>
          <w:p>
            <w:pPr>
              <w:spacing w:after="0"/>
            </w:pPr>
            <w:r/>
            <w:r>
              <w:rPr>
                <w:rFonts w:ascii="Aptos" w:hAnsi="Aptos"/>
                <w:b w:val="0"/>
                <w:sz w:val="15"/>
              </w:rPr>
              <w:t>mapping_provenance</w:t>
            </w:r>
          </w:p>
        </w:tc>
        <w:tc>
          <w:tcPr>
            <w:tcW w:type="dxa" w:w="3389"/>
            <w:vAlign w:val="top"/>
          </w:tcPr>
          <w:p>
            <w:pPr>
              <w:spacing w:after="0"/>
            </w:pPr>
            <w:r/>
            <w:r>
              <w:rPr>
                <w:rFonts w:ascii="Aptos" w:hAnsi="Aptos"/>
                <w:b w:val="0"/>
                <w:sz w:val="15"/>
              </w:rPr>
              <w:t>ILAE/NINDS/EpSO/SNOMED/RxNorm/RadLex IDs</w:t>
            </w:r>
          </w:p>
        </w:tc>
        <w:tc>
          <w:tcPr>
            <w:tcW w:type="dxa" w:w="3389"/>
            <w:vAlign w:val="top"/>
          </w:tcPr>
          <w:p>
            <w:pPr>
              <w:spacing w:after="0"/>
            </w:pPr>
            <w:r/>
            <w:r>
              <w:rPr>
                <w:rFonts w:ascii="Aptos" w:hAnsi="Aptos"/>
                <w:b w:val="0"/>
                <w:sz w:val="15"/>
              </w:rPr>
              <w:t>Recommended</w:t>
            </w:r>
          </w:p>
        </w:tc>
      </w:tr>
    </w:tbl>
    <w:p/>
    <w:p>
      <w:pPr>
        <w:pStyle w:val="Heading1"/>
      </w:pPr>
      <w:r>
        <w:t>9. Core phenotype modules for MedAI v1</w:t>
      </w:r>
    </w:p>
    <w:p>
      <w:pPr>
        <w:pStyle w:val="Heading2"/>
      </w:pPr>
      <w:r>
        <w:t>Diagnosis &amp; classification</w:t>
      </w:r>
    </w:p>
    <w:p>
      <w:r>
        <w:t>epilepsy_status, epilepsy_type, syndrome, seizure_class, seizure_type, diagnostic_certainty.</w:t>
      </w:r>
    </w:p>
    <w:p>
      <w:pPr>
        <w:pStyle w:val="Heading2"/>
      </w:pPr>
      <w:r>
        <w:t>Semiology</w:t>
      </w:r>
    </w:p>
    <w:p>
      <w:r>
        <w:t>consciousness, aura, motor manifestations, sensory manifestations, autonomic manifestations, cognitive/language manifestations, behavioral arrest, automatisms, postictal features, chronological sequence.</w:t>
      </w:r>
    </w:p>
    <w:p>
      <w:pPr>
        <w:pStyle w:val="Heading2"/>
      </w:pPr>
      <w:r>
        <w:t>Seizure burden</w:t>
      </w:r>
    </w:p>
    <w:p>
      <w:r>
        <w:t>frequency, frequency unit, duration, last seizure, seizure-free interval, clusters, status epilepticus history.</w:t>
      </w:r>
    </w:p>
    <w:p>
      <w:pPr>
        <w:pStyle w:val="Heading2"/>
      </w:pPr>
      <w:r>
        <w:t>Etiology</w:t>
      </w:r>
    </w:p>
    <w:p>
      <w:r>
        <w:t>etiology class, structural subtype, genetic evidence, infectious/metabolic/immune cause, unknown, multiple etiologies, causal certainty.</w:t>
      </w:r>
    </w:p>
    <w:p>
      <w:pPr>
        <w:pStyle w:val="Heading2"/>
      </w:pPr>
      <w:r>
        <w:t>EEG</w:t>
      </w:r>
    </w:p>
    <w:p>
      <w:r>
        <w:t>study type, background, IED present, IED morphology, IED location, IED laterality, seizures captured, ictal onset location, ictal laterality, electroclinical correlation.</w:t>
      </w:r>
    </w:p>
    <w:p>
      <w:pPr>
        <w:pStyle w:val="Heading2"/>
      </w:pPr>
      <w:r>
        <w:t>MRI</w:t>
      </w:r>
    </w:p>
    <w:p>
      <w:r>
        <w:t>study type/protocol, normal/abnormal, lesion present, lesion type, HS, FCD, tumor, vascular/injury/malformation, location, laterality, certainty, MRI-negative designation.</w:t>
      </w:r>
    </w:p>
    <w:p>
      <w:pPr>
        <w:pStyle w:val="Heading2"/>
      </w:pPr>
      <w:r>
        <w:t>Treatment</w:t>
      </w:r>
    </w:p>
    <w:p>
      <w:r>
        <w:t>current ASM, prior ASM, dose, status, reason stopped, adverse effects, adequate trial, treatment outcome, DRE status.</w:t>
      </w:r>
    </w:p>
    <w:p>
      <w:pPr>
        <w:pStyle w:val="Heading2"/>
      </w:pPr>
      <w:r>
        <w:t>Procedures</w:t>
      </w:r>
    </w:p>
    <w:p>
      <w:r>
        <w:t>EMU, SEEG, resection, ablation, VNS, RNS, DBS, procedure date, target/location/laterality.</w:t>
      </w:r>
    </w:p>
    <w:p>
      <w:pPr>
        <w:pStyle w:val="Heading2"/>
      </w:pPr>
      <w:r>
        <w:t>Outcomes</w:t>
      </w:r>
    </w:p>
    <w:p>
      <w:r>
        <w:t>seizure freedom, Engel outcome if documented, ILAE surgical outcome if documented, postoperative seizure frequency, treatment response.</w:t>
      </w:r>
    </w:p>
    <w:p>
      <w:pPr>
        <w:pStyle w:val="Heading2"/>
      </w:pPr>
      <w:r>
        <w:t>Research synthesis</w:t>
      </w:r>
    </w:p>
    <w:p>
      <w:r>
        <w:t>clinical localization, EEG localization, MRI localization, multimodal concordance, discordance, review priority.</w:t>
      </w:r>
    </w:p>
    <w:p>
      <w:pPr>
        <w:pStyle w:val="Heading1"/>
      </w:pPr>
      <w:r>
        <w:t>10. Document-type extraction profiles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pPr>
            <w:r/>
            <w:r>
              <w:rPr>
                <w:rFonts w:ascii="Aptos" w:hAnsi="Aptos"/>
                <w:b/>
                <w:sz w:val="16"/>
              </w:rPr>
              <w:t>Document type</w:t>
            </w:r>
          </w:p>
        </w:tc>
        <w:tc>
          <w:tcPr>
            <w:tcW w:type="dxa" w:w="3389"/>
            <w:shd w:fill="D9EAF7"/>
            <w:vAlign w:val="center"/>
          </w:tcPr>
          <w:p>
            <w:pPr>
              <w:spacing w:after="0"/>
            </w:pPr>
            <w:r/>
            <w:r>
              <w:rPr>
                <w:rFonts w:ascii="Aptos" w:hAnsi="Aptos"/>
                <w:b/>
                <w:sz w:val="16"/>
              </w:rPr>
              <w:t>Primary fields</w:t>
            </w:r>
          </w:p>
        </w:tc>
        <w:tc>
          <w:tcPr>
            <w:tcW w:type="dxa" w:w="3389"/>
            <w:shd w:fill="D9EAF7"/>
            <w:vAlign w:val="center"/>
          </w:tcPr>
          <w:p>
            <w:pPr>
              <w:spacing w:after="0"/>
            </w:pPr>
            <w:r/>
            <w:r>
              <w:rPr>
                <w:rFonts w:ascii="Aptos" w:hAnsi="Aptos"/>
                <w:b/>
                <w:sz w:val="16"/>
              </w:rPr>
              <w:t>Fields that should usually require another source</w:t>
            </w:r>
          </w:p>
        </w:tc>
      </w:tr>
      <w:tr>
        <w:tc>
          <w:tcPr>
            <w:tcW w:type="dxa" w:w="3389"/>
            <w:vAlign w:val="top"/>
          </w:tcPr>
          <w:p>
            <w:pPr>
              <w:spacing w:after="0"/>
            </w:pPr>
            <w:r/>
            <w:r>
              <w:rPr>
                <w:rFonts w:ascii="Aptos" w:hAnsi="Aptos"/>
                <w:b w:val="0"/>
                <w:sz w:val="15"/>
              </w:rPr>
              <w:t>MRI report</w:t>
            </w:r>
          </w:p>
        </w:tc>
        <w:tc>
          <w:tcPr>
            <w:tcW w:type="dxa" w:w="3389"/>
            <w:vAlign w:val="top"/>
          </w:tcPr>
          <w:p>
            <w:pPr>
              <w:spacing w:after="0"/>
            </w:pPr>
            <w:r/>
            <w:r>
              <w:rPr>
                <w:rFonts w:ascii="Aptos" w:hAnsi="Aptos"/>
                <w:b w:val="0"/>
                <w:sz w:val="15"/>
              </w:rPr>
              <w:t>lesion, HS/FCD, imaging location/laterality, imaging certainty, structural abnormalities</w:t>
            </w:r>
          </w:p>
        </w:tc>
        <w:tc>
          <w:tcPr>
            <w:tcW w:type="dxa" w:w="3389"/>
            <w:vAlign w:val="top"/>
          </w:tcPr>
          <w:p>
            <w:pPr>
              <w:spacing w:after="0"/>
            </w:pPr>
            <w:r/>
            <w:r>
              <w:rPr>
                <w:rFonts w:ascii="Aptos" w:hAnsi="Aptos"/>
                <w:b w:val="0"/>
                <w:sz w:val="15"/>
              </w:rPr>
              <w:t>DRE, seizure frequency, clinical syndrome unless explicitly stated</w:t>
            </w:r>
          </w:p>
        </w:tc>
      </w:tr>
      <w:tr>
        <w:tc>
          <w:tcPr>
            <w:tcW w:type="dxa" w:w="3389"/>
            <w:vAlign w:val="top"/>
          </w:tcPr>
          <w:p>
            <w:pPr>
              <w:spacing w:after="0"/>
            </w:pPr>
            <w:r/>
            <w:r>
              <w:rPr>
                <w:rFonts w:ascii="Aptos" w:hAnsi="Aptos"/>
                <w:b w:val="0"/>
                <w:sz w:val="15"/>
              </w:rPr>
              <w:t>Routine/ambulatory EEG</w:t>
            </w:r>
          </w:p>
        </w:tc>
        <w:tc>
          <w:tcPr>
            <w:tcW w:type="dxa" w:w="3389"/>
            <w:vAlign w:val="top"/>
          </w:tcPr>
          <w:p>
            <w:pPr>
              <w:spacing w:after="0"/>
            </w:pPr>
            <w:r/>
            <w:r>
              <w:rPr>
                <w:rFonts w:ascii="Aptos" w:hAnsi="Aptos"/>
                <w:b w:val="0"/>
                <w:sz w:val="15"/>
              </w:rPr>
              <w:t>background, IEDs, electrographic seizures, location/laterality, activation findings</w:t>
            </w:r>
          </w:p>
        </w:tc>
        <w:tc>
          <w:tcPr>
            <w:tcW w:type="dxa" w:w="3389"/>
            <w:vAlign w:val="top"/>
          </w:tcPr>
          <w:p>
            <w:pPr>
              <w:spacing w:after="0"/>
            </w:pPr>
            <w:r/>
            <w:r>
              <w:rPr>
                <w:rFonts w:ascii="Aptos" w:hAnsi="Aptos"/>
                <w:b w:val="0"/>
                <w:sz w:val="15"/>
              </w:rPr>
              <w:t>MRI lesion, medication failure, surgical outcome</w:t>
            </w:r>
          </w:p>
        </w:tc>
      </w:tr>
      <w:tr>
        <w:tc>
          <w:tcPr>
            <w:tcW w:type="dxa" w:w="3389"/>
            <w:vAlign w:val="top"/>
          </w:tcPr>
          <w:p>
            <w:pPr>
              <w:spacing w:after="0"/>
            </w:pPr>
            <w:r/>
            <w:r>
              <w:rPr>
                <w:rFonts w:ascii="Aptos" w:hAnsi="Aptos"/>
                <w:b w:val="0"/>
                <w:sz w:val="15"/>
              </w:rPr>
              <w:t>EMU/video-EEG</w:t>
            </w:r>
          </w:p>
        </w:tc>
        <w:tc>
          <w:tcPr>
            <w:tcW w:type="dxa" w:w="3389"/>
            <w:vAlign w:val="top"/>
          </w:tcPr>
          <w:p>
            <w:pPr>
              <w:spacing w:after="0"/>
            </w:pPr>
            <w:r/>
            <w:r>
              <w:rPr>
                <w:rFonts w:ascii="Aptos" w:hAnsi="Aptos"/>
                <w:b w:val="0"/>
                <w:sz w:val="15"/>
              </w:rPr>
              <w:t>captured events, ictal/interictal findings, electroclinical correlation, event semiology</w:t>
            </w:r>
          </w:p>
        </w:tc>
        <w:tc>
          <w:tcPr>
            <w:tcW w:type="dxa" w:w="3389"/>
            <w:vAlign w:val="top"/>
          </w:tcPr>
          <w:p>
            <w:pPr>
              <w:spacing w:after="0"/>
            </w:pPr>
            <w:r/>
            <w:r>
              <w:rPr>
                <w:rFonts w:ascii="Aptos" w:hAnsi="Aptos"/>
                <w:b w:val="0"/>
                <w:sz w:val="15"/>
              </w:rPr>
              <w:t>Definitive etiology unless documented</w:t>
            </w:r>
          </w:p>
        </w:tc>
      </w:tr>
      <w:tr>
        <w:tc>
          <w:tcPr>
            <w:tcW w:type="dxa" w:w="3389"/>
            <w:vAlign w:val="top"/>
          </w:tcPr>
          <w:p>
            <w:pPr>
              <w:spacing w:after="0"/>
            </w:pPr>
            <w:r/>
            <w:r>
              <w:rPr>
                <w:rFonts w:ascii="Aptos" w:hAnsi="Aptos"/>
                <w:b w:val="0"/>
                <w:sz w:val="15"/>
              </w:rPr>
              <w:t>Progress/epilepsy note</w:t>
            </w:r>
          </w:p>
        </w:tc>
        <w:tc>
          <w:tcPr>
            <w:tcW w:type="dxa" w:w="3389"/>
            <w:vAlign w:val="top"/>
          </w:tcPr>
          <w:p>
            <w:pPr>
              <w:spacing w:after="0"/>
            </w:pPr>
            <w:r/>
            <w:r>
              <w:rPr>
                <w:rFonts w:ascii="Aptos" w:hAnsi="Aptos"/>
                <w:b w:val="0"/>
                <w:sz w:val="15"/>
              </w:rPr>
              <w:t>seizure burden, semiology, medications, treatment response, diagnostic assessment</w:t>
            </w:r>
          </w:p>
        </w:tc>
        <w:tc>
          <w:tcPr>
            <w:tcW w:type="dxa" w:w="3389"/>
            <w:vAlign w:val="top"/>
          </w:tcPr>
          <w:p>
            <w:pPr>
              <w:spacing w:after="0"/>
            </w:pPr>
            <w:r/>
            <w:r>
              <w:rPr>
                <w:rFonts w:ascii="Aptos" w:hAnsi="Aptos"/>
                <w:b w:val="0"/>
                <w:sz w:val="15"/>
              </w:rPr>
              <w:t>Detailed raw imaging/EEG findings unless quoted or summarized</w:t>
            </w:r>
          </w:p>
        </w:tc>
      </w:tr>
      <w:tr>
        <w:tc>
          <w:tcPr>
            <w:tcW w:type="dxa" w:w="3389"/>
            <w:vAlign w:val="top"/>
          </w:tcPr>
          <w:p>
            <w:pPr>
              <w:spacing w:after="0"/>
            </w:pPr>
            <w:r/>
            <w:r>
              <w:rPr>
                <w:rFonts w:ascii="Aptos" w:hAnsi="Aptos"/>
                <w:b w:val="0"/>
                <w:sz w:val="15"/>
              </w:rPr>
              <w:t>Presurgical evaluation</w:t>
            </w:r>
          </w:p>
        </w:tc>
        <w:tc>
          <w:tcPr>
            <w:tcW w:type="dxa" w:w="3389"/>
            <w:vAlign w:val="top"/>
          </w:tcPr>
          <w:p>
            <w:pPr>
              <w:spacing w:after="0"/>
            </w:pPr>
            <w:r/>
            <w:r>
              <w:rPr>
                <w:rFonts w:ascii="Aptos" w:hAnsi="Aptos"/>
                <w:b w:val="0"/>
                <w:sz w:val="15"/>
              </w:rPr>
              <w:t>multimodal synthesis, hypotheses, concordance/discordance, treatment plan</w:t>
            </w:r>
          </w:p>
        </w:tc>
        <w:tc>
          <w:tcPr>
            <w:tcW w:type="dxa" w:w="3389"/>
            <w:vAlign w:val="top"/>
          </w:tcPr>
          <w:p>
            <w:pPr>
              <w:spacing w:after="0"/>
            </w:pPr>
            <w:r/>
            <w:r>
              <w:rPr>
                <w:rFonts w:ascii="Aptos" w:hAnsi="Aptos"/>
                <w:b w:val="0"/>
                <w:sz w:val="15"/>
              </w:rPr>
              <w:t>Raw modality details not explicitly documented</w:t>
            </w:r>
          </w:p>
        </w:tc>
      </w:tr>
      <w:tr>
        <w:tc>
          <w:tcPr>
            <w:tcW w:type="dxa" w:w="3389"/>
            <w:vAlign w:val="top"/>
          </w:tcPr>
          <w:p>
            <w:pPr>
              <w:spacing w:after="0"/>
            </w:pPr>
            <w:r/>
            <w:r>
              <w:rPr>
                <w:rFonts w:ascii="Aptos" w:hAnsi="Aptos"/>
                <w:b w:val="0"/>
                <w:sz w:val="15"/>
              </w:rPr>
              <w:t>Conference note</w:t>
            </w:r>
          </w:p>
        </w:tc>
        <w:tc>
          <w:tcPr>
            <w:tcW w:type="dxa" w:w="3389"/>
            <w:vAlign w:val="top"/>
          </w:tcPr>
          <w:p>
            <w:pPr>
              <w:spacing w:after="0"/>
            </w:pPr>
            <w:r/>
            <w:r>
              <w:rPr>
                <w:rFonts w:ascii="Aptos" w:hAnsi="Aptos"/>
                <w:b w:val="0"/>
                <w:sz w:val="15"/>
              </w:rPr>
              <w:t>multidisciplinary consensus/recommendation and uncertainty</w:t>
            </w:r>
          </w:p>
        </w:tc>
        <w:tc>
          <w:tcPr>
            <w:tcW w:type="dxa" w:w="3389"/>
            <w:vAlign w:val="top"/>
          </w:tcPr>
          <w:p>
            <w:pPr>
              <w:spacing w:after="0"/>
            </w:pPr>
            <w:r/>
            <w:r>
              <w:rPr>
                <w:rFonts w:ascii="Aptos" w:hAnsi="Aptos"/>
                <w:b w:val="0"/>
                <w:sz w:val="15"/>
              </w:rPr>
              <w:t>Treat consensus as separate from underlying modality facts</w:t>
            </w:r>
          </w:p>
        </w:tc>
      </w:tr>
      <w:tr>
        <w:tc>
          <w:tcPr>
            <w:tcW w:type="dxa" w:w="3389"/>
            <w:vAlign w:val="top"/>
          </w:tcPr>
          <w:p>
            <w:pPr>
              <w:spacing w:after="0"/>
            </w:pPr>
            <w:r/>
            <w:r>
              <w:rPr>
                <w:rFonts w:ascii="Aptos" w:hAnsi="Aptos"/>
                <w:b w:val="0"/>
                <w:sz w:val="15"/>
              </w:rPr>
              <w:t>Procedure/surgery note</w:t>
            </w:r>
          </w:p>
        </w:tc>
        <w:tc>
          <w:tcPr>
            <w:tcW w:type="dxa" w:w="3389"/>
            <w:vAlign w:val="top"/>
          </w:tcPr>
          <w:p>
            <w:pPr>
              <w:spacing w:after="0"/>
            </w:pPr>
            <w:r/>
            <w:r>
              <w:rPr>
                <w:rFonts w:ascii="Aptos" w:hAnsi="Aptos"/>
                <w:b w:val="0"/>
                <w:sz w:val="15"/>
              </w:rPr>
              <w:t>procedure, target, laterality, date, operative findings</w:t>
            </w:r>
          </w:p>
        </w:tc>
        <w:tc>
          <w:tcPr>
            <w:tcW w:type="dxa" w:w="3389"/>
            <w:vAlign w:val="top"/>
          </w:tcPr>
          <w:p>
            <w:pPr>
              <w:spacing w:after="0"/>
            </w:pPr>
            <w:r/>
            <w:r>
              <w:rPr>
                <w:rFonts w:ascii="Aptos" w:hAnsi="Aptos"/>
                <w:b w:val="0"/>
                <w:sz w:val="15"/>
              </w:rPr>
              <w:t>Long-term outcome unless documented later</w:t>
            </w:r>
          </w:p>
        </w:tc>
      </w:tr>
      <w:tr>
        <w:tc>
          <w:tcPr>
            <w:tcW w:type="dxa" w:w="3389"/>
            <w:vAlign w:val="top"/>
          </w:tcPr>
          <w:p>
            <w:pPr>
              <w:spacing w:after="0"/>
            </w:pPr>
            <w:r/>
            <w:r>
              <w:rPr>
                <w:rFonts w:ascii="Aptos" w:hAnsi="Aptos"/>
                <w:b w:val="0"/>
                <w:sz w:val="15"/>
              </w:rPr>
              <w:t>Discharge summary</w:t>
            </w:r>
          </w:p>
        </w:tc>
        <w:tc>
          <w:tcPr>
            <w:tcW w:type="dxa" w:w="3389"/>
            <w:vAlign w:val="top"/>
          </w:tcPr>
          <w:p>
            <w:pPr>
              <w:spacing w:after="0"/>
            </w:pPr>
            <w:r/>
            <w:r>
              <w:rPr>
                <w:rFonts w:ascii="Aptos" w:hAnsi="Aptos"/>
                <w:b w:val="0"/>
                <w:sz w:val="15"/>
              </w:rPr>
              <w:t>hospital course, diagnoses, medication changes, procedures</w:t>
            </w:r>
          </w:p>
        </w:tc>
        <w:tc>
          <w:tcPr>
            <w:tcW w:type="dxa" w:w="3389"/>
            <w:vAlign w:val="top"/>
          </w:tcPr>
          <w:p>
            <w:pPr>
              <w:spacing w:after="0"/>
            </w:pPr>
            <w:r/>
            <w:r>
              <w:rPr>
                <w:rFonts w:ascii="Aptos" w:hAnsi="Aptos"/>
                <w:b w:val="0"/>
                <w:sz w:val="15"/>
              </w:rPr>
              <w:t>Longitudinal outcome beyond discharge</w:t>
            </w:r>
          </w:p>
        </w:tc>
      </w:tr>
    </w:tbl>
    <w:p/>
    <w:p>
      <w:pPr>
        <w:pStyle w:val="Heading1"/>
      </w:pPr>
      <w:r>
        <w:t>11. Longitudinal model</w:t>
      </w:r>
    </w:p>
    <w:p>
      <w:r>
        <w:t>MedAI should never collapse changing clinical facts into one timeless value. Assertions should be event- or interval-based. A patient may have historical seizure frequency, current seizure frequency, medication transitions, evolving MRI interpretations, and changing post-treatment outcomes. The patient-level phenotype is therefore a time-indexed graph rather than a flat row.</w:t>
      </w:r>
    </w:p>
    <w:p>
      <w:pPr>
        <w:pStyle w:val="CodeBlock"/>
      </w:pPr>
      <w:r>
        <w:t>Patient</w:t>
        <w:br/>
        <w:t xml:space="preserve">  |</w:t>
        <w:br/>
        <w:t xml:space="preserve">  +-- 2022-01 seizure_frequency = 5/month</w:t>
        <w:br/>
        <w:t xml:space="preserve">  +-- 2022-04 levetiracetam = started</w:t>
        <w:br/>
        <w:t xml:space="preserve">  +-- 2022-10 levetiracetam = discontinued (adverse effect)</w:t>
        <w:br/>
        <w:t xml:space="preserve">  +-- 2023-02 lamotrigine = adequate trial / failed seizure control</w:t>
        <w:br/>
        <w:t xml:space="preserve">  +-- 2023-08 MRI = left HS (probable)</w:t>
        <w:br/>
        <w:t xml:space="preserve">  +-- 2023-10 EMU = left temporal ictal onset</w:t>
        <w:br/>
        <w:t xml:space="preserve">  +-- 2024-03 surgery = left temporal procedure</w:t>
        <w:br/>
        <w:t xml:space="preserve">  +-- 2025-03 seizure_status = seizure free</w:t>
      </w:r>
    </w:p>
    <w:p>
      <w:pPr>
        <w:pStyle w:val="Heading1"/>
      </w:pPr>
      <w:r>
        <w:t>12. Contradiction and concordance representation</w:t>
      </w:r>
    </w:p>
    <w:p>
      <w:pPr>
        <w:pStyle w:val="ListBullet"/>
        <w:ind w:left="360" w:hanging="173"/>
      </w:pPr>
      <w:r>
        <w:t>Never overwrite discordant evidence simply because a later document exists.</w:t>
      </w:r>
    </w:p>
    <w:p>
      <w:pPr>
        <w:pStyle w:val="ListBullet"/>
        <w:ind w:left="360" w:hanging="173"/>
      </w:pPr>
      <w:r>
        <w:t>Distinguish true contradiction from temporal evolution: different values at different dates may both be correct.</w:t>
      </w:r>
    </w:p>
    <w:p>
      <w:pPr>
        <w:pStyle w:val="ListBullet"/>
        <w:ind w:left="360" w:hanging="173"/>
      </w:pPr>
      <w:r>
        <w:t>Store source-specific assertions first; compute patient-level synthesis second.</w:t>
      </w:r>
    </w:p>
    <w:p>
      <w:pPr>
        <w:pStyle w:val="ListBullet"/>
        <w:ind w:left="360" w:hanging="173"/>
      </w:pPr>
      <w:r>
        <w:t>Represent concordance as a derived research variable with explicit inputs and rules.</w:t>
      </w:r>
    </w:p>
    <w:p>
      <w:pPr>
        <w:pStyle w:val="ListBullet"/>
        <w:ind w:left="360" w:hanging="173"/>
      </w:pPr>
      <w:r>
        <w:t>Route clinically important unresolved conflicts to human review.</w:t>
      </w:r>
    </w:p>
    <w:p>
      <w:pPr>
        <w:pStyle w:val="CodeBlock"/>
      </w:pPr>
      <w:r>
        <w:t>MRI assertion: possible left mesial temporal sclerosis</w:t>
        <w:br/>
        <w:t>EEG assertion: definite right temporal ictal onset</w:t>
        <w:br/>
        <w:t>Semiology assertion: left temporal hypothesis</w:t>
        <w:br/>
        <w:br/>
        <w:t>Derived concordance:</w:t>
        <w:br/>
        <w:t xml:space="preserve">  status = discordant</w:t>
        <w:br/>
        <w:t xml:space="preserve">  inputs = [MRI_A12, EEG_A43, CLIN_A51]</w:t>
        <w:br/>
        <w:t xml:space="preserve">  rule_version = concordance-v0.1</w:t>
        <w:br/>
        <w:t xml:space="preserve">  human_review_required = true</w:t>
      </w:r>
    </w:p>
    <w:p>
      <w:pPr>
        <w:pStyle w:val="Heading1"/>
      </w:pPr>
      <w:r>
        <w:t>13. Synthetic data ontology and generation rules</w:t>
      </w:r>
    </w:p>
    <w:p>
      <w:r>
        <w:t>Synthetic generation should be knowledge-constrained. Ground truth must be created before prose. The generator should sample legal phenotype combinations from the ontology/rule layer, construct a patient timeline, then render different documents from selected subsets of that truth. The LLM that later performs extraction must not define the benchmark labels.</w:t>
      </w:r>
    </w:p>
    <w:p>
      <w:pPr>
        <w:pStyle w:val="CodeBlock"/>
      </w:pPr>
      <w:r>
        <w:t>Standards / ontology</w:t>
        <w:br/>
        <w:t xml:space="preserve">        |</w:t>
        <w:br/>
        <w:t xml:space="preserve">        v</w:t>
        <w:br/>
        <w:t>Structured latent patient truth</w:t>
        <w:br/>
        <w:t xml:space="preserve">        |</w:t>
        <w:br/>
        <w:t xml:space="preserve">        +--&gt; validity rules</w:t>
        <w:br/>
        <w:t xml:space="preserve">        +--&gt; temporal rules</w:t>
        <w:br/>
        <w:t xml:space="preserve">        +--&gt; cross-field constraints</w:t>
        <w:br/>
        <w:t xml:space="preserve">        |</w:t>
        <w:br/>
        <w:t xml:space="preserve">        v</w:t>
        <w:br/>
        <w:t>Clinical event timeline</w:t>
        <w:br/>
        <w:t xml:space="preserve">        |</w:t>
        <w:br/>
        <w:t xml:space="preserve">        +--&gt; MRI report generator</w:t>
        <w:br/>
        <w:t xml:space="preserve">        +--&gt; EEG report generator</w:t>
        <w:br/>
        <w:t xml:space="preserve">        +--&gt; progress-note generator</w:t>
        <w:br/>
        <w:t xml:space="preserve">        +--&gt; EMU/presurgical generator</w:t>
        <w:br/>
        <w:t xml:space="preserve">        |</w:t>
        <w:br/>
        <w:t xml:space="preserve">        v</w:t>
        <w:br/>
        <w:t>Synthetic document corpus</w:t>
        <w:br/>
        <w:t xml:space="preserve">        |</w:t>
        <w:br/>
        <w:t xml:space="preserve">        v</w:t>
        <w:br/>
        <w:t>Independent MedAI extraction</w:t>
        <w:br/>
        <w:t xml:space="preserve">        |</w:t>
        <w:br/>
        <w:t xml:space="preserve">        v</w:t>
        <w:br/>
        <w:t>Compare prediction with original latent truth</w:t>
      </w:r>
    </w:p>
    <w:p>
      <w:pPr>
        <w:pStyle w:val="Heading1"/>
      </w:pPr>
      <w:r>
        <w:t>14. Synthetic curriculum / difficulty levels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pPr>
            <w:r/>
            <w:r>
              <w:rPr>
                <w:rFonts w:ascii="Aptos" w:hAnsi="Aptos"/>
                <w:b/>
                <w:sz w:val="16"/>
              </w:rPr>
              <w:t>Level</w:t>
            </w:r>
          </w:p>
        </w:tc>
        <w:tc>
          <w:tcPr>
            <w:tcW w:type="dxa" w:w="3389"/>
            <w:shd w:fill="D9EAF7"/>
            <w:vAlign w:val="center"/>
          </w:tcPr>
          <w:p>
            <w:pPr>
              <w:spacing w:after="0"/>
            </w:pPr>
            <w:r/>
            <w:r>
              <w:rPr>
                <w:rFonts w:ascii="Aptos" w:hAnsi="Aptos"/>
                <w:b/>
                <w:sz w:val="16"/>
              </w:rPr>
              <w:t>Purpose</w:t>
            </w:r>
          </w:p>
        </w:tc>
        <w:tc>
          <w:tcPr>
            <w:tcW w:type="dxa" w:w="3389"/>
            <w:shd w:fill="D9EAF7"/>
            <w:vAlign w:val="center"/>
          </w:tcPr>
          <w:p>
            <w:pPr>
              <w:spacing w:after="0"/>
            </w:pPr>
            <w:r/>
            <w:r>
              <w:rPr>
                <w:rFonts w:ascii="Aptos" w:hAnsi="Aptos"/>
                <w:b/>
                <w:sz w:val="16"/>
              </w:rPr>
              <w:t>Examples</w:t>
            </w:r>
          </w:p>
        </w:tc>
      </w:tr>
      <w:tr>
        <w:tc>
          <w:tcPr>
            <w:tcW w:type="dxa" w:w="3389"/>
            <w:vAlign w:val="top"/>
          </w:tcPr>
          <w:p>
            <w:pPr>
              <w:spacing w:after="0"/>
            </w:pPr>
            <w:r/>
            <w:r>
              <w:rPr>
                <w:rFonts w:ascii="Aptos" w:hAnsi="Aptos"/>
                <w:b w:val="0"/>
                <w:sz w:val="15"/>
              </w:rPr>
              <w:t>L1 Atomic</w:t>
            </w:r>
          </w:p>
        </w:tc>
        <w:tc>
          <w:tcPr>
            <w:tcW w:type="dxa" w:w="3389"/>
            <w:vAlign w:val="top"/>
          </w:tcPr>
          <w:p>
            <w:pPr>
              <w:spacing w:after="0"/>
            </w:pPr>
            <w:r/>
            <w:r>
              <w:rPr>
                <w:rFonts w:ascii="Aptos" w:hAnsi="Aptos"/>
                <w:b w:val="0"/>
                <w:sz w:val="15"/>
              </w:rPr>
              <w:t>Basic concept extraction</w:t>
            </w:r>
          </w:p>
        </w:tc>
        <w:tc>
          <w:tcPr>
            <w:tcW w:type="dxa" w:w="3389"/>
            <w:vAlign w:val="top"/>
          </w:tcPr>
          <w:p>
            <w:pPr>
              <w:spacing w:after="0"/>
            </w:pPr>
            <w:r/>
            <w:r>
              <w:rPr>
                <w:rFonts w:ascii="Aptos" w:hAnsi="Aptos"/>
                <w:b w:val="0"/>
                <w:sz w:val="15"/>
              </w:rPr>
              <w:t>'MRI shows left hippocampal sclerosis.'</w:t>
            </w:r>
          </w:p>
        </w:tc>
      </w:tr>
      <w:tr>
        <w:tc>
          <w:tcPr>
            <w:tcW w:type="dxa" w:w="3389"/>
            <w:vAlign w:val="top"/>
          </w:tcPr>
          <w:p>
            <w:pPr>
              <w:spacing w:after="0"/>
            </w:pPr>
            <w:r/>
            <w:r>
              <w:rPr>
                <w:rFonts w:ascii="Aptos" w:hAnsi="Aptos"/>
                <w:b w:val="0"/>
                <w:sz w:val="15"/>
              </w:rPr>
              <w:t>L2 Lexical variation</w:t>
            </w:r>
          </w:p>
        </w:tc>
        <w:tc>
          <w:tcPr>
            <w:tcW w:type="dxa" w:w="3389"/>
            <w:vAlign w:val="top"/>
          </w:tcPr>
          <w:p>
            <w:pPr>
              <w:spacing w:after="0"/>
            </w:pPr>
            <w:r/>
            <w:r>
              <w:rPr>
                <w:rFonts w:ascii="Aptos" w:hAnsi="Aptos"/>
                <w:b w:val="0"/>
                <w:sz w:val="15"/>
              </w:rPr>
              <w:t>Synonyms and paraphrase</w:t>
            </w:r>
          </w:p>
        </w:tc>
        <w:tc>
          <w:tcPr>
            <w:tcW w:type="dxa" w:w="3389"/>
            <w:vAlign w:val="top"/>
          </w:tcPr>
          <w:p>
            <w:pPr>
              <w:spacing w:after="0"/>
            </w:pPr>
            <w:r/>
            <w:r>
              <w:rPr>
                <w:rFonts w:ascii="Aptos" w:hAnsi="Aptos"/>
                <w:b w:val="0"/>
                <w:sz w:val="15"/>
              </w:rPr>
              <w:t>MTS vs mesial temporal sclerosis vs hippocampal sclerosis</w:t>
            </w:r>
          </w:p>
        </w:tc>
      </w:tr>
      <w:tr>
        <w:tc>
          <w:tcPr>
            <w:tcW w:type="dxa" w:w="3389"/>
            <w:vAlign w:val="top"/>
          </w:tcPr>
          <w:p>
            <w:pPr>
              <w:spacing w:after="0"/>
            </w:pPr>
            <w:r/>
            <w:r>
              <w:rPr>
                <w:rFonts w:ascii="Aptos" w:hAnsi="Aptos"/>
                <w:b w:val="0"/>
                <w:sz w:val="15"/>
              </w:rPr>
              <w:t>L3 Context</w:t>
            </w:r>
          </w:p>
        </w:tc>
        <w:tc>
          <w:tcPr>
            <w:tcW w:type="dxa" w:w="3389"/>
            <w:vAlign w:val="top"/>
          </w:tcPr>
          <w:p>
            <w:pPr>
              <w:spacing w:after="0"/>
            </w:pPr>
            <w:r/>
            <w:r>
              <w:rPr>
                <w:rFonts w:ascii="Aptos" w:hAnsi="Aptos"/>
                <w:b w:val="0"/>
                <w:sz w:val="15"/>
              </w:rPr>
              <w:t>Negation, uncertainty, hypothetical language</w:t>
            </w:r>
          </w:p>
        </w:tc>
        <w:tc>
          <w:tcPr>
            <w:tcW w:type="dxa" w:w="3389"/>
            <w:vAlign w:val="top"/>
          </w:tcPr>
          <w:p>
            <w:pPr>
              <w:spacing w:after="0"/>
            </w:pPr>
            <w:r/>
            <w:r>
              <w:rPr>
                <w:rFonts w:ascii="Aptos" w:hAnsi="Aptos"/>
                <w:b w:val="0"/>
                <w:sz w:val="15"/>
              </w:rPr>
              <w:t>'No evidence of…'; 'cannot exclude…'</w:t>
            </w:r>
          </w:p>
        </w:tc>
      </w:tr>
      <w:tr>
        <w:tc>
          <w:tcPr>
            <w:tcW w:type="dxa" w:w="3389"/>
            <w:vAlign w:val="top"/>
          </w:tcPr>
          <w:p>
            <w:pPr>
              <w:spacing w:after="0"/>
            </w:pPr>
            <w:r/>
            <w:r>
              <w:rPr>
                <w:rFonts w:ascii="Aptos" w:hAnsi="Aptos"/>
                <w:b w:val="0"/>
                <w:sz w:val="15"/>
              </w:rPr>
              <w:t>L4 Temporal</w:t>
            </w:r>
          </w:p>
        </w:tc>
        <w:tc>
          <w:tcPr>
            <w:tcW w:type="dxa" w:w="3389"/>
            <w:vAlign w:val="top"/>
          </w:tcPr>
          <w:p>
            <w:pPr>
              <w:spacing w:after="0"/>
            </w:pPr>
            <w:r/>
            <w:r>
              <w:rPr>
                <w:rFonts w:ascii="Aptos" w:hAnsi="Aptos"/>
                <w:b w:val="0"/>
                <w:sz w:val="15"/>
              </w:rPr>
              <w:t>Historical/current/planned/resolved</w:t>
            </w:r>
          </w:p>
        </w:tc>
        <w:tc>
          <w:tcPr>
            <w:tcW w:type="dxa" w:w="3389"/>
            <w:vAlign w:val="top"/>
          </w:tcPr>
          <w:p>
            <w:pPr>
              <w:spacing w:after="0"/>
            </w:pPr>
            <w:r/>
            <w:r>
              <w:rPr>
                <w:rFonts w:ascii="Aptos" w:hAnsi="Aptos"/>
                <w:b w:val="0"/>
                <w:sz w:val="15"/>
              </w:rPr>
              <w:t>Prior seizure burden vs current seizure freedom</w:t>
            </w:r>
          </w:p>
        </w:tc>
      </w:tr>
      <w:tr>
        <w:tc>
          <w:tcPr>
            <w:tcW w:type="dxa" w:w="3389"/>
            <w:vAlign w:val="top"/>
          </w:tcPr>
          <w:p>
            <w:pPr>
              <w:spacing w:after="0"/>
            </w:pPr>
            <w:r/>
            <w:r>
              <w:rPr>
                <w:rFonts w:ascii="Aptos" w:hAnsi="Aptos"/>
                <w:b w:val="0"/>
                <w:sz w:val="15"/>
              </w:rPr>
              <w:t>L5 Full documents</w:t>
            </w:r>
          </w:p>
        </w:tc>
        <w:tc>
          <w:tcPr>
            <w:tcW w:type="dxa" w:w="3389"/>
            <w:vAlign w:val="top"/>
          </w:tcPr>
          <w:p>
            <w:pPr>
              <w:spacing w:after="0"/>
            </w:pPr>
            <w:r/>
            <w:r>
              <w:rPr>
                <w:rFonts w:ascii="Aptos" w:hAnsi="Aptos"/>
                <w:b w:val="0"/>
                <w:sz w:val="15"/>
              </w:rPr>
              <w:t>Realistic document structure</w:t>
            </w:r>
          </w:p>
        </w:tc>
        <w:tc>
          <w:tcPr>
            <w:tcW w:type="dxa" w:w="3389"/>
            <w:vAlign w:val="top"/>
          </w:tcPr>
          <w:p>
            <w:pPr>
              <w:spacing w:after="0"/>
            </w:pPr>
            <w:r/>
            <w:r>
              <w:rPr>
                <w:rFonts w:ascii="Aptos" w:hAnsi="Aptos"/>
                <w:b w:val="0"/>
                <w:sz w:val="15"/>
              </w:rPr>
              <w:t>MRI, EEG, progress, EMU reports</w:t>
            </w:r>
          </w:p>
        </w:tc>
      </w:tr>
      <w:tr>
        <w:tc>
          <w:tcPr>
            <w:tcW w:type="dxa" w:w="3389"/>
            <w:vAlign w:val="top"/>
          </w:tcPr>
          <w:p>
            <w:pPr>
              <w:spacing w:after="0"/>
            </w:pPr>
            <w:r/>
            <w:r>
              <w:rPr>
                <w:rFonts w:ascii="Aptos" w:hAnsi="Aptos"/>
                <w:b w:val="0"/>
                <w:sz w:val="15"/>
              </w:rPr>
              <w:t>L6 Longitudinal</w:t>
            </w:r>
          </w:p>
        </w:tc>
        <w:tc>
          <w:tcPr>
            <w:tcW w:type="dxa" w:w="3389"/>
            <w:vAlign w:val="top"/>
          </w:tcPr>
          <w:p>
            <w:pPr>
              <w:spacing w:after="0"/>
            </w:pPr>
            <w:r/>
            <w:r>
              <w:rPr>
                <w:rFonts w:ascii="Aptos" w:hAnsi="Aptos"/>
                <w:b w:val="0"/>
                <w:sz w:val="15"/>
              </w:rPr>
              <w:t>Patient trajectories</w:t>
            </w:r>
          </w:p>
        </w:tc>
        <w:tc>
          <w:tcPr>
            <w:tcW w:type="dxa" w:w="3389"/>
            <w:vAlign w:val="top"/>
          </w:tcPr>
          <w:p>
            <w:pPr>
              <w:spacing w:after="0"/>
            </w:pPr>
            <w:r/>
            <w:r>
              <w:rPr>
                <w:rFonts w:ascii="Aptos" w:hAnsi="Aptos"/>
                <w:b w:val="0"/>
                <w:sz w:val="15"/>
              </w:rPr>
              <w:t>diagnosis → medication trials → EMU → surgery → outcome</w:t>
            </w:r>
          </w:p>
        </w:tc>
      </w:tr>
      <w:tr>
        <w:tc>
          <w:tcPr>
            <w:tcW w:type="dxa" w:w="3389"/>
            <w:vAlign w:val="top"/>
          </w:tcPr>
          <w:p>
            <w:pPr>
              <w:spacing w:after="0"/>
            </w:pPr>
            <w:r/>
            <w:r>
              <w:rPr>
                <w:rFonts w:ascii="Aptos" w:hAnsi="Aptos"/>
                <w:b w:val="0"/>
                <w:sz w:val="15"/>
              </w:rPr>
              <w:t>L7 Discordant/rare</w:t>
            </w:r>
          </w:p>
        </w:tc>
        <w:tc>
          <w:tcPr>
            <w:tcW w:type="dxa" w:w="3389"/>
            <w:vAlign w:val="top"/>
          </w:tcPr>
          <w:p>
            <w:pPr>
              <w:spacing w:after="0"/>
            </w:pPr>
            <w:r/>
            <w:r>
              <w:rPr>
                <w:rFonts w:ascii="Aptos" w:hAnsi="Aptos"/>
                <w:b w:val="0"/>
                <w:sz w:val="15"/>
              </w:rPr>
              <w:t>Stress testing</w:t>
            </w:r>
          </w:p>
        </w:tc>
        <w:tc>
          <w:tcPr>
            <w:tcW w:type="dxa" w:w="3389"/>
            <w:vAlign w:val="top"/>
          </w:tcPr>
          <w:p>
            <w:pPr>
              <w:spacing w:after="0"/>
            </w:pPr>
            <w:r/>
            <w:r>
              <w:rPr>
                <w:rFonts w:ascii="Aptos" w:hAnsi="Aptos"/>
                <w:b w:val="0"/>
                <w:sz w:val="15"/>
              </w:rPr>
              <w:t>MRI-negative, bilateral findings, conflicting localization, mixed etiology</w:t>
            </w:r>
          </w:p>
        </w:tc>
      </w:tr>
      <w:tr>
        <w:tc>
          <w:tcPr>
            <w:tcW w:type="dxa" w:w="3389"/>
            <w:vAlign w:val="top"/>
          </w:tcPr>
          <w:p>
            <w:pPr>
              <w:spacing w:after="0"/>
            </w:pPr>
            <w:r/>
            <w:r>
              <w:rPr>
                <w:rFonts w:ascii="Aptos" w:hAnsi="Aptos"/>
                <w:b w:val="0"/>
                <w:sz w:val="15"/>
              </w:rPr>
              <w:t>L8 Cross-site style</w:t>
            </w:r>
          </w:p>
        </w:tc>
        <w:tc>
          <w:tcPr>
            <w:tcW w:type="dxa" w:w="3389"/>
            <w:vAlign w:val="top"/>
          </w:tcPr>
          <w:p>
            <w:pPr>
              <w:spacing w:after="0"/>
            </w:pPr>
            <w:r/>
            <w:r>
              <w:rPr>
                <w:rFonts w:ascii="Aptos" w:hAnsi="Aptos"/>
                <w:b w:val="0"/>
                <w:sz w:val="15"/>
              </w:rPr>
              <w:t>Robustness</w:t>
            </w:r>
          </w:p>
        </w:tc>
        <w:tc>
          <w:tcPr>
            <w:tcW w:type="dxa" w:w="3389"/>
            <w:vAlign w:val="top"/>
          </w:tcPr>
          <w:p>
            <w:pPr>
              <w:spacing w:after="0"/>
            </w:pPr>
            <w:r/>
            <w:r>
              <w:rPr>
                <w:rFonts w:ascii="Aptos" w:hAnsi="Aptos"/>
                <w:b w:val="0"/>
                <w:sz w:val="15"/>
              </w:rPr>
              <w:t>Different abbreviations, templates, narrative styles, terminology eras</w:t>
            </w:r>
          </w:p>
        </w:tc>
      </w:tr>
    </w:tbl>
    <w:p/>
    <w:p>
      <w:pPr>
        <w:pStyle w:val="Heading1"/>
      </w:pPr>
      <w:r>
        <w:t>15. Rule classes needed for the synthetic generator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pPr>
            <w:r/>
            <w:r>
              <w:rPr>
                <w:rFonts w:ascii="Aptos" w:hAnsi="Aptos"/>
                <w:b/>
                <w:sz w:val="16"/>
              </w:rPr>
              <w:t>Rule class</w:t>
            </w:r>
          </w:p>
        </w:tc>
        <w:tc>
          <w:tcPr>
            <w:tcW w:type="dxa" w:w="3389"/>
            <w:shd w:fill="D9EAF7"/>
            <w:vAlign w:val="center"/>
          </w:tcPr>
          <w:p>
            <w:pPr>
              <w:spacing w:after="0"/>
            </w:pPr>
            <w:r/>
            <w:r>
              <w:rPr>
                <w:rFonts w:ascii="Aptos" w:hAnsi="Aptos"/>
                <w:b/>
                <w:sz w:val="16"/>
              </w:rPr>
              <w:t>Purpose</w:t>
            </w:r>
          </w:p>
        </w:tc>
        <w:tc>
          <w:tcPr>
            <w:tcW w:type="dxa" w:w="3389"/>
            <w:shd w:fill="D9EAF7"/>
            <w:vAlign w:val="center"/>
          </w:tcPr>
          <w:p>
            <w:pPr>
              <w:spacing w:after="0"/>
            </w:pPr>
            <w:r/>
            <w:r>
              <w:rPr>
                <w:rFonts w:ascii="Aptos" w:hAnsi="Aptos"/>
                <w:b/>
                <w:sz w:val="16"/>
              </w:rPr>
              <w:t>Illustrative rule</w:t>
            </w:r>
          </w:p>
        </w:tc>
      </w:tr>
      <w:tr>
        <w:tc>
          <w:tcPr>
            <w:tcW w:type="dxa" w:w="3389"/>
            <w:vAlign w:val="top"/>
          </w:tcPr>
          <w:p>
            <w:pPr>
              <w:spacing w:after="0"/>
            </w:pPr>
            <w:r/>
            <w:r>
              <w:rPr>
                <w:rFonts w:ascii="Aptos" w:hAnsi="Aptos"/>
                <w:b w:val="0"/>
                <w:sz w:val="15"/>
              </w:rPr>
              <w:t>Value-set rule</w:t>
            </w:r>
          </w:p>
        </w:tc>
        <w:tc>
          <w:tcPr>
            <w:tcW w:type="dxa" w:w="3389"/>
            <w:vAlign w:val="top"/>
          </w:tcPr>
          <w:p>
            <w:pPr>
              <w:spacing w:after="0"/>
            </w:pPr>
            <w:r/>
            <w:r>
              <w:rPr>
                <w:rFonts w:ascii="Aptos" w:hAnsi="Aptos"/>
                <w:b w:val="0"/>
                <w:sz w:val="15"/>
              </w:rPr>
              <w:t>Restrict allowed values</w:t>
            </w:r>
          </w:p>
        </w:tc>
        <w:tc>
          <w:tcPr>
            <w:tcW w:type="dxa" w:w="3389"/>
            <w:vAlign w:val="top"/>
          </w:tcPr>
          <w:p>
            <w:pPr>
              <w:spacing w:after="0"/>
            </w:pPr>
            <w:r/>
            <w:r>
              <w:rPr>
                <w:rFonts w:ascii="Aptos" w:hAnsi="Aptos"/>
                <w:b w:val="0"/>
                <w:sz w:val="15"/>
              </w:rPr>
              <w:t>laterality ∈ {left,right,bilateral,midline,none,unknown}</w:t>
            </w:r>
          </w:p>
        </w:tc>
      </w:tr>
      <w:tr>
        <w:tc>
          <w:tcPr>
            <w:tcW w:type="dxa" w:w="3389"/>
            <w:vAlign w:val="top"/>
          </w:tcPr>
          <w:p>
            <w:pPr>
              <w:spacing w:after="0"/>
            </w:pPr>
            <w:r/>
            <w:r>
              <w:rPr>
                <w:rFonts w:ascii="Aptos" w:hAnsi="Aptos"/>
                <w:b w:val="0"/>
                <w:sz w:val="15"/>
              </w:rPr>
              <w:t>Hierarchy rule</w:t>
            </w:r>
          </w:p>
        </w:tc>
        <w:tc>
          <w:tcPr>
            <w:tcW w:type="dxa" w:w="3389"/>
            <w:vAlign w:val="top"/>
          </w:tcPr>
          <w:p>
            <w:pPr>
              <w:spacing w:after="0"/>
            </w:pPr>
            <w:r/>
            <w:r>
              <w:rPr>
                <w:rFonts w:ascii="Aptos" w:hAnsi="Aptos"/>
                <w:b w:val="0"/>
                <w:sz w:val="15"/>
              </w:rPr>
              <w:t>Maintain ontology consistency</w:t>
            </w:r>
          </w:p>
        </w:tc>
        <w:tc>
          <w:tcPr>
            <w:tcW w:type="dxa" w:w="3389"/>
            <w:vAlign w:val="top"/>
          </w:tcPr>
          <w:p>
            <w:pPr>
              <w:spacing w:after="0"/>
            </w:pPr>
            <w:r/>
            <w:r>
              <w:rPr>
                <w:rFonts w:ascii="Aptos" w:hAnsi="Aptos"/>
                <w:b w:val="0"/>
                <w:sz w:val="15"/>
              </w:rPr>
              <w:t>HS maps under structural etiology</w:t>
            </w:r>
          </w:p>
        </w:tc>
      </w:tr>
      <w:tr>
        <w:tc>
          <w:tcPr>
            <w:tcW w:type="dxa" w:w="3389"/>
            <w:vAlign w:val="top"/>
          </w:tcPr>
          <w:p>
            <w:pPr>
              <w:spacing w:after="0"/>
            </w:pPr>
            <w:r/>
            <w:r>
              <w:rPr>
                <w:rFonts w:ascii="Aptos" w:hAnsi="Aptos"/>
                <w:b w:val="0"/>
                <w:sz w:val="15"/>
              </w:rPr>
              <w:t>Dependency rule</w:t>
            </w:r>
          </w:p>
        </w:tc>
        <w:tc>
          <w:tcPr>
            <w:tcW w:type="dxa" w:w="3389"/>
            <w:vAlign w:val="top"/>
          </w:tcPr>
          <w:p>
            <w:pPr>
              <w:spacing w:after="0"/>
            </w:pPr>
            <w:r/>
            <w:r>
              <w:rPr>
                <w:rFonts w:ascii="Aptos" w:hAnsi="Aptos"/>
                <w:b w:val="0"/>
                <w:sz w:val="15"/>
              </w:rPr>
              <w:t>Require supporting fields</w:t>
            </w:r>
          </w:p>
        </w:tc>
        <w:tc>
          <w:tcPr>
            <w:tcW w:type="dxa" w:w="3389"/>
            <w:vAlign w:val="top"/>
          </w:tcPr>
          <w:p>
            <w:pPr>
              <w:spacing w:after="0"/>
            </w:pPr>
            <w:r/>
            <w:r>
              <w:rPr>
                <w:rFonts w:ascii="Aptos" w:hAnsi="Aptos"/>
                <w:b w:val="0"/>
                <w:sz w:val="15"/>
              </w:rPr>
              <w:t>DRE requires evidence about medication trials and seizure outcome</w:t>
            </w:r>
          </w:p>
        </w:tc>
      </w:tr>
      <w:tr>
        <w:tc>
          <w:tcPr>
            <w:tcW w:type="dxa" w:w="3389"/>
            <w:vAlign w:val="top"/>
          </w:tcPr>
          <w:p>
            <w:pPr>
              <w:spacing w:after="0"/>
            </w:pPr>
            <w:r/>
            <w:r>
              <w:rPr>
                <w:rFonts w:ascii="Aptos" w:hAnsi="Aptos"/>
                <w:b w:val="0"/>
                <w:sz w:val="15"/>
              </w:rPr>
              <w:t>Mutual-exclusion rule</w:t>
            </w:r>
          </w:p>
        </w:tc>
        <w:tc>
          <w:tcPr>
            <w:tcW w:type="dxa" w:w="3389"/>
            <w:vAlign w:val="top"/>
          </w:tcPr>
          <w:p>
            <w:pPr>
              <w:spacing w:after="0"/>
            </w:pPr>
            <w:r/>
            <w:r>
              <w:rPr>
                <w:rFonts w:ascii="Aptos" w:hAnsi="Aptos"/>
                <w:b w:val="0"/>
                <w:sz w:val="15"/>
              </w:rPr>
              <w:t>Prevent impossible same-time states</w:t>
            </w:r>
          </w:p>
        </w:tc>
        <w:tc>
          <w:tcPr>
            <w:tcW w:type="dxa" w:w="3389"/>
            <w:vAlign w:val="top"/>
          </w:tcPr>
          <w:p>
            <w:pPr>
              <w:spacing w:after="0"/>
            </w:pPr>
            <w:r/>
            <w:r>
              <w:rPr>
                <w:rFonts w:ascii="Aptos" w:hAnsi="Aptos"/>
                <w:b w:val="0"/>
                <w:sz w:val="15"/>
              </w:rPr>
              <w:t>same MRI study cannot be both unequivocally lesion absent and definite FCD present</w:t>
            </w:r>
          </w:p>
        </w:tc>
      </w:tr>
      <w:tr>
        <w:tc>
          <w:tcPr>
            <w:tcW w:type="dxa" w:w="3389"/>
            <w:vAlign w:val="top"/>
          </w:tcPr>
          <w:p>
            <w:pPr>
              <w:spacing w:after="0"/>
            </w:pPr>
            <w:r/>
            <w:r>
              <w:rPr>
                <w:rFonts w:ascii="Aptos" w:hAnsi="Aptos"/>
                <w:b w:val="0"/>
                <w:sz w:val="15"/>
              </w:rPr>
              <w:t>Temporal rule</w:t>
            </w:r>
          </w:p>
        </w:tc>
        <w:tc>
          <w:tcPr>
            <w:tcW w:type="dxa" w:w="3389"/>
            <w:vAlign w:val="top"/>
          </w:tcPr>
          <w:p>
            <w:pPr>
              <w:spacing w:after="0"/>
            </w:pPr>
            <w:r/>
            <w:r>
              <w:rPr>
                <w:rFonts w:ascii="Aptos" w:hAnsi="Aptos"/>
                <w:b w:val="0"/>
                <w:sz w:val="15"/>
              </w:rPr>
              <w:t>Order events</w:t>
            </w:r>
          </w:p>
        </w:tc>
        <w:tc>
          <w:tcPr>
            <w:tcW w:type="dxa" w:w="3389"/>
            <w:vAlign w:val="top"/>
          </w:tcPr>
          <w:p>
            <w:pPr>
              <w:spacing w:after="0"/>
            </w:pPr>
            <w:r/>
            <w:r>
              <w:rPr>
                <w:rFonts w:ascii="Aptos" w:hAnsi="Aptos"/>
                <w:b w:val="0"/>
                <w:sz w:val="15"/>
              </w:rPr>
              <w:t>postoperative outcome cannot precede surgery</w:t>
            </w:r>
          </w:p>
        </w:tc>
      </w:tr>
      <w:tr>
        <w:tc>
          <w:tcPr>
            <w:tcW w:type="dxa" w:w="3389"/>
            <w:vAlign w:val="top"/>
          </w:tcPr>
          <w:p>
            <w:pPr>
              <w:spacing w:after="0"/>
            </w:pPr>
            <w:r/>
            <w:r>
              <w:rPr>
                <w:rFonts w:ascii="Aptos" w:hAnsi="Aptos"/>
                <w:b w:val="0"/>
                <w:sz w:val="15"/>
              </w:rPr>
              <w:t>Document-visibility rule</w:t>
            </w:r>
          </w:p>
        </w:tc>
        <w:tc>
          <w:tcPr>
            <w:tcW w:type="dxa" w:w="3389"/>
            <w:vAlign w:val="top"/>
          </w:tcPr>
          <w:p>
            <w:pPr>
              <w:spacing w:after="0"/>
            </w:pPr>
            <w:r/>
            <w:r>
              <w:rPr>
                <w:rFonts w:ascii="Aptos" w:hAnsi="Aptos"/>
                <w:b w:val="0"/>
                <w:sz w:val="15"/>
              </w:rPr>
              <w:t>Control what a note can know</w:t>
            </w:r>
          </w:p>
        </w:tc>
        <w:tc>
          <w:tcPr>
            <w:tcW w:type="dxa" w:w="3389"/>
            <w:vAlign w:val="top"/>
          </w:tcPr>
          <w:p>
            <w:pPr>
              <w:spacing w:after="0"/>
            </w:pPr>
            <w:r/>
            <w:r>
              <w:rPr>
                <w:rFonts w:ascii="Aptos" w:hAnsi="Aptos"/>
                <w:b w:val="0"/>
                <w:sz w:val="15"/>
              </w:rPr>
              <w:t>MRI report should not invent longitudinal medication response</w:t>
            </w:r>
          </w:p>
        </w:tc>
      </w:tr>
      <w:tr>
        <w:tc>
          <w:tcPr>
            <w:tcW w:type="dxa" w:w="3389"/>
            <w:vAlign w:val="top"/>
          </w:tcPr>
          <w:p>
            <w:pPr>
              <w:spacing w:after="0"/>
            </w:pPr>
            <w:r/>
            <w:r>
              <w:rPr>
                <w:rFonts w:ascii="Aptos" w:hAnsi="Aptos"/>
                <w:b w:val="0"/>
                <w:sz w:val="15"/>
              </w:rPr>
              <w:t>Uncertainty rule</w:t>
            </w:r>
          </w:p>
        </w:tc>
        <w:tc>
          <w:tcPr>
            <w:tcW w:type="dxa" w:w="3389"/>
            <w:vAlign w:val="top"/>
          </w:tcPr>
          <w:p>
            <w:pPr>
              <w:spacing w:after="0"/>
            </w:pPr>
            <w:r/>
            <w:r>
              <w:rPr>
                <w:rFonts w:ascii="Aptos" w:hAnsi="Aptos"/>
                <w:b w:val="0"/>
                <w:sz w:val="15"/>
              </w:rPr>
              <w:t>Preserve epistemic status</w:t>
            </w:r>
          </w:p>
        </w:tc>
        <w:tc>
          <w:tcPr>
            <w:tcW w:type="dxa" w:w="3389"/>
            <w:vAlign w:val="top"/>
          </w:tcPr>
          <w:p>
            <w:pPr>
              <w:spacing w:after="0"/>
            </w:pPr>
            <w:r/>
            <w:r>
              <w:rPr>
                <w:rFonts w:ascii="Aptos" w:hAnsi="Aptos"/>
                <w:b w:val="0"/>
                <w:sz w:val="15"/>
              </w:rPr>
              <w:t>'possible' lesion cannot become definite ground truth without a separate confirmation event</w:t>
            </w:r>
          </w:p>
        </w:tc>
      </w:tr>
      <w:tr>
        <w:tc>
          <w:tcPr>
            <w:tcW w:type="dxa" w:w="3389"/>
            <w:vAlign w:val="top"/>
          </w:tcPr>
          <w:p>
            <w:pPr>
              <w:spacing w:after="0"/>
            </w:pPr>
            <w:r/>
            <w:r>
              <w:rPr>
                <w:rFonts w:ascii="Aptos" w:hAnsi="Aptos"/>
                <w:b w:val="0"/>
                <w:sz w:val="15"/>
              </w:rPr>
              <w:t>Terminology-era rule</w:t>
            </w:r>
          </w:p>
        </w:tc>
        <w:tc>
          <w:tcPr>
            <w:tcW w:type="dxa" w:w="3389"/>
            <w:vAlign w:val="top"/>
          </w:tcPr>
          <w:p>
            <w:pPr>
              <w:spacing w:after="0"/>
            </w:pPr>
            <w:r/>
            <w:r>
              <w:rPr>
                <w:rFonts w:ascii="Aptos" w:hAnsi="Aptos"/>
                <w:b w:val="0"/>
                <w:sz w:val="15"/>
              </w:rPr>
              <w:t>Generate realistic synonyms</w:t>
            </w:r>
          </w:p>
        </w:tc>
        <w:tc>
          <w:tcPr>
            <w:tcW w:type="dxa" w:w="3389"/>
            <w:vAlign w:val="top"/>
          </w:tcPr>
          <w:p>
            <w:pPr>
              <w:spacing w:after="0"/>
            </w:pPr>
            <w:r/>
            <w:r>
              <w:rPr>
                <w:rFonts w:ascii="Aptos" w:hAnsi="Aptos"/>
                <w:b w:val="0"/>
                <w:sz w:val="15"/>
              </w:rPr>
              <w:t>older 'complex partial' phrasing can map to current canonical concept</w:t>
            </w:r>
          </w:p>
        </w:tc>
      </w:tr>
      <w:tr>
        <w:tc>
          <w:tcPr>
            <w:tcW w:type="dxa" w:w="3389"/>
            <w:vAlign w:val="top"/>
          </w:tcPr>
          <w:p>
            <w:pPr>
              <w:spacing w:after="0"/>
            </w:pPr>
            <w:r/>
            <w:r>
              <w:rPr>
                <w:rFonts w:ascii="Aptos" w:hAnsi="Aptos"/>
                <w:b w:val="0"/>
                <w:sz w:val="15"/>
              </w:rPr>
              <w:t>Prevalence/sampling rule</w:t>
            </w:r>
          </w:p>
        </w:tc>
        <w:tc>
          <w:tcPr>
            <w:tcW w:type="dxa" w:w="3389"/>
            <w:vAlign w:val="top"/>
          </w:tcPr>
          <w:p>
            <w:pPr>
              <w:spacing w:after="0"/>
            </w:pPr>
            <w:r/>
            <w:r>
              <w:rPr>
                <w:rFonts w:ascii="Aptos" w:hAnsi="Aptos"/>
                <w:b w:val="0"/>
                <w:sz w:val="15"/>
              </w:rPr>
              <w:t>Avoid unrealistic class balance</w:t>
            </w:r>
          </w:p>
        </w:tc>
        <w:tc>
          <w:tcPr>
            <w:tcW w:type="dxa" w:w="3389"/>
            <w:vAlign w:val="top"/>
          </w:tcPr>
          <w:p>
            <w:pPr>
              <w:spacing w:after="0"/>
            </w:pPr>
            <w:r/>
            <w:r>
              <w:rPr>
                <w:rFonts w:ascii="Aptos" w:hAnsi="Aptos"/>
                <w:b w:val="0"/>
                <w:sz w:val="15"/>
              </w:rPr>
              <w:t>benchmark may oversample rare cases but must label sampling design</w:t>
            </w:r>
          </w:p>
        </w:tc>
      </w:tr>
      <w:tr>
        <w:tc>
          <w:tcPr>
            <w:tcW w:type="dxa" w:w="3389"/>
            <w:vAlign w:val="top"/>
          </w:tcPr>
          <w:p>
            <w:pPr>
              <w:spacing w:after="0"/>
            </w:pPr>
            <w:r/>
            <w:r>
              <w:rPr>
                <w:rFonts w:ascii="Aptos" w:hAnsi="Aptos"/>
                <w:b w:val="0"/>
                <w:sz w:val="15"/>
              </w:rPr>
              <w:t>Cross-modal rule</w:t>
            </w:r>
          </w:p>
        </w:tc>
        <w:tc>
          <w:tcPr>
            <w:tcW w:type="dxa" w:w="3389"/>
            <w:vAlign w:val="top"/>
          </w:tcPr>
          <w:p>
            <w:pPr>
              <w:spacing w:after="0"/>
            </w:pPr>
            <w:r/>
            <w:r>
              <w:rPr>
                <w:rFonts w:ascii="Aptos" w:hAnsi="Aptos"/>
                <w:b w:val="0"/>
                <w:sz w:val="15"/>
              </w:rPr>
              <w:t>Create concordant/discordant cases deliberately</w:t>
            </w:r>
          </w:p>
        </w:tc>
        <w:tc>
          <w:tcPr>
            <w:tcW w:type="dxa" w:w="3389"/>
            <w:vAlign w:val="top"/>
          </w:tcPr>
          <w:p>
            <w:pPr>
              <w:spacing w:after="0"/>
            </w:pPr>
            <w:r/>
            <w:r>
              <w:rPr>
                <w:rFonts w:ascii="Aptos" w:hAnsi="Aptos"/>
                <w:b w:val="0"/>
                <w:sz w:val="15"/>
              </w:rPr>
              <w:t>MRI and EEG may agree or conflict according to scenario template</w:t>
            </w:r>
          </w:p>
        </w:tc>
      </w:tr>
    </w:tbl>
    <w:p/>
    <w:p>
      <w:pPr>
        <w:pStyle w:val="Heading1"/>
      </w:pPr>
      <w:r>
        <w:t>16. Clinician validation plan</w:t>
      </w:r>
    </w:p>
    <w:p>
      <w:r>
        <w:t>Clinical validation should be staged rather than postponed until the end. Clinicians should review both the ontology/application profile and sampled generated documents. The goal is not to ask clinicians to certify every synthetic record, but to demonstrate that the semantic model, rules, and generated cases are clinically plausible and useful for the intended research tasks.</w:t>
      </w:r>
    </w:p>
    <w:p>
      <w:pPr>
        <w:pStyle w:val="ListNumber"/>
      </w:pPr>
      <w:r>
        <w:t>Ontology review: epileptologists review domains, definitions, value sets, exclusions, and ambiguous mappings.</w:t>
      </w:r>
    </w:p>
    <w:p>
      <w:pPr>
        <w:pStyle w:val="ListNumber"/>
      </w:pPr>
      <w:r>
        <w:t>Rule review: epilepsy clinicians, EEG experts, and neuroimaging experts review constraints relevant to their domains.</w:t>
      </w:r>
    </w:p>
    <w:p>
      <w:pPr>
        <w:pStyle w:val="ListNumber"/>
      </w:pPr>
      <w:r>
        <w:t>Pilot generation: generate a small balanced corpus and revise obvious artifacts before scale-up.</w:t>
      </w:r>
    </w:p>
    <w:p>
      <w:pPr>
        <w:pStyle w:val="ListNumber"/>
      </w:pPr>
      <w:r>
        <w:t>Blinded realism review: clinicians rate sampled synthetic documents for plausibility, terminology, internal consistency, and document-type realism.</w:t>
      </w:r>
    </w:p>
    <w:p>
      <w:pPr>
        <w:pStyle w:val="ListNumber"/>
      </w:pPr>
      <w:r>
        <w:t>Annotation agreement: multiple reviewers independently assess a subset; report agreement and adjudication.</w:t>
      </w:r>
    </w:p>
    <w:p>
      <w:pPr>
        <w:pStyle w:val="ListNumber"/>
      </w:pPr>
      <w:r>
        <w:t>Extraction benchmark: evaluate MedAI models against latent synthetic truth and expert-annotated public benchmarks.</w:t>
      </w:r>
    </w:p>
    <w:p>
      <w:pPr>
        <w:pStyle w:val="ListNumber"/>
      </w:pPr>
      <w:r>
        <w:t>Real-world validation: validate on institutionally approved real documents before making claims about clinical-document performance.</w:t>
      </w:r>
    </w:p>
    <w:p>
      <w:pPr>
        <w:pStyle w:val="Heading1"/>
      </w:pPr>
      <w:r>
        <w:t>17. Model evaluation schema</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pPr>
              <w:spacing w:after="0"/>
            </w:pPr>
            <w:r/>
            <w:r>
              <w:rPr>
                <w:rFonts w:ascii="Aptos" w:hAnsi="Aptos"/>
                <w:b/>
                <w:sz w:val="16"/>
              </w:rPr>
              <w:t>Metric family</w:t>
            </w:r>
          </w:p>
        </w:tc>
        <w:tc>
          <w:tcPr>
            <w:tcW w:type="dxa" w:w="5083"/>
            <w:shd w:fill="D9EAF7"/>
            <w:vAlign w:val="center"/>
          </w:tcPr>
          <w:p>
            <w:pPr>
              <w:spacing w:after="0"/>
            </w:pPr>
            <w:r/>
            <w:r>
              <w:rPr>
                <w:rFonts w:ascii="Aptos" w:hAnsi="Aptos"/>
                <w:b/>
                <w:sz w:val="16"/>
              </w:rPr>
              <w:t>Measures</w:t>
            </w:r>
          </w:p>
        </w:tc>
      </w:tr>
      <w:tr>
        <w:tc>
          <w:tcPr>
            <w:tcW w:type="dxa" w:w="5083"/>
            <w:vAlign w:val="top"/>
          </w:tcPr>
          <w:p>
            <w:pPr>
              <w:spacing w:after="0"/>
            </w:pPr>
            <w:r/>
            <w:r>
              <w:rPr>
                <w:rFonts w:ascii="Aptos" w:hAnsi="Aptos"/>
                <w:b w:val="0"/>
                <w:sz w:val="15"/>
              </w:rPr>
              <w:t>Phenotype extraction</w:t>
            </w:r>
          </w:p>
        </w:tc>
        <w:tc>
          <w:tcPr>
            <w:tcW w:type="dxa" w:w="5083"/>
            <w:vAlign w:val="top"/>
          </w:tcPr>
          <w:p>
            <w:pPr>
              <w:spacing w:after="0"/>
            </w:pPr>
            <w:r/>
            <w:r>
              <w:rPr>
                <w:rFonts w:ascii="Aptos" w:hAnsi="Aptos"/>
                <w:b w:val="0"/>
                <w:sz w:val="15"/>
              </w:rPr>
              <w:t>macro-F1, micro-F1, precision, recall, per-class F1, exact match where appropriate</w:t>
            </w:r>
          </w:p>
        </w:tc>
      </w:tr>
      <w:tr>
        <w:tc>
          <w:tcPr>
            <w:tcW w:type="dxa" w:w="5083"/>
            <w:vAlign w:val="top"/>
          </w:tcPr>
          <w:p>
            <w:pPr>
              <w:spacing w:after="0"/>
            </w:pPr>
            <w:r/>
            <w:r>
              <w:rPr>
                <w:rFonts w:ascii="Aptos" w:hAnsi="Aptos"/>
                <w:b w:val="0"/>
                <w:sz w:val="15"/>
              </w:rPr>
              <w:t>Evidence grounding</w:t>
            </w:r>
          </w:p>
        </w:tc>
        <w:tc>
          <w:tcPr>
            <w:tcW w:type="dxa" w:w="5083"/>
            <w:vAlign w:val="top"/>
          </w:tcPr>
          <w:p>
            <w:pPr>
              <w:spacing w:after="0"/>
            </w:pPr>
            <w:r/>
            <w:r>
              <w:rPr>
                <w:rFonts w:ascii="Aptos" w:hAnsi="Aptos"/>
                <w:b w:val="0"/>
                <w:sz w:val="15"/>
              </w:rPr>
              <w:t>evidence-span correctness, evidence sufficiency, unsupported-claim rate</w:t>
            </w:r>
          </w:p>
        </w:tc>
      </w:tr>
      <w:tr>
        <w:tc>
          <w:tcPr>
            <w:tcW w:type="dxa" w:w="5083"/>
            <w:vAlign w:val="top"/>
          </w:tcPr>
          <w:p>
            <w:pPr>
              <w:spacing w:after="0"/>
            </w:pPr>
            <w:r/>
            <w:r>
              <w:rPr>
                <w:rFonts w:ascii="Aptos" w:hAnsi="Aptos"/>
                <w:b w:val="0"/>
                <w:sz w:val="15"/>
              </w:rPr>
              <w:t>Context handling</w:t>
            </w:r>
          </w:p>
        </w:tc>
        <w:tc>
          <w:tcPr>
            <w:tcW w:type="dxa" w:w="5083"/>
            <w:vAlign w:val="top"/>
          </w:tcPr>
          <w:p>
            <w:pPr>
              <w:spacing w:after="0"/>
            </w:pPr>
            <w:r/>
            <w:r>
              <w:rPr>
                <w:rFonts w:ascii="Aptos" w:hAnsi="Aptos"/>
                <w:b w:val="0"/>
                <w:sz w:val="15"/>
              </w:rPr>
              <w:t>negation error, uncertainty error, temporality error, laterality error</w:t>
            </w:r>
          </w:p>
        </w:tc>
      </w:tr>
      <w:tr>
        <w:tc>
          <w:tcPr>
            <w:tcW w:type="dxa" w:w="5083"/>
            <w:vAlign w:val="top"/>
          </w:tcPr>
          <w:p>
            <w:pPr>
              <w:spacing w:after="0"/>
            </w:pPr>
            <w:r/>
            <w:r>
              <w:rPr>
                <w:rFonts w:ascii="Aptos" w:hAnsi="Aptos"/>
                <w:b w:val="0"/>
                <w:sz w:val="15"/>
              </w:rPr>
              <w:t>Structured generation</w:t>
            </w:r>
          </w:p>
        </w:tc>
        <w:tc>
          <w:tcPr>
            <w:tcW w:type="dxa" w:w="5083"/>
            <w:vAlign w:val="top"/>
          </w:tcPr>
          <w:p>
            <w:pPr>
              <w:spacing w:after="0"/>
            </w:pPr>
            <w:r/>
            <w:r>
              <w:rPr>
                <w:rFonts w:ascii="Aptos" w:hAnsi="Aptos"/>
                <w:b w:val="0"/>
                <w:sz w:val="15"/>
              </w:rPr>
              <w:t>JSON/schema compliance, missing required fields, invalid value rate</w:t>
            </w:r>
          </w:p>
        </w:tc>
      </w:tr>
      <w:tr>
        <w:tc>
          <w:tcPr>
            <w:tcW w:type="dxa" w:w="5083"/>
            <w:vAlign w:val="top"/>
          </w:tcPr>
          <w:p>
            <w:pPr>
              <w:spacing w:after="0"/>
            </w:pPr>
            <w:r/>
            <w:r>
              <w:rPr>
                <w:rFonts w:ascii="Aptos" w:hAnsi="Aptos"/>
                <w:b w:val="0"/>
                <w:sz w:val="15"/>
              </w:rPr>
              <w:t>Longitudinal synthesis</w:t>
            </w:r>
          </w:p>
        </w:tc>
        <w:tc>
          <w:tcPr>
            <w:tcW w:type="dxa" w:w="5083"/>
            <w:vAlign w:val="top"/>
          </w:tcPr>
          <w:p>
            <w:pPr>
              <w:spacing w:after="0"/>
            </w:pPr>
            <w:r/>
            <w:r>
              <w:rPr>
                <w:rFonts w:ascii="Aptos" w:hAnsi="Aptos"/>
                <w:b w:val="0"/>
                <w:sz w:val="15"/>
              </w:rPr>
              <w:t>event ordering, current-vs-historical accuracy, treatment-state reconstruction</w:t>
            </w:r>
          </w:p>
        </w:tc>
      </w:tr>
      <w:tr>
        <w:tc>
          <w:tcPr>
            <w:tcW w:type="dxa" w:w="5083"/>
            <w:vAlign w:val="top"/>
          </w:tcPr>
          <w:p>
            <w:pPr>
              <w:spacing w:after="0"/>
            </w:pPr>
            <w:r/>
            <w:r>
              <w:rPr>
                <w:rFonts w:ascii="Aptos" w:hAnsi="Aptos"/>
                <w:b w:val="0"/>
                <w:sz w:val="15"/>
              </w:rPr>
              <w:t>Reliability</w:t>
            </w:r>
          </w:p>
        </w:tc>
        <w:tc>
          <w:tcPr>
            <w:tcW w:type="dxa" w:w="5083"/>
            <w:vAlign w:val="top"/>
          </w:tcPr>
          <w:p>
            <w:pPr>
              <w:spacing w:after="0"/>
            </w:pPr>
            <w:r/>
            <w:r>
              <w:rPr>
                <w:rFonts w:ascii="Aptos" w:hAnsi="Aptos"/>
                <w:b w:val="0"/>
                <w:sz w:val="15"/>
              </w:rPr>
              <w:t>model agreement, verifier error-detection sensitivity/specificity, review-flag precision</w:t>
            </w:r>
          </w:p>
        </w:tc>
      </w:tr>
      <w:tr>
        <w:tc>
          <w:tcPr>
            <w:tcW w:type="dxa" w:w="5083"/>
            <w:vAlign w:val="top"/>
          </w:tcPr>
          <w:p>
            <w:pPr>
              <w:spacing w:after="0"/>
            </w:pPr>
            <w:r/>
            <w:r>
              <w:rPr>
                <w:rFonts w:ascii="Aptos" w:hAnsi="Aptos"/>
                <w:b w:val="0"/>
                <w:sz w:val="15"/>
              </w:rPr>
              <w:t>Robustness</w:t>
            </w:r>
          </w:p>
        </w:tc>
        <w:tc>
          <w:tcPr>
            <w:tcW w:type="dxa" w:w="5083"/>
            <w:vAlign w:val="top"/>
          </w:tcPr>
          <w:p>
            <w:pPr>
              <w:spacing w:after="0"/>
            </w:pPr>
            <w:r/>
            <w:r>
              <w:rPr>
                <w:rFonts w:ascii="Aptos" w:hAnsi="Aptos"/>
                <w:b w:val="0"/>
                <w:sz w:val="15"/>
              </w:rPr>
              <w:t>document type, terminology era, style, rare phenotype, synthetic difficulty level</w:t>
            </w:r>
          </w:p>
        </w:tc>
      </w:tr>
      <w:tr>
        <w:tc>
          <w:tcPr>
            <w:tcW w:type="dxa" w:w="5083"/>
            <w:vAlign w:val="top"/>
          </w:tcPr>
          <w:p>
            <w:pPr>
              <w:spacing w:after="0"/>
            </w:pPr>
            <w:r/>
            <w:r>
              <w:rPr>
                <w:rFonts w:ascii="Aptos" w:hAnsi="Aptos"/>
                <w:b w:val="0"/>
                <w:sz w:val="15"/>
              </w:rPr>
              <w:t>Operations</w:t>
            </w:r>
          </w:p>
        </w:tc>
        <w:tc>
          <w:tcPr>
            <w:tcW w:type="dxa" w:w="5083"/>
            <w:vAlign w:val="top"/>
          </w:tcPr>
          <w:p>
            <w:pPr>
              <w:spacing w:after="0"/>
            </w:pPr>
            <w:r/>
            <w:r>
              <w:rPr>
                <w:rFonts w:ascii="Aptos" w:hAnsi="Aptos"/>
                <w:b w:val="0"/>
                <w:sz w:val="15"/>
              </w:rPr>
              <w:t>latency, tokens/document, GPU memory, throughput, cost if applicable</w:t>
            </w:r>
          </w:p>
        </w:tc>
      </w:tr>
    </w:tbl>
    <w:p/>
    <w:p>
      <w:pPr>
        <w:pStyle w:val="Heading1"/>
      </w:pPr>
      <w:r>
        <w:t>18. Suggested canonical data objects</w:t>
      </w:r>
    </w:p>
    <w:p>
      <w:pPr>
        <w:pStyle w:val="Heading2"/>
      </w:pPr>
      <w:r>
        <w:t>18.1 Patient</w:t>
      </w:r>
    </w:p>
    <w:p>
      <w:pPr>
        <w:pStyle w:val="CodeBlock"/>
      </w:pPr>
      <w:r>
        <w:t>Patient {</w:t>
        <w:br/>
        <w:t xml:space="preserve">  patient_id</w:t>
        <w:br/>
        <w:t xml:space="preserve">  demographics_context</w:t>
        <w:br/>
        <w:t xml:space="preserve">  phenotype_assertions[]</w:t>
        <w:br/>
        <w:t xml:space="preserve">  medication_episodes[]</w:t>
        <w:br/>
        <w:t xml:space="preserve">  seizure_events_or_intervals[]</w:t>
        <w:br/>
        <w:t xml:space="preserve">  procedures[]</w:t>
        <w:br/>
        <w:t xml:space="preserve">  documents[]</w:t>
        <w:br/>
        <w:t xml:space="preserve">  derived_patient_phenotypes[]</w:t>
        <w:br/>
        <w:t>}</w:t>
      </w:r>
    </w:p>
    <w:p>
      <w:pPr>
        <w:pStyle w:val="Heading2"/>
      </w:pPr>
      <w:r>
        <w:t>18.2 Document</w:t>
      </w:r>
    </w:p>
    <w:p>
      <w:pPr>
        <w:pStyle w:val="CodeBlock"/>
      </w:pPr>
      <w:r>
        <w:t>Document {</w:t>
        <w:br/>
        <w:t xml:space="preserve">  document_id</w:t>
        <w:br/>
        <w:t xml:space="preserve">  patient_id</w:t>
        <w:br/>
        <w:t xml:space="preserve">  document_type</w:t>
        <w:br/>
        <w:t xml:space="preserve">  author_specialty</w:t>
        <w:br/>
        <w:t xml:space="preserve">  encounter_date</w:t>
        <w:br/>
        <w:t xml:space="preserve">  document_date</w:t>
        <w:br/>
        <w:t xml:space="preserve">  source_system</w:t>
        <w:br/>
        <w:t xml:space="preserve">  text</w:t>
        <w:br/>
        <w:t xml:space="preserve">  synthetic_flag</w:t>
        <w:br/>
        <w:t xml:space="preserve">  generation_provenance</w:t>
        <w:br/>
        <w:t>}</w:t>
      </w:r>
    </w:p>
    <w:p>
      <w:pPr>
        <w:pStyle w:val="Heading2"/>
      </w:pPr>
      <w:r>
        <w:t>18.3 PhenotypeAssertion</w:t>
      </w:r>
    </w:p>
    <w:p>
      <w:pPr>
        <w:pStyle w:val="CodeBlock"/>
      </w:pPr>
      <w:r>
        <w:t>PhenotypeAssertion {</w:t>
        <w:br/>
        <w:t xml:space="preserve">  assertion_id</w:t>
        <w:br/>
        <w:t xml:space="preserve">  patient_id</w:t>
        <w:br/>
        <w:t xml:space="preserve">  concept {medai_id, label, external_mappings[]}</w:t>
        <w:br/>
        <w:t xml:space="preserve">  value</w:t>
        <w:br/>
        <w:t xml:space="preserve">  certainty</w:t>
        <w:br/>
        <w:t xml:space="preserve">  negated</w:t>
        <w:br/>
        <w:t xml:space="preserve">  temporality {status, start, end}</w:t>
        <w:br/>
        <w:t xml:space="preserve">  laterality</w:t>
        <w:br/>
        <w:t xml:space="preserve">  anatomy</w:t>
        <w:br/>
        <w:t xml:space="preserve">  source {document_id, evidence_text, offsets}</w:t>
        <w:br/>
        <w:t xml:space="preserve">  provenance {extractor, model_version, prompt_version, schema_version}</w:t>
        <w:br/>
        <w:t xml:space="preserve">  verification {status, verifier, human_review}</w:t>
        <w:br/>
        <w:t>}</w:t>
      </w:r>
    </w:p>
    <w:p>
      <w:pPr>
        <w:pStyle w:val="Heading1"/>
      </w:pPr>
      <w:r>
        <w:t>19. Minimum viable MedAI ontology release (v0.1)</w:t>
      </w:r>
    </w:p>
    <w:p>
      <w:pPr>
        <w:pStyle w:val="ListBullet"/>
        <w:ind w:left="360" w:hanging="173"/>
      </w:pPr>
      <w:r>
        <w:t>A versioned data dictionary with approximately 20–30 high-value phenotype variables rather than attempting full epilepsy coverage.</w:t>
      </w:r>
    </w:p>
    <w:p>
      <w:pPr>
        <w:pStyle w:val="ListBullet"/>
        <w:ind w:left="360" w:hanging="173"/>
      </w:pPr>
      <w:r>
        <w:t>ILAE mapping for seizure classification, epilepsy type, etiology, and DRE-related concepts.</w:t>
      </w:r>
    </w:p>
    <w:p>
      <w:pPr>
        <w:pStyle w:val="ListBullet"/>
        <w:ind w:left="360" w:hanging="173"/>
      </w:pPr>
      <w:r>
        <w:t>NINDS CDE traceability table for selected research variables.</w:t>
      </w:r>
    </w:p>
    <w:p>
      <w:pPr>
        <w:pStyle w:val="ListBullet"/>
        <w:ind w:left="360" w:hanging="173"/>
      </w:pPr>
      <w:r>
        <w:t>EpSO crosswalk for applicable concepts and relationships.</w:t>
      </w:r>
    </w:p>
    <w:p>
      <w:pPr>
        <w:pStyle w:val="ListBullet"/>
        <w:ind w:left="360" w:hanging="173"/>
      </w:pPr>
      <w:r>
        <w:t>RxNorm normalization for antiseizure medications.</w:t>
      </w:r>
    </w:p>
    <w:p>
      <w:pPr>
        <w:pStyle w:val="ListBullet"/>
        <w:ind w:left="360" w:hanging="173"/>
      </w:pPr>
      <w:r>
        <w:t>RadLex/SNOMED mappings for selected MRI findings and anatomy.</w:t>
      </w:r>
    </w:p>
    <w:p>
      <w:pPr>
        <w:pStyle w:val="ListBullet"/>
        <w:ind w:left="360" w:hanging="173"/>
      </w:pPr>
      <w:r>
        <w:t>EEG controlled vocabulary for the subset required by routine/EMU phenotyping.</w:t>
      </w:r>
    </w:p>
    <w:p>
      <w:pPr>
        <w:pStyle w:val="ListBullet"/>
        <w:ind w:left="360" w:hanging="173"/>
      </w:pPr>
      <w:r>
        <w:t>A universal assertion wrapper: certainty, negation, temporality, laterality, evidence, provenance, verification.</w:t>
      </w:r>
    </w:p>
    <w:p>
      <w:pPr>
        <w:pStyle w:val="ListBullet"/>
        <w:ind w:left="360" w:hanging="173"/>
      </w:pPr>
      <w:r>
        <w:t>Document-type extraction profiles.</w:t>
      </w:r>
    </w:p>
    <w:p>
      <w:pPr>
        <w:pStyle w:val="ListBullet"/>
        <w:ind w:left="360" w:hanging="173"/>
      </w:pPr>
      <w:r>
        <w:t>Machine-readable JSON Schema/Pydantic specification.</w:t>
      </w:r>
    </w:p>
    <w:p>
      <w:pPr>
        <w:pStyle w:val="ListBullet"/>
        <w:ind w:left="360" w:hanging="173"/>
      </w:pPr>
      <w:r>
        <w:t>Synthetic-generation constraints and unit tests.</w:t>
      </w:r>
    </w:p>
    <w:p>
      <w:pPr>
        <w:pStyle w:val="ListBullet"/>
        <w:ind w:left="360" w:hanging="173"/>
      </w:pPr>
      <w:r>
        <w:t>Clinician-review forms and adjudication procedures.</w:t>
      </w:r>
    </w:p>
    <w:p>
      <w:pPr>
        <w:pStyle w:val="ListBullet"/>
        <w:ind w:left="360" w:hanging="173"/>
      </w:pPr>
      <w:r>
        <w:t>Versioning and change-control policy.</w:t>
      </w:r>
    </w:p>
    <w:p>
      <w:pPr>
        <w:pStyle w:val="Heading1"/>
      </w:pPr>
      <w:r>
        <w:t>20. Recommended v0.1 phenotype priority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pPr>
            <w:r/>
            <w:r>
              <w:rPr>
                <w:rFonts w:ascii="Aptos" w:hAnsi="Aptos"/>
                <w:b/>
                <w:sz w:val="16"/>
              </w:rPr>
              <w:t>Priority</w:t>
            </w:r>
          </w:p>
        </w:tc>
        <w:tc>
          <w:tcPr>
            <w:tcW w:type="dxa" w:w="3389"/>
            <w:shd w:fill="D9EAF7"/>
            <w:vAlign w:val="center"/>
          </w:tcPr>
          <w:p>
            <w:pPr>
              <w:spacing w:after="0"/>
            </w:pPr>
            <w:r/>
            <w:r>
              <w:rPr>
                <w:rFonts w:ascii="Aptos" w:hAnsi="Aptos"/>
                <w:b/>
                <w:sz w:val="16"/>
              </w:rPr>
              <w:t>Phenotype</w:t>
            </w:r>
          </w:p>
        </w:tc>
        <w:tc>
          <w:tcPr>
            <w:tcW w:type="dxa" w:w="3389"/>
            <w:shd w:fill="D9EAF7"/>
            <w:vAlign w:val="center"/>
          </w:tcPr>
          <w:p>
            <w:pPr>
              <w:spacing w:after="0"/>
            </w:pPr>
            <w:r/>
            <w:r>
              <w:rPr>
                <w:rFonts w:ascii="Aptos" w:hAnsi="Aptos"/>
                <w:b/>
                <w:sz w:val="16"/>
              </w:rPr>
              <w:t>Reason</w:t>
            </w:r>
          </w:p>
        </w:tc>
      </w:tr>
      <w:tr>
        <w:tc>
          <w:tcPr>
            <w:tcW w:type="dxa" w:w="3389"/>
            <w:vAlign w:val="top"/>
          </w:tcPr>
          <w:p>
            <w:pPr>
              <w:spacing w:after="0"/>
            </w:pPr>
            <w:r/>
            <w:r>
              <w:rPr>
                <w:rFonts w:ascii="Aptos" w:hAnsi="Aptos"/>
                <w:b w:val="0"/>
                <w:sz w:val="15"/>
              </w:rPr>
              <w:t>P0</w:t>
            </w:r>
          </w:p>
        </w:tc>
        <w:tc>
          <w:tcPr>
            <w:tcW w:type="dxa" w:w="3389"/>
            <w:vAlign w:val="top"/>
          </w:tcPr>
          <w:p>
            <w:pPr>
              <w:spacing w:after="0"/>
            </w:pPr>
            <w:r/>
            <w:r>
              <w:rPr>
                <w:rFonts w:ascii="Aptos" w:hAnsi="Aptos"/>
                <w:b w:val="0"/>
                <w:sz w:val="15"/>
              </w:rPr>
              <w:t>Epilepsy type</w:t>
            </w:r>
          </w:p>
        </w:tc>
        <w:tc>
          <w:tcPr>
            <w:tcW w:type="dxa" w:w="3389"/>
            <w:vAlign w:val="top"/>
          </w:tcPr>
          <w:p>
            <w:pPr>
              <w:spacing w:after="0"/>
            </w:pPr>
            <w:r/>
            <w:r>
              <w:rPr>
                <w:rFonts w:ascii="Aptos" w:hAnsi="Aptos"/>
                <w:b w:val="0"/>
                <w:sz w:val="15"/>
              </w:rPr>
              <w:t>Central research phenotype</w:t>
            </w:r>
          </w:p>
        </w:tc>
      </w:tr>
      <w:tr>
        <w:tc>
          <w:tcPr>
            <w:tcW w:type="dxa" w:w="3389"/>
            <w:vAlign w:val="top"/>
          </w:tcPr>
          <w:p>
            <w:pPr>
              <w:spacing w:after="0"/>
            </w:pPr>
            <w:r/>
            <w:r>
              <w:rPr>
                <w:rFonts w:ascii="Aptos" w:hAnsi="Aptos"/>
                <w:b w:val="0"/>
                <w:sz w:val="15"/>
              </w:rPr>
              <w:t>P0</w:t>
            </w:r>
          </w:p>
        </w:tc>
        <w:tc>
          <w:tcPr>
            <w:tcW w:type="dxa" w:w="3389"/>
            <w:vAlign w:val="top"/>
          </w:tcPr>
          <w:p>
            <w:pPr>
              <w:spacing w:after="0"/>
            </w:pPr>
            <w:r/>
            <w:r>
              <w:rPr>
                <w:rFonts w:ascii="Aptos" w:hAnsi="Aptos"/>
                <w:b w:val="0"/>
                <w:sz w:val="15"/>
              </w:rPr>
              <w:t>Seizure class/type</w:t>
            </w:r>
          </w:p>
        </w:tc>
        <w:tc>
          <w:tcPr>
            <w:tcW w:type="dxa" w:w="3389"/>
            <w:vAlign w:val="top"/>
          </w:tcPr>
          <w:p>
            <w:pPr>
              <w:spacing w:after="0"/>
            </w:pPr>
            <w:r/>
            <w:r>
              <w:rPr>
                <w:rFonts w:ascii="Aptos" w:hAnsi="Aptos"/>
                <w:b w:val="0"/>
                <w:sz w:val="15"/>
              </w:rPr>
              <w:t>Core clinical classification</w:t>
            </w:r>
          </w:p>
        </w:tc>
      </w:tr>
      <w:tr>
        <w:tc>
          <w:tcPr>
            <w:tcW w:type="dxa" w:w="3389"/>
            <w:vAlign w:val="top"/>
          </w:tcPr>
          <w:p>
            <w:pPr>
              <w:spacing w:after="0"/>
            </w:pPr>
            <w:r/>
            <w:r>
              <w:rPr>
                <w:rFonts w:ascii="Aptos" w:hAnsi="Aptos"/>
                <w:b w:val="0"/>
                <w:sz w:val="15"/>
              </w:rPr>
              <w:t>P0</w:t>
            </w:r>
          </w:p>
        </w:tc>
        <w:tc>
          <w:tcPr>
            <w:tcW w:type="dxa" w:w="3389"/>
            <w:vAlign w:val="top"/>
          </w:tcPr>
          <w:p>
            <w:pPr>
              <w:spacing w:after="0"/>
            </w:pPr>
            <w:r/>
            <w:r>
              <w:rPr>
                <w:rFonts w:ascii="Aptos" w:hAnsi="Aptos"/>
                <w:b w:val="0"/>
                <w:sz w:val="15"/>
              </w:rPr>
              <w:t>Seizure frequency / seizure-free status</w:t>
            </w:r>
          </w:p>
        </w:tc>
        <w:tc>
          <w:tcPr>
            <w:tcW w:type="dxa" w:w="3389"/>
            <w:vAlign w:val="top"/>
          </w:tcPr>
          <w:p>
            <w:pPr>
              <w:spacing w:after="0"/>
            </w:pPr>
            <w:r/>
            <w:r>
              <w:rPr>
                <w:rFonts w:ascii="Aptos" w:hAnsi="Aptos"/>
                <w:b w:val="0"/>
                <w:sz w:val="15"/>
              </w:rPr>
              <w:t>Common outcome and NLP target</w:t>
            </w:r>
          </w:p>
        </w:tc>
      </w:tr>
      <w:tr>
        <w:tc>
          <w:tcPr>
            <w:tcW w:type="dxa" w:w="3389"/>
            <w:vAlign w:val="top"/>
          </w:tcPr>
          <w:p>
            <w:pPr>
              <w:spacing w:after="0"/>
            </w:pPr>
            <w:r/>
            <w:r>
              <w:rPr>
                <w:rFonts w:ascii="Aptos" w:hAnsi="Aptos"/>
                <w:b w:val="0"/>
                <w:sz w:val="15"/>
              </w:rPr>
              <w:t>P0</w:t>
            </w:r>
          </w:p>
        </w:tc>
        <w:tc>
          <w:tcPr>
            <w:tcW w:type="dxa" w:w="3389"/>
            <w:vAlign w:val="top"/>
          </w:tcPr>
          <w:p>
            <w:pPr>
              <w:spacing w:after="0"/>
            </w:pPr>
            <w:r/>
            <w:r>
              <w:rPr>
                <w:rFonts w:ascii="Aptos" w:hAnsi="Aptos"/>
                <w:b w:val="0"/>
                <w:sz w:val="15"/>
              </w:rPr>
              <w:t>Etiology class</w:t>
            </w:r>
          </w:p>
        </w:tc>
        <w:tc>
          <w:tcPr>
            <w:tcW w:type="dxa" w:w="3389"/>
            <w:vAlign w:val="top"/>
          </w:tcPr>
          <w:p>
            <w:pPr>
              <w:spacing w:after="0"/>
            </w:pPr>
            <w:r/>
            <w:r>
              <w:rPr>
                <w:rFonts w:ascii="Aptos" w:hAnsi="Aptos"/>
                <w:b w:val="0"/>
                <w:sz w:val="15"/>
              </w:rPr>
              <w:t>High-value phenotype and research gap</w:t>
            </w:r>
          </w:p>
        </w:tc>
      </w:tr>
      <w:tr>
        <w:tc>
          <w:tcPr>
            <w:tcW w:type="dxa" w:w="3389"/>
            <w:vAlign w:val="top"/>
          </w:tcPr>
          <w:p>
            <w:pPr>
              <w:spacing w:after="0"/>
            </w:pPr>
            <w:r/>
            <w:r>
              <w:rPr>
                <w:rFonts w:ascii="Aptos" w:hAnsi="Aptos"/>
                <w:b w:val="0"/>
                <w:sz w:val="15"/>
              </w:rPr>
              <w:t>P0</w:t>
            </w:r>
          </w:p>
        </w:tc>
        <w:tc>
          <w:tcPr>
            <w:tcW w:type="dxa" w:w="3389"/>
            <w:vAlign w:val="top"/>
          </w:tcPr>
          <w:p>
            <w:pPr>
              <w:spacing w:after="0"/>
            </w:pPr>
            <w:r/>
            <w:r>
              <w:rPr>
                <w:rFonts w:ascii="Aptos" w:hAnsi="Aptos"/>
                <w:b w:val="0"/>
                <w:sz w:val="15"/>
              </w:rPr>
              <w:t>Structural etiology subtype: HS/FCD/other</w:t>
            </w:r>
          </w:p>
        </w:tc>
        <w:tc>
          <w:tcPr>
            <w:tcW w:type="dxa" w:w="3389"/>
            <w:vAlign w:val="top"/>
          </w:tcPr>
          <w:p>
            <w:pPr>
              <w:spacing w:after="0"/>
            </w:pPr>
            <w:r/>
            <w:r>
              <w:rPr>
                <w:rFonts w:ascii="Aptos" w:hAnsi="Aptos"/>
                <w:b w:val="0"/>
                <w:sz w:val="15"/>
              </w:rPr>
              <w:t>Direct connection to imaging research</w:t>
            </w:r>
          </w:p>
        </w:tc>
      </w:tr>
      <w:tr>
        <w:tc>
          <w:tcPr>
            <w:tcW w:type="dxa" w:w="3389"/>
            <w:vAlign w:val="top"/>
          </w:tcPr>
          <w:p>
            <w:pPr>
              <w:spacing w:after="0"/>
            </w:pPr>
            <w:r/>
            <w:r>
              <w:rPr>
                <w:rFonts w:ascii="Aptos" w:hAnsi="Aptos"/>
                <w:b w:val="0"/>
                <w:sz w:val="15"/>
              </w:rPr>
              <w:t>P0</w:t>
            </w:r>
          </w:p>
        </w:tc>
        <w:tc>
          <w:tcPr>
            <w:tcW w:type="dxa" w:w="3389"/>
            <w:vAlign w:val="top"/>
          </w:tcPr>
          <w:p>
            <w:pPr>
              <w:spacing w:after="0"/>
            </w:pPr>
            <w:r/>
            <w:r>
              <w:rPr>
                <w:rFonts w:ascii="Aptos" w:hAnsi="Aptos"/>
                <w:b w:val="0"/>
                <w:sz w:val="15"/>
              </w:rPr>
              <w:t>Current/prior antiseizure medications</w:t>
            </w:r>
          </w:p>
        </w:tc>
        <w:tc>
          <w:tcPr>
            <w:tcW w:type="dxa" w:w="3389"/>
            <w:vAlign w:val="top"/>
          </w:tcPr>
          <w:p>
            <w:pPr>
              <w:spacing w:after="0"/>
            </w:pPr>
            <w:r/>
            <w:r>
              <w:rPr>
                <w:rFonts w:ascii="Aptos" w:hAnsi="Aptos"/>
                <w:b w:val="0"/>
                <w:sz w:val="15"/>
              </w:rPr>
              <w:t>Treatment context</w:t>
            </w:r>
          </w:p>
        </w:tc>
      </w:tr>
      <w:tr>
        <w:tc>
          <w:tcPr>
            <w:tcW w:type="dxa" w:w="3389"/>
            <w:vAlign w:val="top"/>
          </w:tcPr>
          <w:p>
            <w:pPr>
              <w:spacing w:after="0"/>
            </w:pPr>
            <w:r/>
            <w:r>
              <w:rPr>
                <w:rFonts w:ascii="Aptos" w:hAnsi="Aptos"/>
                <w:b w:val="0"/>
                <w:sz w:val="15"/>
              </w:rPr>
              <w:t>P0</w:t>
            </w:r>
          </w:p>
        </w:tc>
        <w:tc>
          <w:tcPr>
            <w:tcW w:type="dxa" w:w="3389"/>
            <w:vAlign w:val="top"/>
          </w:tcPr>
          <w:p>
            <w:pPr>
              <w:spacing w:after="0"/>
            </w:pPr>
            <w:r/>
            <w:r>
              <w:rPr>
                <w:rFonts w:ascii="Aptos" w:hAnsi="Aptos"/>
                <w:b w:val="0"/>
                <w:sz w:val="15"/>
              </w:rPr>
              <w:t>Drug-resistance status + evidence</w:t>
            </w:r>
          </w:p>
        </w:tc>
        <w:tc>
          <w:tcPr>
            <w:tcW w:type="dxa" w:w="3389"/>
            <w:vAlign w:val="top"/>
          </w:tcPr>
          <w:p>
            <w:pPr>
              <w:spacing w:after="0"/>
            </w:pPr>
            <w:r/>
            <w:r>
              <w:rPr>
                <w:rFonts w:ascii="Aptos" w:hAnsi="Aptos"/>
                <w:b w:val="0"/>
                <w:sz w:val="15"/>
              </w:rPr>
              <w:t>Presurgical/refractory epilepsy research</w:t>
            </w:r>
          </w:p>
        </w:tc>
      </w:tr>
      <w:tr>
        <w:tc>
          <w:tcPr>
            <w:tcW w:type="dxa" w:w="3389"/>
            <w:vAlign w:val="top"/>
          </w:tcPr>
          <w:p>
            <w:pPr>
              <w:spacing w:after="0"/>
            </w:pPr>
            <w:r/>
            <w:r>
              <w:rPr>
                <w:rFonts w:ascii="Aptos" w:hAnsi="Aptos"/>
                <w:b w:val="0"/>
                <w:sz w:val="15"/>
              </w:rPr>
              <w:t>P0</w:t>
            </w:r>
          </w:p>
        </w:tc>
        <w:tc>
          <w:tcPr>
            <w:tcW w:type="dxa" w:w="3389"/>
            <w:vAlign w:val="top"/>
          </w:tcPr>
          <w:p>
            <w:pPr>
              <w:spacing w:after="0"/>
            </w:pPr>
            <w:r/>
            <w:r>
              <w:rPr>
                <w:rFonts w:ascii="Aptos" w:hAnsi="Aptos"/>
                <w:b w:val="0"/>
                <w:sz w:val="15"/>
              </w:rPr>
              <w:t>EEG IED/ictal location and laterality</w:t>
            </w:r>
          </w:p>
        </w:tc>
        <w:tc>
          <w:tcPr>
            <w:tcW w:type="dxa" w:w="3389"/>
            <w:vAlign w:val="top"/>
          </w:tcPr>
          <w:p>
            <w:pPr>
              <w:spacing w:after="0"/>
            </w:pPr>
            <w:r/>
            <w:r>
              <w:rPr>
                <w:rFonts w:ascii="Aptos" w:hAnsi="Aptos"/>
                <w:b w:val="0"/>
                <w:sz w:val="15"/>
              </w:rPr>
              <w:t>Localization</w:t>
            </w:r>
          </w:p>
        </w:tc>
      </w:tr>
      <w:tr>
        <w:tc>
          <w:tcPr>
            <w:tcW w:type="dxa" w:w="3389"/>
            <w:vAlign w:val="top"/>
          </w:tcPr>
          <w:p>
            <w:pPr>
              <w:spacing w:after="0"/>
            </w:pPr>
            <w:r/>
            <w:r>
              <w:rPr>
                <w:rFonts w:ascii="Aptos" w:hAnsi="Aptos"/>
                <w:b w:val="0"/>
                <w:sz w:val="15"/>
              </w:rPr>
              <w:t>P0</w:t>
            </w:r>
          </w:p>
        </w:tc>
        <w:tc>
          <w:tcPr>
            <w:tcW w:type="dxa" w:w="3389"/>
            <w:vAlign w:val="top"/>
          </w:tcPr>
          <w:p>
            <w:pPr>
              <w:spacing w:after="0"/>
            </w:pPr>
            <w:r/>
            <w:r>
              <w:rPr>
                <w:rFonts w:ascii="Aptos" w:hAnsi="Aptos"/>
                <w:b w:val="0"/>
                <w:sz w:val="15"/>
              </w:rPr>
              <w:t>MRI lesion type/location/laterality</w:t>
            </w:r>
          </w:p>
        </w:tc>
        <w:tc>
          <w:tcPr>
            <w:tcW w:type="dxa" w:w="3389"/>
            <w:vAlign w:val="top"/>
          </w:tcPr>
          <w:p>
            <w:pPr>
              <w:spacing w:after="0"/>
            </w:pPr>
            <w:r/>
            <w:r>
              <w:rPr>
                <w:rFonts w:ascii="Aptos" w:hAnsi="Aptos"/>
                <w:b w:val="0"/>
                <w:sz w:val="15"/>
              </w:rPr>
              <w:t>Structural localization</w:t>
            </w:r>
          </w:p>
        </w:tc>
      </w:tr>
      <w:tr>
        <w:tc>
          <w:tcPr>
            <w:tcW w:type="dxa" w:w="3389"/>
            <w:vAlign w:val="top"/>
          </w:tcPr>
          <w:p>
            <w:pPr>
              <w:spacing w:after="0"/>
            </w:pPr>
            <w:r/>
            <w:r>
              <w:rPr>
                <w:rFonts w:ascii="Aptos" w:hAnsi="Aptos"/>
                <w:b w:val="0"/>
                <w:sz w:val="15"/>
              </w:rPr>
              <w:t>P0</w:t>
            </w:r>
          </w:p>
        </w:tc>
        <w:tc>
          <w:tcPr>
            <w:tcW w:type="dxa" w:w="3389"/>
            <w:vAlign w:val="top"/>
          </w:tcPr>
          <w:p>
            <w:pPr>
              <w:spacing w:after="0"/>
            </w:pPr>
            <w:r/>
            <w:r>
              <w:rPr>
                <w:rFonts w:ascii="Aptos" w:hAnsi="Aptos"/>
                <w:b w:val="0"/>
                <w:sz w:val="15"/>
              </w:rPr>
              <w:t>Evidence span + certainty + time</w:t>
            </w:r>
          </w:p>
        </w:tc>
        <w:tc>
          <w:tcPr>
            <w:tcW w:type="dxa" w:w="3389"/>
            <w:vAlign w:val="top"/>
          </w:tcPr>
          <w:p>
            <w:pPr>
              <w:spacing w:after="0"/>
            </w:pPr>
            <w:r/>
            <w:r>
              <w:rPr>
                <w:rFonts w:ascii="Aptos" w:hAnsi="Aptos"/>
                <w:b w:val="0"/>
                <w:sz w:val="15"/>
              </w:rPr>
              <w:t>Research-grade provenance</w:t>
            </w:r>
          </w:p>
        </w:tc>
      </w:tr>
      <w:tr>
        <w:tc>
          <w:tcPr>
            <w:tcW w:type="dxa" w:w="3389"/>
            <w:vAlign w:val="top"/>
          </w:tcPr>
          <w:p>
            <w:pPr>
              <w:spacing w:after="0"/>
            </w:pPr>
            <w:r/>
            <w:r>
              <w:rPr>
                <w:rFonts w:ascii="Aptos" w:hAnsi="Aptos"/>
                <w:b w:val="0"/>
                <w:sz w:val="15"/>
              </w:rPr>
              <w:t>P1</w:t>
            </w:r>
          </w:p>
        </w:tc>
        <w:tc>
          <w:tcPr>
            <w:tcW w:type="dxa" w:w="3389"/>
            <w:vAlign w:val="top"/>
          </w:tcPr>
          <w:p>
            <w:pPr>
              <w:spacing w:after="0"/>
            </w:pPr>
            <w:r/>
            <w:r>
              <w:rPr>
                <w:rFonts w:ascii="Aptos" w:hAnsi="Aptos"/>
                <w:b w:val="0"/>
                <w:sz w:val="15"/>
              </w:rPr>
              <w:t>Semiology descriptors</w:t>
            </w:r>
          </w:p>
        </w:tc>
        <w:tc>
          <w:tcPr>
            <w:tcW w:type="dxa" w:w="3389"/>
            <w:vAlign w:val="top"/>
          </w:tcPr>
          <w:p>
            <w:pPr>
              <w:spacing w:after="0"/>
            </w:pPr>
            <w:r/>
            <w:r>
              <w:rPr>
                <w:rFonts w:ascii="Aptos" w:hAnsi="Aptos"/>
                <w:b w:val="0"/>
                <w:sz w:val="15"/>
              </w:rPr>
              <w:t>Localization and phenotype richness</w:t>
            </w:r>
          </w:p>
        </w:tc>
      </w:tr>
      <w:tr>
        <w:tc>
          <w:tcPr>
            <w:tcW w:type="dxa" w:w="3389"/>
            <w:vAlign w:val="top"/>
          </w:tcPr>
          <w:p>
            <w:pPr>
              <w:spacing w:after="0"/>
            </w:pPr>
            <w:r/>
            <w:r>
              <w:rPr>
                <w:rFonts w:ascii="Aptos" w:hAnsi="Aptos"/>
                <w:b w:val="0"/>
                <w:sz w:val="15"/>
              </w:rPr>
              <w:t>P1</w:t>
            </w:r>
          </w:p>
        </w:tc>
        <w:tc>
          <w:tcPr>
            <w:tcW w:type="dxa" w:w="3389"/>
            <w:vAlign w:val="top"/>
          </w:tcPr>
          <w:p>
            <w:pPr>
              <w:spacing w:after="0"/>
            </w:pPr>
            <w:r/>
            <w:r>
              <w:rPr>
                <w:rFonts w:ascii="Aptos" w:hAnsi="Aptos"/>
                <w:b w:val="0"/>
                <w:sz w:val="15"/>
              </w:rPr>
              <w:t>Procedure/intervention history</w:t>
            </w:r>
          </w:p>
        </w:tc>
        <w:tc>
          <w:tcPr>
            <w:tcW w:type="dxa" w:w="3389"/>
            <w:vAlign w:val="top"/>
          </w:tcPr>
          <w:p>
            <w:pPr>
              <w:spacing w:after="0"/>
            </w:pPr>
            <w:r/>
            <w:r>
              <w:rPr>
                <w:rFonts w:ascii="Aptos" w:hAnsi="Aptos"/>
                <w:b w:val="0"/>
                <w:sz w:val="15"/>
              </w:rPr>
              <w:t>Surgery/neurostimulation research</w:t>
            </w:r>
          </w:p>
        </w:tc>
      </w:tr>
      <w:tr>
        <w:tc>
          <w:tcPr>
            <w:tcW w:type="dxa" w:w="3389"/>
            <w:vAlign w:val="top"/>
          </w:tcPr>
          <w:p>
            <w:pPr>
              <w:spacing w:after="0"/>
            </w:pPr>
            <w:r/>
            <w:r>
              <w:rPr>
                <w:rFonts w:ascii="Aptos" w:hAnsi="Aptos"/>
                <w:b w:val="0"/>
                <w:sz w:val="15"/>
              </w:rPr>
              <w:t>P1</w:t>
            </w:r>
          </w:p>
        </w:tc>
        <w:tc>
          <w:tcPr>
            <w:tcW w:type="dxa" w:w="3389"/>
            <w:vAlign w:val="top"/>
          </w:tcPr>
          <w:p>
            <w:pPr>
              <w:spacing w:after="0"/>
            </w:pPr>
            <w:r/>
            <w:r>
              <w:rPr>
                <w:rFonts w:ascii="Aptos" w:hAnsi="Aptos"/>
                <w:b w:val="0"/>
                <w:sz w:val="15"/>
              </w:rPr>
              <w:t>Outcome (documented Engel/ILAE, seizure freedom)</w:t>
            </w:r>
          </w:p>
        </w:tc>
        <w:tc>
          <w:tcPr>
            <w:tcW w:type="dxa" w:w="3389"/>
            <w:vAlign w:val="top"/>
          </w:tcPr>
          <w:p>
            <w:pPr>
              <w:spacing w:after="0"/>
            </w:pPr>
            <w:r/>
            <w:r>
              <w:rPr>
                <w:rFonts w:ascii="Aptos" w:hAnsi="Aptos"/>
                <w:b w:val="0"/>
                <w:sz w:val="15"/>
              </w:rPr>
              <w:t>Longitudinal studies</w:t>
            </w:r>
          </w:p>
        </w:tc>
      </w:tr>
      <w:tr>
        <w:tc>
          <w:tcPr>
            <w:tcW w:type="dxa" w:w="3389"/>
            <w:vAlign w:val="top"/>
          </w:tcPr>
          <w:p>
            <w:pPr>
              <w:spacing w:after="0"/>
            </w:pPr>
            <w:r/>
            <w:r>
              <w:rPr>
                <w:rFonts w:ascii="Aptos" w:hAnsi="Aptos"/>
                <w:b w:val="0"/>
                <w:sz w:val="15"/>
              </w:rPr>
              <w:t>P1</w:t>
            </w:r>
          </w:p>
        </w:tc>
        <w:tc>
          <w:tcPr>
            <w:tcW w:type="dxa" w:w="3389"/>
            <w:vAlign w:val="top"/>
          </w:tcPr>
          <w:p>
            <w:pPr>
              <w:spacing w:after="0"/>
            </w:pPr>
            <w:r/>
            <w:r>
              <w:rPr>
                <w:rFonts w:ascii="Aptos" w:hAnsi="Aptos"/>
                <w:b w:val="0"/>
                <w:sz w:val="15"/>
              </w:rPr>
              <w:t>Multimodal concordance</w:t>
            </w:r>
          </w:p>
        </w:tc>
        <w:tc>
          <w:tcPr>
            <w:tcW w:type="dxa" w:w="3389"/>
            <w:vAlign w:val="top"/>
          </w:tcPr>
          <w:p>
            <w:pPr>
              <w:spacing w:after="0"/>
            </w:pPr>
            <w:r/>
            <w:r>
              <w:rPr>
                <w:rFonts w:ascii="Aptos" w:hAnsi="Aptos"/>
                <w:b w:val="0"/>
                <w:sz w:val="15"/>
              </w:rPr>
              <w:t>Presurgical research</w:t>
            </w:r>
          </w:p>
        </w:tc>
      </w:tr>
      <w:tr>
        <w:tc>
          <w:tcPr>
            <w:tcW w:type="dxa" w:w="3389"/>
            <w:vAlign w:val="top"/>
          </w:tcPr>
          <w:p>
            <w:pPr>
              <w:spacing w:after="0"/>
            </w:pPr>
            <w:r/>
            <w:r>
              <w:rPr>
                <w:rFonts w:ascii="Aptos" w:hAnsi="Aptos"/>
                <w:b w:val="0"/>
                <w:sz w:val="15"/>
              </w:rPr>
              <w:t>P2</w:t>
            </w:r>
          </w:p>
        </w:tc>
        <w:tc>
          <w:tcPr>
            <w:tcW w:type="dxa" w:w="3389"/>
            <w:vAlign w:val="top"/>
          </w:tcPr>
          <w:p>
            <w:pPr>
              <w:spacing w:after="0"/>
            </w:pPr>
            <w:r/>
            <w:r>
              <w:rPr>
                <w:rFonts w:ascii="Aptos" w:hAnsi="Aptos"/>
                <w:b w:val="0"/>
                <w:sz w:val="15"/>
              </w:rPr>
              <w:t>Detailed syndrome/genetic/pathology subtypes</w:t>
            </w:r>
          </w:p>
        </w:tc>
        <w:tc>
          <w:tcPr>
            <w:tcW w:type="dxa" w:w="3389"/>
            <w:vAlign w:val="top"/>
          </w:tcPr>
          <w:p>
            <w:pPr>
              <w:spacing w:after="0"/>
            </w:pPr>
            <w:r/>
            <w:r>
              <w:rPr>
                <w:rFonts w:ascii="Aptos" w:hAnsi="Aptos"/>
                <w:b w:val="0"/>
                <w:sz w:val="15"/>
              </w:rPr>
              <w:t>Expand after v0.1 validation</w:t>
            </w:r>
          </w:p>
        </w:tc>
      </w:tr>
    </w:tbl>
    <w:p/>
    <w:p>
      <w:pPr>
        <w:pStyle w:val="Heading1"/>
      </w:pPr>
      <w:r>
        <w:t>21. Interoperability and research exports</w:t>
      </w:r>
    </w:p>
    <w:p>
      <w:r>
        <w:t>MedAI's native representation should preserve richer evidence/provenance than many downstream research models. Exports should be views over the native graph rather than the sole source of truth. CSV/Parquet can support analysis; JSON can preserve nested assertions; REDCap can support curated research workflows; OMOP mappings can support standardized observational research where appropriate. OHDSI describes OMOP as a common structure and standardized representation for observational data, with standardized vocabularies supporting cross-database analytics.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pPr>
            <w:r/>
            <w:r>
              <w:rPr>
                <w:rFonts w:ascii="Aptos" w:hAnsi="Aptos"/>
                <w:b/>
                <w:sz w:val="16"/>
              </w:rPr>
              <w:t>Export</w:t>
            </w:r>
          </w:p>
        </w:tc>
        <w:tc>
          <w:tcPr>
            <w:tcW w:type="dxa" w:w="3389"/>
            <w:shd w:fill="D9EAF7"/>
            <w:vAlign w:val="center"/>
          </w:tcPr>
          <w:p>
            <w:pPr>
              <w:spacing w:after="0"/>
            </w:pPr>
            <w:r/>
            <w:r>
              <w:rPr>
                <w:rFonts w:ascii="Aptos" w:hAnsi="Aptos"/>
                <w:b/>
                <w:sz w:val="16"/>
              </w:rPr>
              <w:t>Use</w:t>
            </w:r>
          </w:p>
        </w:tc>
        <w:tc>
          <w:tcPr>
            <w:tcW w:type="dxa" w:w="3389"/>
            <w:shd w:fill="D9EAF7"/>
            <w:vAlign w:val="center"/>
          </w:tcPr>
          <w:p>
            <w:pPr>
              <w:spacing w:after="0"/>
            </w:pPr>
            <w:r/>
            <w:r>
              <w:rPr>
                <w:rFonts w:ascii="Aptos" w:hAnsi="Aptos"/>
                <w:b/>
                <w:sz w:val="16"/>
              </w:rPr>
              <w:t>Caution</w:t>
            </w:r>
          </w:p>
        </w:tc>
      </w:tr>
      <w:tr>
        <w:tc>
          <w:tcPr>
            <w:tcW w:type="dxa" w:w="3389"/>
            <w:vAlign w:val="top"/>
          </w:tcPr>
          <w:p>
            <w:pPr>
              <w:spacing w:after="0"/>
            </w:pPr>
            <w:r/>
            <w:r>
              <w:rPr>
                <w:rFonts w:ascii="Aptos" w:hAnsi="Aptos"/>
                <w:b w:val="0"/>
                <w:sz w:val="15"/>
              </w:rPr>
              <w:t>CSV/Parquet</w:t>
            </w:r>
          </w:p>
        </w:tc>
        <w:tc>
          <w:tcPr>
            <w:tcW w:type="dxa" w:w="3389"/>
            <w:vAlign w:val="top"/>
          </w:tcPr>
          <w:p>
            <w:pPr>
              <w:spacing w:after="0"/>
            </w:pPr>
            <w:r/>
            <w:r>
              <w:rPr>
                <w:rFonts w:ascii="Aptos" w:hAnsi="Aptos"/>
                <w:b w:val="0"/>
                <w:sz w:val="15"/>
              </w:rPr>
              <w:t>Analysis-ready cohort tables</w:t>
            </w:r>
          </w:p>
        </w:tc>
        <w:tc>
          <w:tcPr>
            <w:tcW w:type="dxa" w:w="3389"/>
            <w:vAlign w:val="top"/>
          </w:tcPr>
          <w:p>
            <w:pPr>
              <w:spacing w:after="0"/>
            </w:pPr>
            <w:r/>
            <w:r>
              <w:rPr>
                <w:rFonts w:ascii="Aptos" w:hAnsi="Aptos"/>
                <w:b w:val="0"/>
                <w:sz w:val="15"/>
              </w:rPr>
              <w:t>Flattening can hide uncertainty/provenance</w:t>
            </w:r>
          </w:p>
        </w:tc>
      </w:tr>
      <w:tr>
        <w:tc>
          <w:tcPr>
            <w:tcW w:type="dxa" w:w="3389"/>
            <w:vAlign w:val="top"/>
          </w:tcPr>
          <w:p>
            <w:pPr>
              <w:spacing w:after="0"/>
            </w:pPr>
            <w:r/>
            <w:r>
              <w:rPr>
                <w:rFonts w:ascii="Aptos" w:hAnsi="Aptos"/>
                <w:b w:val="0"/>
                <w:sz w:val="15"/>
              </w:rPr>
              <w:t>JSON</w:t>
            </w:r>
          </w:p>
        </w:tc>
        <w:tc>
          <w:tcPr>
            <w:tcW w:type="dxa" w:w="3389"/>
            <w:vAlign w:val="top"/>
          </w:tcPr>
          <w:p>
            <w:pPr>
              <w:spacing w:after="0"/>
            </w:pPr>
            <w:r/>
            <w:r>
              <w:rPr>
                <w:rFonts w:ascii="Aptos" w:hAnsi="Aptos"/>
                <w:b w:val="0"/>
                <w:sz w:val="15"/>
              </w:rPr>
              <w:t>Full nested phenotype/evidence representation</w:t>
            </w:r>
          </w:p>
        </w:tc>
        <w:tc>
          <w:tcPr>
            <w:tcW w:type="dxa" w:w="3389"/>
            <w:vAlign w:val="top"/>
          </w:tcPr>
          <w:p>
            <w:pPr>
              <w:spacing w:after="0"/>
            </w:pPr>
            <w:r/>
            <w:r>
              <w:rPr>
                <w:rFonts w:ascii="Aptos" w:hAnsi="Aptos"/>
                <w:b w:val="0"/>
                <w:sz w:val="15"/>
              </w:rPr>
              <w:t>Requires schema versioning</w:t>
            </w:r>
          </w:p>
        </w:tc>
      </w:tr>
      <w:tr>
        <w:tc>
          <w:tcPr>
            <w:tcW w:type="dxa" w:w="3389"/>
            <w:vAlign w:val="top"/>
          </w:tcPr>
          <w:p>
            <w:pPr>
              <w:spacing w:after="0"/>
            </w:pPr>
            <w:r/>
            <w:r>
              <w:rPr>
                <w:rFonts w:ascii="Aptos" w:hAnsi="Aptos"/>
                <w:b w:val="0"/>
                <w:sz w:val="15"/>
              </w:rPr>
              <w:t>REDCap</w:t>
            </w:r>
          </w:p>
        </w:tc>
        <w:tc>
          <w:tcPr>
            <w:tcW w:type="dxa" w:w="3389"/>
            <w:vAlign w:val="top"/>
          </w:tcPr>
          <w:p>
            <w:pPr>
              <w:spacing w:after="0"/>
            </w:pPr>
            <w:r/>
            <w:r>
              <w:rPr>
                <w:rFonts w:ascii="Aptos" w:hAnsi="Aptos"/>
                <w:b w:val="0"/>
                <w:sz w:val="15"/>
              </w:rPr>
              <w:t>Human-reviewed research registry</w:t>
            </w:r>
          </w:p>
        </w:tc>
        <w:tc>
          <w:tcPr>
            <w:tcW w:type="dxa" w:w="3389"/>
            <w:vAlign w:val="top"/>
          </w:tcPr>
          <w:p>
            <w:pPr>
              <w:spacing w:after="0"/>
            </w:pPr>
            <w:r/>
            <w:r>
              <w:rPr>
                <w:rFonts w:ascii="Aptos" w:hAnsi="Aptos"/>
                <w:b w:val="0"/>
                <w:sz w:val="15"/>
              </w:rPr>
              <w:t>Define overwrite/review policy</w:t>
            </w:r>
          </w:p>
        </w:tc>
      </w:tr>
      <w:tr>
        <w:tc>
          <w:tcPr>
            <w:tcW w:type="dxa" w:w="3389"/>
            <w:vAlign w:val="top"/>
          </w:tcPr>
          <w:p>
            <w:pPr>
              <w:spacing w:after="0"/>
            </w:pPr>
            <w:r/>
            <w:r>
              <w:rPr>
                <w:rFonts w:ascii="Aptos" w:hAnsi="Aptos"/>
                <w:b w:val="0"/>
                <w:sz w:val="15"/>
              </w:rPr>
              <w:t>OMOP CDM</w:t>
            </w:r>
          </w:p>
        </w:tc>
        <w:tc>
          <w:tcPr>
            <w:tcW w:type="dxa" w:w="3389"/>
            <w:vAlign w:val="top"/>
          </w:tcPr>
          <w:p>
            <w:pPr>
              <w:spacing w:after="0"/>
            </w:pPr>
            <w:r/>
            <w:r>
              <w:rPr>
                <w:rFonts w:ascii="Aptos" w:hAnsi="Aptos"/>
                <w:b w:val="0"/>
                <w:sz w:val="15"/>
              </w:rPr>
              <w:t>Cross-site observational research</w:t>
            </w:r>
          </w:p>
        </w:tc>
        <w:tc>
          <w:tcPr>
            <w:tcW w:type="dxa" w:w="3389"/>
            <w:vAlign w:val="top"/>
          </w:tcPr>
          <w:p>
            <w:pPr>
              <w:spacing w:after="0"/>
            </w:pPr>
            <w:r/>
            <w:r>
              <w:rPr>
                <w:rFonts w:ascii="Aptos" w:hAnsi="Aptos"/>
                <w:b w:val="0"/>
                <w:sz w:val="15"/>
              </w:rPr>
              <w:t>Map only concepts/relationships that fit OMOP semantics</w:t>
            </w:r>
          </w:p>
        </w:tc>
      </w:tr>
      <w:tr>
        <w:tc>
          <w:tcPr>
            <w:tcW w:type="dxa" w:w="3389"/>
            <w:vAlign w:val="top"/>
          </w:tcPr>
          <w:p>
            <w:pPr>
              <w:spacing w:after="0"/>
            </w:pPr>
            <w:r/>
            <w:r>
              <w:rPr>
                <w:rFonts w:ascii="Aptos" w:hAnsi="Aptos"/>
                <w:b w:val="0"/>
                <w:sz w:val="15"/>
              </w:rPr>
              <w:t>FHIR (future)</w:t>
            </w:r>
          </w:p>
        </w:tc>
        <w:tc>
          <w:tcPr>
            <w:tcW w:type="dxa" w:w="3389"/>
            <w:vAlign w:val="top"/>
          </w:tcPr>
          <w:p>
            <w:pPr>
              <w:spacing w:after="0"/>
            </w:pPr>
            <w:r/>
            <w:r>
              <w:rPr>
                <w:rFonts w:ascii="Aptos" w:hAnsi="Aptos"/>
                <w:b w:val="0"/>
                <w:sz w:val="15"/>
              </w:rPr>
              <w:t>Clinical interoperability</w:t>
            </w:r>
          </w:p>
        </w:tc>
        <w:tc>
          <w:tcPr>
            <w:tcW w:type="dxa" w:w="3389"/>
            <w:vAlign w:val="top"/>
          </w:tcPr>
          <w:p>
            <w:pPr>
              <w:spacing w:after="0"/>
            </w:pPr>
            <w:r/>
            <w:r>
              <w:rPr>
                <w:rFonts w:ascii="Aptos" w:hAnsi="Aptos"/>
                <w:b w:val="0"/>
                <w:sz w:val="15"/>
              </w:rPr>
              <w:t>Requires a separate implementation profile and governance review</w:t>
            </w:r>
          </w:p>
        </w:tc>
      </w:tr>
    </w:tbl>
    <w:p/>
    <w:p>
      <w:pPr>
        <w:pStyle w:val="Heading1"/>
      </w:pPr>
      <w:r>
        <w:t>22. Governance and versioning</w:t>
      </w:r>
    </w:p>
    <w:p>
      <w:pPr>
        <w:pStyle w:val="ListBullet"/>
        <w:ind w:left="360" w:hanging="173"/>
      </w:pPr>
      <w:r>
        <w:t>Every ontology/schema release receives a semantic version and immutable release artifact.</w:t>
      </w:r>
    </w:p>
    <w:p>
      <w:pPr>
        <w:pStyle w:val="ListBullet"/>
        <w:ind w:left="360" w:hanging="173"/>
      </w:pPr>
      <w:r>
        <w:t>Record source standard/version/date for every imported or mapped terminology.</w:t>
      </w:r>
    </w:p>
    <w:p>
      <w:pPr>
        <w:pStyle w:val="ListBullet"/>
        <w:ind w:left="360" w:hanging="173"/>
      </w:pPr>
      <w:r>
        <w:t>Maintain mapping provenance: exact match, narrower, broader, related, local extension, unresolved.</w:t>
      </w:r>
    </w:p>
    <w:p>
      <w:pPr>
        <w:pStyle w:val="ListBullet"/>
        <w:ind w:left="360" w:hanging="173"/>
      </w:pPr>
      <w:r>
        <w:t>Never silently change the meaning of an existing MedAI concept ID.</w:t>
      </w:r>
    </w:p>
    <w:p>
      <w:pPr>
        <w:pStyle w:val="ListBullet"/>
        <w:ind w:left="360" w:hanging="173"/>
      </w:pPr>
      <w:r>
        <w:t>Deprecate rather than delete concepts used in prior datasets.</w:t>
      </w:r>
    </w:p>
    <w:p>
      <w:pPr>
        <w:pStyle w:val="ListBullet"/>
        <w:ind w:left="360" w:hanging="173"/>
      </w:pPr>
      <w:r>
        <w:t>Synthetic datasets must record ontology version, generator version, seed/scenario ID, document generator, and validation status.</w:t>
      </w:r>
    </w:p>
    <w:p>
      <w:pPr>
        <w:pStyle w:val="ListBullet"/>
        <w:ind w:left="360" w:hanging="173"/>
      </w:pPr>
      <w:r>
        <w:t>Extraction runs must record model weights/version, inference engine, prompt, decoding configuration, schema, and code commit.</w:t>
      </w:r>
    </w:p>
    <w:p>
      <w:pPr>
        <w:pStyle w:val="ListBullet"/>
        <w:ind w:left="360" w:hanging="173"/>
      </w:pPr>
      <w:r>
        <w:t>Licensing/redistribution requirements for external terminologies must be checked before distributing bundled vocabulary content.</w:t>
      </w:r>
    </w:p>
    <w:p>
      <w:pPr>
        <w:pStyle w:val="Heading1"/>
      </w:pPr>
      <w:r>
        <w:t>23. Scientific claims and boundaries</w:t>
      </w:r>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sz w:val="19"/>
              </w:rPr>
              <w:t>What a synthetic benchmark can establish</w:t>
              <w:br/>
            </w:r>
            <w:r>
              <w:rPr>
                <w:sz w:val="17"/>
              </w:rPr>
              <w:t>It can establish controlled task performance, robustness to designed linguistic/clinical phenomena, model comparisons, schema compliance, and error modes under known ground truth. It can also support reproducible software testing.</w:t>
            </w:r>
          </w:p>
        </w:tc>
      </w:tr>
    </w:tbl>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sz w:val="19"/>
              </w:rPr>
              <w:t>What it cannot establish by itself</w:t>
              <w:br/>
            </w:r>
            <w:r>
              <w:rPr>
                <w:sz w:val="17"/>
              </w:rPr>
              <w:t>It cannot establish real-world clinical accuracy, site generalization, clinical utility, safety, or diagnostic performance. Those require evaluation on real clinical documents with appropriate governance and clinician-adjudicated reference standards.</w:t>
            </w:r>
          </w:p>
        </w:tc>
      </w:tr>
    </w:tbl>
    <w:p/>
    <w:p>
      <w:pPr>
        <w:pStyle w:val="Heading1"/>
      </w:pPr>
      <w:r>
        <w:t>24. Implementation roadmap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pPr>
              <w:spacing w:after="0"/>
            </w:pPr>
            <w:r/>
            <w:r>
              <w:rPr>
                <w:rFonts w:ascii="Aptos" w:hAnsi="Aptos"/>
                <w:b/>
                <w:sz w:val="16"/>
              </w:rPr>
              <w:t>Phase</w:t>
            </w:r>
          </w:p>
        </w:tc>
        <w:tc>
          <w:tcPr>
            <w:tcW w:type="dxa" w:w="3389"/>
            <w:shd w:fill="D9EAF7"/>
            <w:vAlign w:val="center"/>
          </w:tcPr>
          <w:p>
            <w:pPr>
              <w:spacing w:after="0"/>
            </w:pPr>
            <w:r/>
            <w:r>
              <w:rPr>
                <w:rFonts w:ascii="Aptos" w:hAnsi="Aptos"/>
                <w:b/>
                <w:sz w:val="16"/>
              </w:rPr>
              <w:t>Deliverable</w:t>
            </w:r>
          </w:p>
        </w:tc>
        <w:tc>
          <w:tcPr>
            <w:tcW w:type="dxa" w:w="3389"/>
            <w:shd w:fill="D9EAF7"/>
            <w:vAlign w:val="center"/>
          </w:tcPr>
          <w:p>
            <w:pPr>
              <w:spacing w:after="0"/>
            </w:pPr>
            <w:r/>
            <w:r>
              <w:rPr>
                <w:rFonts w:ascii="Aptos" w:hAnsi="Aptos"/>
                <w:b/>
                <w:sz w:val="16"/>
              </w:rPr>
              <w:t>Exit criterion</w:t>
            </w:r>
          </w:p>
        </w:tc>
      </w:tr>
      <w:tr>
        <w:tc>
          <w:tcPr>
            <w:tcW w:type="dxa" w:w="3389"/>
            <w:vAlign w:val="top"/>
          </w:tcPr>
          <w:p>
            <w:pPr>
              <w:spacing w:after="0"/>
            </w:pPr>
            <w:r/>
            <w:r>
              <w:rPr>
                <w:rFonts w:ascii="Aptos" w:hAnsi="Aptos"/>
                <w:b w:val="0"/>
                <w:sz w:val="15"/>
              </w:rPr>
              <w:t>0. Standards inventory</w:t>
            </w:r>
          </w:p>
        </w:tc>
        <w:tc>
          <w:tcPr>
            <w:tcW w:type="dxa" w:w="3389"/>
            <w:vAlign w:val="top"/>
          </w:tcPr>
          <w:p>
            <w:pPr>
              <w:spacing w:after="0"/>
            </w:pPr>
            <w:r/>
            <w:r>
              <w:rPr>
                <w:rFonts w:ascii="Aptos" w:hAnsi="Aptos"/>
                <w:b w:val="0"/>
                <w:sz w:val="15"/>
              </w:rPr>
              <w:t>Source registry + licenses + versions</w:t>
            </w:r>
          </w:p>
        </w:tc>
        <w:tc>
          <w:tcPr>
            <w:tcW w:type="dxa" w:w="3389"/>
            <w:vAlign w:val="top"/>
          </w:tcPr>
          <w:p>
            <w:pPr>
              <w:spacing w:after="0"/>
            </w:pPr>
            <w:r/>
            <w:r>
              <w:rPr>
                <w:rFonts w:ascii="Aptos" w:hAnsi="Aptos"/>
                <w:b w:val="0"/>
                <w:sz w:val="15"/>
              </w:rPr>
              <w:t>All core standards identified and scope documented</w:t>
            </w:r>
          </w:p>
        </w:tc>
      </w:tr>
      <w:tr>
        <w:tc>
          <w:tcPr>
            <w:tcW w:type="dxa" w:w="3389"/>
            <w:vAlign w:val="top"/>
          </w:tcPr>
          <w:p>
            <w:pPr>
              <w:spacing w:after="0"/>
            </w:pPr>
            <w:r/>
            <w:r>
              <w:rPr>
                <w:rFonts w:ascii="Aptos" w:hAnsi="Aptos"/>
                <w:b w:val="0"/>
                <w:sz w:val="15"/>
              </w:rPr>
              <w:t>1. Schema v0.1</w:t>
            </w:r>
          </w:p>
        </w:tc>
        <w:tc>
          <w:tcPr>
            <w:tcW w:type="dxa" w:w="3389"/>
            <w:vAlign w:val="top"/>
          </w:tcPr>
          <w:p>
            <w:pPr>
              <w:spacing w:after="0"/>
            </w:pPr>
            <w:r/>
            <w:r>
              <w:rPr>
                <w:rFonts w:ascii="Aptos" w:hAnsi="Aptos"/>
                <w:b w:val="0"/>
                <w:sz w:val="15"/>
              </w:rPr>
              <w:t>20–30 variables + assertion wrapper</w:t>
            </w:r>
          </w:p>
        </w:tc>
        <w:tc>
          <w:tcPr>
            <w:tcW w:type="dxa" w:w="3389"/>
            <w:vAlign w:val="top"/>
          </w:tcPr>
          <w:p>
            <w:pPr>
              <w:spacing w:after="0"/>
            </w:pPr>
            <w:r/>
            <w:r>
              <w:rPr>
                <w:rFonts w:ascii="Aptos" w:hAnsi="Aptos"/>
                <w:b w:val="0"/>
                <w:sz w:val="15"/>
              </w:rPr>
              <w:t>Clinician review of concepts/value sets</w:t>
            </w:r>
          </w:p>
        </w:tc>
      </w:tr>
      <w:tr>
        <w:tc>
          <w:tcPr>
            <w:tcW w:type="dxa" w:w="3389"/>
            <w:vAlign w:val="top"/>
          </w:tcPr>
          <w:p>
            <w:pPr>
              <w:spacing w:after="0"/>
            </w:pPr>
            <w:r/>
            <w:r>
              <w:rPr>
                <w:rFonts w:ascii="Aptos" w:hAnsi="Aptos"/>
                <w:b w:val="0"/>
                <w:sz w:val="15"/>
              </w:rPr>
              <w:t>2. Crosswalks</w:t>
            </w:r>
          </w:p>
        </w:tc>
        <w:tc>
          <w:tcPr>
            <w:tcW w:type="dxa" w:w="3389"/>
            <w:vAlign w:val="top"/>
          </w:tcPr>
          <w:p>
            <w:pPr>
              <w:spacing w:after="0"/>
            </w:pPr>
            <w:r/>
            <w:r>
              <w:rPr>
                <w:rFonts w:ascii="Aptos" w:hAnsi="Aptos"/>
                <w:b w:val="0"/>
                <w:sz w:val="15"/>
              </w:rPr>
              <w:t>ILAE/NINDS/EpSO/RxNorm/SNOMED/RadLex/EEG mappings</w:t>
            </w:r>
          </w:p>
        </w:tc>
        <w:tc>
          <w:tcPr>
            <w:tcW w:type="dxa" w:w="3389"/>
            <w:vAlign w:val="top"/>
          </w:tcPr>
          <w:p>
            <w:pPr>
              <w:spacing w:after="0"/>
            </w:pPr>
            <w:r/>
            <w:r>
              <w:rPr>
                <w:rFonts w:ascii="Aptos" w:hAnsi="Aptos"/>
                <w:b w:val="0"/>
                <w:sz w:val="15"/>
              </w:rPr>
              <w:t>Mapping conflicts documented</w:t>
            </w:r>
          </w:p>
        </w:tc>
      </w:tr>
      <w:tr>
        <w:tc>
          <w:tcPr>
            <w:tcW w:type="dxa" w:w="3389"/>
            <w:vAlign w:val="top"/>
          </w:tcPr>
          <w:p>
            <w:pPr>
              <w:spacing w:after="0"/>
            </w:pPr>
            <w:r/>
            <w:r>
              <w:rPr>
                <w:rFonts w:ascii="Aptos" w:hAnsi="Aptos"/>
                <w:b w:val="0"/>
                <w:sz w:val="15"/>
              </w:rPr>
              <w:t>3. Rule engine</w:t>
            </w:r>
          </w:p>
        </w:tc>
        <w:tc>
          <w:tcPr>
            <w:tcW w:type="dxa" w:w="3389"/>
            <w:vAlign w:val="top"/>
          </w:tcPr>
          <w:p>
            <w:pPr>
              <w:spacing w:after="0"/>
            </w:pPr>
            <w:r/>
            <w:r>
              <w:rPr>
                <w:rFonts w:ascii="Aptos" w:hAnsi="Aptos"/>
                <w:b w:val="0"/>
                <w:sz w:val="15"/>
              </w:rPr>
              <w:t>Machine-checkable validity/temporal/document rules</w:t>
            </w:r>
          </w:p>
        </w:tc>
        <w:tc>
          <w:tcPr>
            <w:tcW w:type="dxa" w:w="3389"/>
            <w:vAlign w:val="top"/>
          </w:tcPr>
          <w:p>
            <w:pPr>
              <w:spacing w:after="0"/>
            </w:pPr>
            <w:r/>
            <w:r>
              <w:rPr>
                <w:rFonts w:ascii="Aptos" w:hAnsi="Aptos"/>
                <w:b w:val="0"/>
                <w:sz w:val="15"/>
              </w:rPr>
              <w:t>Unit tests pass</w:t>
            </w:r>
          </w:p>
        </w:tc>
      </w:tr>
      <w:tr>
        <w:tc>
          <w:tcPr>
            <w:tcW w:type="dxa" w:w="3389"/>
            <w:vAlign w:val="top"/>
          </w:tcPr>
          <w:p>
            <w:pPr>
              <w:spacing w:after="0"/>
            </w:pPr>
            <w:r/>
            <w:r>
              <w:rPr>
                <w:rFonts w:ascii="Aptos" w:hAnsi="Aptos"/>
                <w:b w:val="0"/>
                <w:sz w:val="15"/>
              </w:rPr>
              <w:t>4. Synthetic pilot</w:t>
            </w:r>
          </w:p>
        </w:tc>
        <w:tc>
          <w:tcPr>
            <w:tcW w:type="dxa" w:w="3389"/>
            <w:vAlign w:val="top"/>
          </w:tcPr>
          <w:p>
            <w:pPr>
              <w:spacing w:after="0"/>
            </w:pPr>
            <w:r/>
            <w:r>
              <w:rPr>
                <w:rFonts w:ascii="Aptos" w:hAnsi="Aptos"/>
                <w:b w:val="0"/>
                <w:sz w:val="15"/>
              </w:rPr>
              <w:t>~100–500 patients / multiple document types</w:t>
            </w:r>
          </w:p>
        </w:tc>
        <w:tc>
          <w:tcPr>
            <w:tcW w:type="dxa" w:w="3389"/>
            <w:vAlign w:val="top"/>
          </w:tcPr>
          <w:p>
            <w:pPr>
              <w:spacing w:after="0"/>
            </w:pPr>
            <w:r/>
            <w:r>
              <w:rPr>
                <w:rFonts w:ascii="Aptos" w:hAnsi="Aptos"/>
                <w:b w:val="0"/>
                <w:sz w:val="15"/>
              </w:rPr>
              <w:t>Clinician plausibility review completed</w:t>
            </w:r>
          </w:p>
        </w:tc>
      </w:tr>
      <w:tr>
        <w:tc>
          <w:tcPr>
            <w:tcW w:type="dxa" w:w="3389"/>
            <w:vAlign w:val="top"/>
          </w:tcPr>
          <w:p>
            <w:pPr>
              <w:spacing w:after="0"/>
            </w:pPr>
            <w:r/>
            <w:r>
              <w:rPr>
                <w:rFonts w:ascii="Aptos" w:hAnsi="Aptos"/>
                <w:b w:val="0"/>
                <w:sz w:val="15"/>
              </w:rPr>
              <w:t>5. Benchmark v1</w:t>
            </w:r>
          </w:p>
        </w:tc>
        <w:tc>
          <w:tcPr>
            <w:tcW w:type="dxa" w:w="3389"/>
            <w:vAlign w:val="top"/>
          </w:tcPr>
          <w:p>
            <w:pPr>
              <w:spacing w:after="0"/>
            </w:pPr>
            <w:r/>
            <w:r>
              <w:rPr>
                <w:rFonts w:ascii="Aptos" w:hAnsi="Aptos"/>
                <w:b w:val="0"/>
                <w:sz w:val="15"/>
              </w:rPr>
              <w:t>Larger controlled corpus with difficulty tiers</w:t>
            </w:r>
          </w:p>
        </w:tc>
        <w:tc>
          <w:tcPr>
            <w:tcW w:type="dxa" w:w="3389"/>
            <w:vAlign w:val="top"/>
          </w:tcPr>
          <w:p>
            <w:pPr>
              <w:spacing w:after="0"/>
            </w:pPr>
            <w:r/>
            <w:r>
              <w:rPr>
                <w:rFonts w:ascii="Aptos" w:hAnsi="Aptos"/>
                <w:b w:val="0"/>
                <w:sz w:val="15"/>
              </w:rPr>
              <w:t>Frozen public/internal test set</w:t>
            </w:r>
          </w:p>
        </w:tc>
      </w:tr>
      <w:tr>
        <w:tc>
          <w:tcPr>
            <w:tcW w:type="dxa" w:w="3389"/>
            <w:vAlign w:val="top"/>
          </w:tcPr>
          <w:p>
            <w:pPr>
              <w:spacing w:after="0"/>
            </w:pPr>
            <w:r/>
            <w:r>
              <w:rPr>
                <w:rFonts w:ascii="Aptos" w:hAnsi="Aptos"/>
                <w:b w:val="0"/>
                <w:sz w:val="15"/>
              </w:rPr>
              <w:t>6. MedAI extraction</w:t>
            </w:r>
          </w:p>
        </w:tc>
        <w:tc>
          <w:tcPr>
            <w:tcW w:type="dxa" w:w="3389"/>
            <w:vAlign w:val="top"/>
          </w:tcPr>
          <w:p>
            <w:pPr>
              <w:spacing w:after="0"/>
            </w:pPr>
            <w:r/>
            <w:r>
              <w:rPr>
                <w:rFonts w:ascii="Aptos" w:hAnsi="Aptos"/>
                <w:b w:val="0"/>
                <w:sz w:val="15"/>
              </w:rPr>
              <w:t>Med42/DeepSeek zero/few-shot + verifier</w:t>
            </w:r>
          </w:p>
        </w:tc>
        <w:tc>
          <w:tcPr>
            <w:tcW w:type="dxa" w:w="3389"/>
            <w:vAlign w:val="top"/>
          </w:tcPr>
          <w:p>
            <w:pPr>
              <w:spacing w:after="0"/>
            </w:pPr>
            <w:r/>
            <w:r>
              <w:rPr>
                <w:rFonts w:ascii="Aptos" w:hAnsi="Aptos"/>
                <w:b w:val="0"/>
                <w:sz w:val="15"/>
              </w:rPr>
              <w:t>Reproducible benchmark results</w:t>
            </w:r>
          </w:p>
        </w:tc>
      </w:tr>
      <w:tr>
        <w:tc>
          <w:tcPr>
            <w:tcW w:type="dxa" w:w="3389"/>
            <w:vAlign w:val="top"/>
          </w:tcPr>
          <w:p>
            <w:pPr>
              <w:spacing w:after="0"/>
            </w:pPr>
            <w:r/>
            <w:r>
              <w:rPr>
                <w:rFonts w:ascii="Aptos" w:hAnsi="Aptos"/>
                <w:b w:val="0"/>
                <w:sz w:val="15"/>
              </w:rPr>
              <w:t>7. Public benchmark validation</w:t>
            </w:r>
          </w:p>
        </w:tc>
        <w:tc>
          <w:tcPr>
            <w:tcW w:type="dxa" w:w="3389"/>
            <w:vAlign w:val="top"/>
          </w:tcPr>
          <w:p>
            <w:pPr>
              <w:spacing w:after="0"/>
            </w:pPr>
            <w:r/>
            <w:r>
              <w:rPr>
                <w:rFonts w:ascii="Aptos" w:hAnsi="Aptos"/>
                <w:b w:val="0"/>
                <w:sz w:val="15"/>
              </w:rPr>
              <w:t>Existing public epilepsy corpora</w:t>
            </w:r>
          </w:p>
        </w:tc>
        <w:tc>
          <w:tcPr>
            <w:tcW w:type="dxa" w:w="3389"/>
            <w:vAlign w:val="top"/>
          </w:tcPr>
          <w:p>
            <w:pPr>
              <w:spacing w:after="0"/>
            </w:pPr>
            <w:r/>
            <w:r>
              <w:rPr>
                <w:rFonts w:ascii="Aptos" w:hAnsi="Aptos"/>
                <w:b w:val="0"/>
                <w:sz w:val="15"/>
              </w:rPr>
              <w:t>Comparable metrics and error analysis</w:t>
            </w:r>
          </w:p>
        </w:tc>
      </w:tr>
      <w:tr>
        <w:tc>
          <w:tcPr>
            <w:tcW w:type="dxa" w:w="3389"/>
            <w:vAlign w:val="top"/>
          </w:tcPr>
          <w:p>
            <w:pPr>
              <w:spacing w:after="0"/>
            </w:pPr>
            <w:r/>
            <w:r>
              <w:rPr>
                <w:rFonts w:ascii="Aptos" w:hAnsi="Aptos"/>
                <w:b w:val="0"/>
                <w:sz w:val="15"/>
              </w:rPr>
              <w:t>8. Real-world validation</w:t>
            </w:r>
          </w:p>
        </w:tc>
        <w:tc>
          <w:tcPr>
            <w:tcW w:type="dxa" w:w="3389"/>
            <w:vAlign w:val="top"/>
          </w:tcPr>
          <w:p>
            <w:pPr>
              <w:spacing w:after="0"/>
            </w:pPr>
            <w:r/>
            <w:r>
              <w:rPr>
                <w:rFonts w:ascii="Aptos" w:hAnsi="Aptos"/>
                <w:b w:val="0"/>
                <w:sz w:val="15"/>
              </w:rPr>
              <w:t>IRB-approved institutional notes</w:t>
            </w:r>
          </w:p>
        </w:tc>
        <w:tc>
          <w:tcPr>
            <w:tcW w:type="dxa" w:w="3389"/>
            <w:vAlign w:val="top"/>
          </w:tcPr>
          <w:p>
            <w:pPr>
              <w:spacing w:after="0"/>
            </w:pPr>
            <w:r/>
            <w:r>
              <w:rPr>
                <w:rFonts w:ascii="Aptos" w:hAnsi="Aptos"/>
                <w:b w:val="0"/>
                <w:sz w:val="15"/>
              </w:rPr>
              <w:t>Clinician-adjudicated performance</w:t>
            </w:r>
          </w:p>
        </w:tc>
      </w:tr>
      <w:tr>
        <w:tc>
          <w:tcPr>
            <w:tcW w:type="dxa" w:w="3389"/>
            <w:vAlign w:val="top"/>
          </w:tcPr>
          <w:p>
            <w:pPr>
              <w:spacing w:after="0"/>
            </w:pPr>
            <w:r/>
            <w:r>
              <w:rPr>
                <w:rFonts w:ascii="Aptos" w:hAnsi="Aptos"/>
                <w:b w:val="0"/>
                <w:sz w:val="15"/>
              </w:rPr>
              <w:t>9. Research integration</w:t>
            </w:r>
          </w:p>
        </w:tc>
        <w:tc>
          <w:tcPr>
            <w:tcW w:type="dxa" w:w="3389"/>
            <w:vAlign w:val="top"/>
          </w:tcPr>
          <w:p>
            <w:pPr>
              <w:spacing w:after="0"/>
            </w:pPr>
            <w:r/>
            <w:r>
              <w:rPr>
                <w:rFonts w:ascii="Aptos" w:hAnsi="Aptos"/>
                <w:b w:val="0"/>
                <w:sz w:val="15"/>
              </w:rPr>
              <w:t>REDCap/OMOP/cohort workflows</w:t>
            </w:r>
          </w:p>
        </w:tc>
        <w:tc>
          <w:tcPr>
            <w:tcW w:type="dxa" w:w="3389"/>
            <w:vAlign w:val="top"/>
          </w:tcPr>
          <w:p>
            <w:pPr>
              <w:spacing w:after="0"/>
            </w:pPr>
            <w:r/>
            <w:r>
              <w:rPr>
                <w:rFonts w:ascii="Aptos" w:hAnsi="Aptos"/>
                <w:b w:val="0"/>
                <w:sz w:val="15"/>
              </w:rPr>
              <w:t>Reproducible downstream study use</w:t>
            </w:r>
          </w:p>
        </w:tc>
      </w:tr>
    </w:tbl>
    <w:p/>
    <w:p>
      <w:pPr>
        <w:pStyle w:val="Heading1"/>
      </w:pPr>
      <w:r>
        <w:t>25. Proposed repository structure</w:t>
      </w:r>
    </w:p>
    <w:p>
      <w:pPr>
        <w:pStyle w:val="CodeBlock"/>
      </w:pPr>
      <w:r>
        <w:t>medai-ontology/</w:t>
        <w:br/>
        <w:t>├── README.md</w:t>
        <w:br/>
        <w:t>├── VERSION</w:t>
        <w:br/>
        <w:t>├── sources/</w:t>
        <w:br/>
        <w:t>│   ├── ilae_registry.yaml</w:t>
        <w:br/>
        <w:t>│   ├── ninds_cde_registry.yaml</w:t>
        <w:br/>
        <w:t>│   ├── epso_registry.yaml</w:t>
        <w:br/>
        <w:t>│   └── terminology_registry.yaml</w:t>
        <w:br/>
        <w:t>├── schema/</w:t>
        <w:br/>
        <w:t>│   ├── phenotype_assertion.schema.json</w:t>
        <w:br/>
        <w:t>│   ├── patient.schema.json</w:t>
        <w:br/>
        <w:t>│   ├── document.schema.json</w:t>
        <w:br/>
        <w:t>│   └── modules/</w:t>
        <w:br/>
        <w:t>│       ├── seizure.yaml</w:t>
        <w:br/>
        <w:t>│       ├── etiology.yaml</w:t>
        <w:br/>
        <w:t>│       ├── eeg.yaml</w:t>
        <w:br/>
        <w:t>│       ├── mri.yaml</w:t>
        <w:br/>
        <w:t>│       ├── medication.yaml</w:t>
        <w:br/>
        <w:t>│       └── outcomes.yaml</w:t>
        <w:br/>
        <w:t>├── mappings/</w:t>
        <w:br/>
        <w:t>│   ├── ilae.csv</w:t>
        <w:br/>
        <w:t>│   ├── ninds_cde.csv</w:t>
        <w:br/>
        <w:t>│   ├── epso.csv</w:t>
        <w:br/>
        <w:t>│   ├── rxnorm.csv</w:t>
        <w:br/>
        <w:t>│   ├── snomed.csv</w:t>
        <w:br/>
        <w:t>│   └── radlex.csv</w:t>
        <w:br/>
        <w:t>├── rules/</w:t>
        <w:br/>
        <w:t>│   ├── semantic_rules.yaml</w:t>
        <w:br/>
        <w:t>│   ├── temporal_rules.yaml</w:t>
        <w:br/>
        <w:t>│   ├── document_rules.yaml</w:t>
        <w:br/>
        <w:t>│   └── synthetic_constraints.yaml</w:t>
        <w:br/>
        <w:t>├── synthetic/</w:t>
        <w:br/>
        <w:t>│   ├── scenario_templates/</w:t>
        <w:br/>
        <w:t>│   ├── patient_generator/</w:t>
        <w:br/>
        <w:t>│   └── document_generators/</w:t>
        <w:br/>
        <w:t>├── validation/</w:t>
        <w:br/>
        <w:t>│   ├── clinician_review/</w:t>
        <w:br/>
        <w:t>│   ├── unit_tests/</w:t>
        <w:br/>
        <w:t>│   └── benchmark_specs/</w:t>
        <w:br/>
        <w:t>└── docs/</w:t>
        <w:br/>
        <w:t xml:space="preserve">    ├── data_dictionary.md</w:t>
        <w:br/>
        <w:t xml:space="preserve">    ├── annotation_manual.md</w:t>
        <w:br/>
        <w:t xml:space="preserve">    └── governance.md</w:t>
      </w:r>
    </w:p>
    <w:p>
      <w:pPr>
        <w:pStyle w:val="Heading1"/>
      </w:pPr>
      <w:r>
        <w:t>26. Reference sources and documentation</w:t>
      </w:r>
    </w:p>
    <w:p>
      <w:pPr>
        <w:ind w:left="216" w:hanging="216"/>
      </w:pPr>
      <w:r>
        <w:rPr>
          <w:b/>
        </w:rPr>
        <w:t xml:space="preserve">1. International League Against Epilepsy. Updated classification of epileptic seizures (2025). </w:t>
      </w:r>
      <w:r>
        <w:rPr>
          <w:color w:val="2F5597"/>
          <w:sz w:val="17"/>
        </w:rPr>
        <w:t>https://www.ilae.org/updated-classification-epileptic-seizures-2025</w:t>
      </w:r>
    </w:p>
    <w:p>
      <w:pPr>
        <w:ind w:left="216" w:hanging="216"/>
      </w:pPr>
      <w:r>
        <w:rPr>
          <w:b/>
        </w:rPr>
        <w:t xml:space="preserve">2. International League Against Epilepsy. Definition &amp; Classification resources. </w:t>
      </w:r>
      <w:r>
        <w:rPr>
          <w:color w:val="2F5597"/>
          <w:sz w:val="17"/>
        </w:rPr>
        <w:t>https://www.ilae.org/guidelines/definition-and-classification</w:t>
      </w:r>
    </w:p>
    <w:p>
      <w:pPr>
        <w:ind w:left="216" w:hanging="216"/>
      </w:pPr>
      <w:r>
        <w:rPr>
          <w:b/>
        </w:rPr>
        <w:t xml:space="preserve">3. NINDS. Epilepsy Common Data Elements. </w:t>
      </w:r>
      <w:r>
        <w:rPr>
          <w:color w:val="2F5597"/>
          <w:sz w:val="17"/>
        </w:rPr>
        <w:t>https://www.commondataelements.ninds.nih.gov/epilepsy</w:t>
      </w:r>
    </w:p>
    <w:p>
      <w:pPr>
        <w:ind w:left="216" w:hanging="216"/>
      </w:pPr>
      <w:r>
        <w:rPr>
          <w:b/>
        </w:rPr>
        <w:t xml:space="preserve">4. NCBO BioPortal. Epilepsy and Seizure Ontology (EpSO), public ontology listing; version 3.1 listed in 2025. </w:t>
      </w:r>
      <w:r>
        <w:rPr>
          <w:color w:val="2F5597"/>
          <w:sz w:val="17"/>
        </w:rPr>
        <w:t>https://bioportal.bioontology.org/ontologies/EPSO</w:t>
      </w:r>
    </w:p>
    <w:p>
      <w:pPr>
        <w:ind w:left="216" w:hanging="216"/>
      </w:pPr>
      <w:r>
        <w:rPr>
          <w:b/>
        </w:rPr>
        <w:t xml:space="preserve">5. U.S. National Library of Medicine. RxNorm Overview. </w:t>
      </w:r>
      <w:r>
        <w:rPr>
          <w:color w:val="2F5597"/>
          <w:sz w:val="17"/>
        </w:rPr>
        <w:t>https://www.nlm.nih.gov/research/umls/rxnorm/overview.html</w:t>
      </w:r>
    </w:p>
    <w:p>
      <w:pPr>
        <w:ind w:left="216" w:hanging="216"/>
      </w:pPr>
      <w:r>
        <w:rPr>
          <w:b/>
        </w:rPr>
        <w:t xml:space="preserve">6. SNOMED International. SNOMED CT glossary/documentation. </w:t>
      </w:r>
      <w:r>
        <w:rPr>
          <w:color w:val="2F5597"/>
          <w:sz w:val="17"/>
        </w:rPr>
        <w:t>https://docs.snomed.org/snomed-international-documents/snomed-ct-glossary/s/snomed-ct</w:t>
      </w:r>
    </w:p>
    <w:p>
      <w:pPr>
        <w:ind w:left="216" w:hanging="216"/>
      </w:pPr>
      <w:r>
        <w:rPr>
          <w:b/>
        </w:rPr>
        <w:t xml:space="preserve">7. RSNA. RadLex radiology lexicon. </w:t>
      </w:r>
      <w:r>
        <w:rPr>
          <w:color w:val="2F5597"/>
          <w:sz w:val="17"/>
        </w:rPr>
        <w:t>https://www.rsna.org/practice-tools/data-tools-and-standards/radlex-radiology-lexicon</w:t>
      </w:r>
    </w:p>
    <w:p>
      <w:pPr>
        <w:ind w:left="216" w:hanging="216"/>
      </w:pPr>
      <w:r>
        <w:rPr>
          <w:b/>
        </w:rPr>
        <w:t xml:space="preserve">8. American Clinical Neurophysiology Society. Guidelines and standardized EEG terminology resources. </w:t>
      </w:r>
      <w:r>
        <w:rPr>
          <w:color w:val="2F5597"/>
          <w:sz w:val="17"/>
        </w:rPr>
        <w:t>https://www.acns.org/practice/guidelines</w:t>
      </w:r>
    </w:p>
    <w:p>
      <w:pPr>
        <w:ind w:left="216" w:hanging="216"/>
      </w:pPr>
      <w:r>
        <w:rPr>
          <w:b/>
        </w:rPr>
        <w:t xml:space="preserve">9. OHDSI. OMOP Common Data Model. </w:t>
      </w:r>
      <w:r>
        <w:rPr>
          <w:color w:val="2F5597"/>
          <w:sz w:val="17"/>
        </w:rPr>
        <w:t>https://www.ohdsi.org/data-standardization/the-common-data-model/</w:t>
      </w:r>
    </w:p>
    <w:p>
      <w:pPr>
        <w:ind w:left="216" w:hanging="216"/>
      </w:pPr>
      <w:r>
        <w:rPr>
          <w:b/>
        </w:rPr>
        <w:t xml:space="preserve">10. ILAE. Definition of drug-resistant epilepsy. </w:t>
      </w:r>
      <w:r>
        <w:rPr>
          <w:color w:val="2F5597"/>
          <w:sz w:val="17"/>
        </w:rPr>
        <w:t>https://www.ilae.org/guidelines/guidelines-and-reports/definition-of-drug-resistant-epilepsy</w:t>
      </w:r>
    </w:p>
    <w:p>
      <w:pPr>
        <w:ind w:left="216" w:hanging="216"/>
      </w:pPr>
      <w:r>
        <w:rPr>
          <w:b/>
        </w:rPr>
        <w:t xml:space="preserve">11. ILAE. Diagnostic resources including hippocampal sclerosis and focal cortical dysplasia consensus classifications. </w:t>
      </w:r>
      <w:r>
        <w:rPr>
          <w:color w:val="2F5597"/>
          <w:sz w:val="17"/>
        </w:rPr>
        <w:t>https://www.ilae.org/patient-care/diagnosis</w:t>
      </w:r>
    </w:p>
    <w:p>
      <w:pPr>
        <w:pStyle w:val="Heading1"/>
      </w:pPr>
      <w:r>
        <w:t>27. Immediate next artifacts</w:t>
      </w:r>
    </w:p>
    <w:p>
      <w:pPr>
        <w:pStyle w:val="ListBullet"/>
        <w:ind w:left="360" w:hanging="173"/>
      </w:pPr>
      <w:r>
        <w:t>MedAI Epilepsy Data Dictionary v0.1: exact variables, definitions, allowed values, null semantics, evidence requirements, and external mappings.</w:t>
      </w:r>
    </w:p>
    <w:p>
      <w:pPr>
        <w:pStyle w:val="ListBullet"/>
        <w:ind w:left="360" w:hanging="173"/>
      </w:pPr>
      <w:r>
        <w:t>NINDS CDE traceability matrix: CDE → MedAI variable → extractability class → source document types.</w:t>
      </w:r>
    </w:p>
    <w:p>
      <w:pPr>
        <w:pStyle w:val="ListBullet"/>
        <w:ind w:left="360" w:hanging="173"/>
      </w:pPr>
      <w:r>
        <w:t>EpSO/ILAE crosswalk: canonical MedAI IDs and relationship mappings.</w:t>
      </w:r>
    </w:p>
    <w:p>
      <w:pPr>
        <w:pStyle w:val="ListBullet"/>
        <w:ind w:left="360" w:hanging="173"/>
      </w:pPr>
      <w:r>
        <w:t>Synthetic generation rulebook: allowed combinations, dependencies, contradictions, temporal rules, and difficulty tiers.</w:t>
      </w:r>
    </w:p>
    <w:p>
      <w:pPr>
        <w:pStyle w:val="ListBullet"/>
        <w:ind w:left="360" w:hanging="173"/>
      </w:pPr>
      <w:r>
        <w:t>Clinician validation protocol: ontology review, realism scoring, agreement, adjudication, and revision workflow.</w:t>
      </w:r>
    </w:p>
    <w:p>
      <w:pPr>
        <w:pStyle w:val="ListBullet"/>
        <w:ind w:left="360" w:hanging="173"/>
      </w:pPr>
      <w:r>
        <w:t>Machine-readable JSON Schema/Pydantic package for the assertion model.</w:t>
      </w:r>
    </w:p>
    <w:p>
      <w:pPr>
        <w:pStyle w:val="ListBullet"/>
        <w:ind w:left="360" w:hanging="173"/>
      </w:pPr>
      <w:r>
        <w:t>Benchmark protocol for Med42 and DeepSeek zero-shot/few-shot/extractor-verifier experiments.</w:t>
      </w:r>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sz w:val="19"/>
              </w:rPr>
              <w:t>Recommended project framing</w:t>
              <w:br/>
            </w:r>
            <w:r>
              <w:rPr>
                <w:sz w:val="17"/>
              </w:rPr>
              <w:t>MedAI should be described as a standards-informed, evidence-grounded epilepsy phenotyping framework that reuses established clinical and biomedical standards while adding the provenance, temporal, uncertainty, verification, and synthetic-benchmark layers required for reproducible clinical NLP research.</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specification • Version 0.1 • 24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MedAI • Epilepsy Phenotype Schema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