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b/>
          <w:color w:val="17365D"/>
          <w:sz w:val="68"/>
        </w:rPr>
        <w:t>MedAI</w:t>
      </w:r>
    </w:p>
    <w:p>
      <w:pPr>
        <w:jc w:val="center"/>
      </w:pPr>
      <w:r>
        <w:rPr>
          <w:b/>
          <w:color w:val="2F5597"/>
          <w:sz w:val="46"/>
        </w:rPr>
        <w:t>Epilepsy System Specification v1.1</w:t>
      </w:r>
    </w:p>
    <w:p>
      <w:pPr>
        <w:jc w:val="center"/>
      </w:pPr>
      <w:r>
        <w:rPr>
          <w:sz w:val="24"/>
        </w:rPr>
        <w:t>Standards-informed phenotype schema, semantic data model,</w:t>
        <w:br/>
        <w:t>synthetic-data generation contract, and validation architecture</w:t>
      </w:r>
    </w:p>
    <w:p>
      <w:pPr>
        <w:jc w:val="center"/>
      </w:pPr>
      <w:r>
        <w:rPr>
          <w:sz w:val="21"/>
        </w:rPr>
        <w:t>ILAE • NINDS Epilepsy CDE • EpSO • RxNorm • SNOMED CT • RadLex • SCORE/ACNS • OMOP/OHDSI</w:t>
      </w:r>
    </w:p>
    <w:tbl>
      <w:tblPr>
        <w:tblStyle w:val="TableGrid"/>
        <w:tblW w:type="auto" w:w="0"/>
        <w:tblLook w:firstColumn="1" w:firstRow="1" w:lastColumn="0" w:lastRow="0" w:noHBand="0" w:noVBand="1" w:val="04A0"/>
      </w:tblPr>
      <w:tblGrid>
        <w:gridCol w:w="10166"/>
      </w:tblGrid>
      <w:tr>
        <w:trPr>
          <w:cantSplit/>
          <w:tblHeader w:val="true"/>
        </w:trPr>
        <w:tc>
          <w:tcPr>
            <w:tcW w:type="dxa" w:w="10166"/>
            <w:shd w:fill="EEF4FB"/>
          </w:tcPr>
          <w:p>
            <w:r>
              <w:rPr>
                <w:b/>
                <w:color w:val="17365D"/>
                <w:sz w:val="18"/>
              </w:rPr>
              <w:t>Version 1.1 purpose</w:t>
              <w:br/>
            </w:r>
            <w:r>
              <w:rPr>
                <w:sz w:val="17"/>
              </w:rPr>
              <w:t>This revision incorporates the implementation review of v1.0. It verifies the 2025 ILAE seizure-classification publication and EpSO v3.1 release, adds definition-level semantic requirements, freezes a proposed primary benchmark field set, specifies sampling as a benchmark design rather than prevalence, adds migration and annotation-manual requirements, strengthens generator robustness and release gates, and preserves unresolved external mappings rather than inventing identifiers.</w:t>
            </w:r>
          </w:p>
        </w:tc>
      </w:tr>
    </w:tbl>
    <w:p/>
    <w:p>
      <w:r>
        <w:br w:type="page"/>
      </w:r>
    </w:p>
    <w:p>
      <w:pPr>
        <w:pStyle w:val="Heading1"/>
      </w:pPr>
      <w:r>
        <w:t>1. Normative evidence policy</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shd w:fill="D9EAF7"/>
          </w:tcPr>
          <w:p>
            <w:pPr>
              <w:spacing w:after="0"/>
            </w:pPr>
            <w:r/>
            <w:r>
              <w:rPr>
                <w:rFonts w:ascii="Aptos" w:hAnsi="Aptos"/>
                <w:b/>
                <w:sz w:val="15"/>
              </w:rPr>
              <w:t>Evidence class</w:t>
            </w:r>
          </w:p>
        </w:tc>
        <w:tc>
          <w:tcPr>
            <w:tcW w:type="dxa" w:w="3389"/>
            <w:shd w:fill="D9EAF7"/>
          </w:tcPr>
          <w:p>
            <w:pPr>
              <w:spacing w:after="0"/>
            </w:pPr>
            <w:r/>
            <w:r>
              <w:rPr>
                <w:rFonts w:ascii="Aptos" w:hAnsi="Aptos"/>
                <w:b/>
                <w:sz w:val="15"/>
              </w:rPr>
              <w:t>Definition</w:t>
            </w:r>
          </w:p>
        </w:tc>
        <w:tc>
          <w:tcPr>
            <w:tcW w:type="dxa" w:w="3389"/>
            <w:shd w:fill="D9EAF7"/>
          </w:tcPr>
          <w:p>
            <w:pPr>
              <w:spacing w:after="0"/>
            </w:pPr>
            <w:r/>
            <w:r>
              <w:rPr>
                <w:rFonts w:ascii="Aptos" w:hAnsi="Aptos"/>
                <w:b/>
                <w:sz w:val="15"/>
              </w:rPr>
              <w:t>Permitted use</w:t>
            </w:r>
          </w:p>
        </w:tc>
      </w:tr>
      <w:tr>
        <w:trPr>
          <w:cantSplit/>
        </w:trPr>
        <w:tc>
          <w:tcPr>
            <w:tcW w:type="dxa" w:w="3389"/>
            <w:vAlign w:val="top"/>
          </w:tcPr>
          <w:p>
            <w:pPr>
              <w:spacing w:after="0"/>
            </w:pPr>
            <w:r/>
            <w:r>
              <w:rPr>
                <w:rFonts w:ascii="Aptos" w:hAnsi="Aptos"/>
                <w:b w:val="0"/>
                <w:sz w:val="14"/>
              </w:rPr>
              <w:t>STANDARD</w:t>
            </w:r>
          </w:p>
        </w:tc>
        <w:tc>
          <w:tcPr>
            <w:tcW w:type="dxa" w:w="3389"/>
            <w:vAlign w:val="top"/>
          </w:tcPr>
          <w:p>
            <w:pPr>
              <w:spacing w:after="0"/>
            </w:pPr>
            <w:r/>
            <w:r>
              <w:rPr>
                <w:rFonts w:ascii="Aptos" w:hAnsi="Aptos"/>
                <w:b w:val="0"/>
                <w:sz w:val="14"/>
              </w:rPr>
              <w:t>Directly supported by an authoritative clinical classification, consensus statement, or official research standard.</w:t>
            </w:r>
          </w:p>
        </w:tc>
        <w:tc>
          <w:tcPr>
            <w:tcW w:type="dxa" w:w="3389"/>
            <w:vAlign w:val="top"/>
          </w:tcPr>
          <w:p>
            <w:pPr>
              <w:spacing w:after="0"/>
            </w:pPr>
            <w:r/>
            <w:r>
              <w:rPr>
                <w:rFonts w:ascii="Aptos" w:hAnsi="Aptos"/>
                <w:b w:val="0"/>
                <w:sz w:val="14"/>
              </w:rPr>
              <w:t>Defines canonical clinical meaning or sourced rule.</w:t>
            </w:r>
          </w:p>
        </w:tc>
      </w:tr>
      <w:tr>
        <w:trPr>
          <w:cantSplit/>
        </w:trPr>
        <w:tc>
          <w:tcPr>
            <w:tcW w:type="dxa" w:w="3389"/>
            <w:vAlign w:val="top"/>
          </w:tcPr>
          <w:p>
            <w:pPr>
              <w:spacing w:after="0"/>
            </w:pPr>
            <w:r/>
            <w:r>
              <w:rPr>
                <w:rFonts w:ascii="Aptos" w:hAnsi="Aptos"/>
                <w:b w:val="0"/>
                <w:sz w:val="14"/>
              </w:rPr>
              <w:t>ONTOLOGY</w:t>
            </w:r>
          </w:p>
        </w:tc>
        <w:tc>
          <w:tcPr>
            <w:tcW w:type="dxa" w:w="3389"/>
            <w:vAlign w:val="top"/>
          </w:tcPr>
          <w:p>
            <w:pPr>
              <w:spacing w:after="0"/>
            </w:pPr>
            <w:r/>
            <w:r>
              <w:rPr>
                <w:rFonts w:ascii="Aptos" w:hAnsi="Aptos"/>
                <w:b w:val="0"/>
                <w:sz w:val="14"/>
              </w:rPr>
              <w:t>Supported by an established ontology/terminology release.</w:t>
            </w:r>
          </w:p>
        </w:tc>
        <w:tc>
          <w:tcPr>
            <w:tcW w:type="dxa" w:w="3389"/>
            <w:vAlign w:val="top"/>
          </w:tcPr>
          <w:p>
            <w:pPr>
              <w:spacing w:after="0"/>
            </w:pPr>
            <w:r/>
            <w:r>
              <w:rPr>
                <w:rFonts w:ascii="Aptos" w:hAnsi="Aptos"/>
                <w:b w:val="0"/>
                <w:sz w:val="14"/>
              </w:rPr>
              <w:t>Defines normalized concepts/relationships subject to exact version and licensing.</w:t>
            </w:r>
          </w:p>
        </w:tc>
      </w:tr>
      <w:tr>
        <w:trPr>
          <w:cantSplit/>
        </w:trPr>
        <w:tc>
          <w:tcPr>
            <w:tcW w:type="dxa" w:w="3389"/>
            <w:vAlign w:val="top"/>
          </w:tcPr>
          <w:p>
            <w:pPr>
              <w:spacing w:after="0"/>
            </w:pPr>
            <w:r/>
            <w:r>
              <w:rPr>
                <w:rFonts w:ascii="Aptos" w:hAnsi="Aptos"/>
                <w:b w:val="0"/>
                <w:sz w:val="14"/>
              </w:rPr>
              <w:t>PUBLISHED METHOD</w:t>
            </w:r>
          </w:p>
        </w:tc>
        <w:tc>
          <w:tcPr>
            <w:tcW w:type="dxa" w:w="3389"/>
            <w:vAlign w:val="top"/>
          </w:tcPr>
          <w:p>
            <w:pPr>
              <w:spacing w:after="0"/>
            </w:pPr>
            <w:r/>
            <w:r>
              <w:rPr>
                <w:rFonts w:ascii="Aptos" w:hAnsi="Aptos"/>
                <w:b w:val="0"/>
                <w:sz w:val="14"/>
              </w:rPr>
              <w:t>Supported by peer-reviewed methodology or validation literature.</w:t>
            </w:r>
          </w:p>
        </w:tc>
        <w:tc>
          <w:tcPr>
            <w:tcW w:type="dxa" w:w="3389"/>
            <w:vAlign w:val="top"/>
          </w:tcPr>
          <w:p>
            <w:pPr>
              <w:spacing w:after="0"/>
            </w:pPr>
            <w:r/>
            <w:r>
              <w:rPr>
                <w:rFonts w:ascii="Aptos" w:hAnsi="Aptos"/>
                <w:b w:val="0"/>
                <w:sz w:val="14"/>
              </w:rPr>
              <w:t>Supports study design, annotation, benchmarking, or validation precedent.</w:t>
            </w:r>
          </w:p>
        </w:tc>
      </w:tr>
      <w:tr>
        <w:trPr>
          <w:cantSplit/>
        </w:trPr>
        <w:tc>
          <w:tcPr>
            <w:tcW w:type="dxa" w:w="3389"/>
            <w:vAlign w:val="top"/>
          </w:tcPr>
          <w:p>
            <w:pPr>
              <w:spacing w:after="0"/>
            </w:pPr>
            <w:r/>
            <w:r>
              <w:rPr>
                <w:rFonts w:ascii="Aptos" w:hAnsi="Aptos"/>
                <w:b w:val="0"/>
                <w:sz w:val="14"/>
              </w:rPr>
              <w:t>MEDAI-PROPOSED</w:t>
            </w:r>
          </w:p>
        </w:tc>
        <w:tc>
          <w:tcPr>
            <w:tcW w:type="dxa" w:w="3389"/>
            <w:vAlign w:val="top"/>
          </w:tcPr>
          <w:p>
            <w:pPr>
              <w:spacing w:after="0"/>
            </w:pPr>
            <w:r/>
            <w:r>
              <w:rPr>
                <w:rFonts w:ascii="Aptos" w:hAnsi="Aptos"/>
                <w:b w:val="0"/>
                <w:sz w:val="14"/>
              </w:rPr>
              <w:t>Project-specific engineering, operational, sampling, or representation choice.</w:t>
            </w:r>
          </w:p>
        </w:tc>
        <w:tc>
          <w:tcPr>
            <w:tcW w:type="dxa" w:w="3389"/>
            <w:vAlign w:val="top"/>
          </w:tcPr>
          <w:p>
            <w:pPr>
              <w:spacing w:after="0"/>
            </w:pPr>
            <w:r/>
            <w:r>
              <w:rPr>
                <w:rFonts w:ascii="Aptos" w:hAnsi="Aptos"/>
                <w:b w:val="0"/>
                <w:sz w:val="14"/>
              </w:rPr>
              <w:t>Must be labeled, versioned, tested, and clinician-reviewed where clinically consequential.</w:t>
            </w:r>
          </w:p>
        </w:tc>
      </w:tr>
    </w:tbl>
    <w:p/>
    <w:tbl>
      <w:tblPr>
        <w:tblStyle w:val="TableGrid"/>
        <w:tblW w:type="auto" w:w="0"/>
        <w:tblLook w:firstColumn="1" w:firstRow="1" w:lastColumn="0" w:lastRow="0" w:noHBand="0" w:noVBand="1" w:val="04A0"/>
      </w:tblPr>
      <w:tblGrid>
        <w:gridCol w:w="10166"/>
      </w:tblGrid>
      <w:tr>
        <w:trPr>
          <w:cantSplit/>
          <w:tblHeader w:val="true"/>
        </w:trPr>
        <w:tc>
          <w:tcPr>
            <w:tcW w:type="dxa" w:w="10166"/>
            <w:shd w:fill="EEF4FB"/>
          </w:tcPr>
          <w:p>
            <w:r>
              <w:rPr>
                <w:b/>
                <w:color w:val="17365D"/>
                <w:sz w:val="18"/>
              </w:rPr>
              <w:t>No-fabrication rule</w:t>
              <w:br/>
            </w:r>
            <w:r>
              <w:rPr>
                <w:sz w:val="17"/>
              </w:rPr>
              <w:t>No external identifier, clinical definition, prevalence, diagnostic criterion, or ontology relationship may be invented. If an exact mapping has not been verified from the authoritative artifact, the mapping status is unresolved. Synthetic prose may be generated; synthetic ground truth may not be created ad hoc by the prose-generating model.</w:t>
            </w:r>
          </w:p>
        </w:tc>
      </w:tr>
    </w:tbl>
    <w:p/>
    <w:p>
      <w:pPr>
        <w:pStyle w:val="Heading1"/>
      </w:pPr>
      <w:r>
        <w:t>2. Verified source updates</w:t>
      </w:r>
    </w:p>
    <w:p>
      <w:r>
        <w:t>Two material source claims from v1.0 have now been verified from their authoritative public records.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shd w:fill="D9EAF7"/>
          </w:tcPr>
          <w:p>
            <w:pPr>
              <w:spacing w:after="0"/>
            </w:pPr>
            <w:r/>
            <w:r>
              <w:rPr>
                <w:rFonts w:ascii="Aptos" w:hAnsi="Aptos"/>
                <w:b/>
                <w:sz w:val="15"/>
              </w:rPr>
              <w:t>Source</w:t>
            </w:r>
          </w:p>
        </w:tc>
        <w:tc>
          <w:tcPr>
            <w:tcW w:type="dxa" w:w="3389"/>
            <w:shd w:fill="D9EAF7"/>
          </w:tcPr>
          <w:p>
            <w:pPr>
              <w:spacing w:after="0"/>
            </w:pPr>
            <w:r/>
            <w:r>
              <w:rPr>
                <w:rFonts w:ascii="Aptos" w:hAnsi="Aptos"/>
                <w:b/>
                <w:sz w:val="15"/>
              </w:rPr>
              <w:t>Verified fact</w:t>
            </w:r>
          </w:p>
        </w:tc>
        <w:tc>
          <w:tcPr>
            <w:tcW w:type="dxa" w:w="3389"/>
            <w:shd w:fill="D9EAF7"/>
          </w:tcPr>
          <w:p>
            <w:pPr>
              <w:spacing w:after="0"/>
            </w:pPr>
            <w:r/>
            <w:r>
              <w:rPr>
                <w:rFonts w:ascii="Aptos" w:hAnsi="Aptos"/>
                <w:b/>
                <w:sz w:val="15"/>
              </w:rPr>
              <w:t>System implication</w:t>
            </w:r>
          </w:p>
        </w:tc>
      </w:tr>
      <w:tr>
        <w:trPr>
          <w:cantSplit/>
        </w:trPr>
        <w:tc>
          <w:tcPr>
            <w:tcW w:type="dxa" w:w="3389"/>
            <w:vAlign w:val="top"/>
          </w:tcPr>
          <w:p>
            <w:pPr>
              <w:spacing w:after="0"/>
            </w:pPr>
            <w:r/>
            <w:r>
              <w:rPr>
                <w:rFonts w:ascii="Aptos" w:hAnsi="Aptos"/>
                <w:b w:val="0"/>
                <w:sz w:val="14"/>
              </w:rPr>
              <w:t>ILAE 2025 seizure classification</w:t>
            </w:r>
          </w:p>
        </w:tc>
        <w:tc>
          <w:tcPr>
            <w:tcW w:type="dxa" w:w="3389"/>
            <w:vAlign w:val="top"/>
          </w:tcPr>
          <w:p>
            <w:pPr>
              <w:spacing w:after="0"/>
            </w:pPr>
            <w:r/>
            <w:r>
              <w:rPr>
                <w:rFonts w:ascii="Aptos" w:hAnsi="Aptos"/>
                <w:b w:val="0"/>
                <w:sz w:val="14"/>
              </w:rPr>
              <w:t>Beniczky S, Trinka E, Wirrell E, et al. Updated classification of epileptic seizures: Position paper of the International League Against Epilepsy. Epilepsia. First published 23 Apr 2025. DOI 10.1111/epi.18338. The revision maintains four main classes, contains 21 seizure types, replaces awareness with consciousness as a classifier, and distinguishes classifiers from descriptors.</w:t>
            </w:r>
          </w:p>
        </w:tc>
        <w:tc>
          <w:tcPr>
            <w:tcW w:type="dxa" w:w="3389"/>
            <w:vAlign w:val="top"/>
          </w:tcPr>
          <w:p>
            <w:pPr>
              <w:spacing w:after="0"/>
            </w:pPr>
            <w:r/>
            <w:r>
              <w:rPr>
                <w:rFonts w:ascii="Aptos" w:hAnsi="Aptos"/>
                <w:b w:val="0"/>
                <w:sz w:val="14"/>
              </w:rPr>
              <w:t>v1.1 explicitly targets the 2025 seizure taxonomy. Any v0.x schema aligned to the 2017 terminology requires a documented migration.</w:t>
            </w:r>
          </w:p>
        </w:tc>
      </w:tr>
      <w:tr>
        <w:trPr>
          <w:cantSplit/>
        </w:trPr>
        <w:tc>
          <w:tcPr>
            <w:tcW w:type="dxa" w:w="3389"/>
            <w:vAlign w:val="top"/>
          </w:tcPr>
          <w:p>
            <w:pPr>
              <w:spacing w:after="0"/>
            </w:pPr>
            <w:r/>
            <w:r>
              <w:rPr>
                <w:rFonts w:ascii="Aptos" w:hAnsi="Aptos"/>
                <w:b w:val="0"/>
                <w:sz w:val="14"/>
              </w:rPr>
              <w:t>EpSO</w:t>
            </w:r>
          </w:p>
        </w:tc>
        <w:tc>
          <w:tcPr>
            <w:tcW w:type="dxa" w:w="3389"/>
            <w:vAlign w:val="top"/>
          </w:tcPr>
          <w:p>
            <w:pPr>
              <w:spacing w:after="0"/>
            </w:pPr>
            <w:r/>
            <w:r>
              <w:rPr>
                <w:rFonts w:ascii="Aptos" w:hAnsi="Aptos"/>
                <w:b w:val="0"/>
                <w:sz w:val="14"/>
              </w:rPr>
              <w:t>NCBO BioPortal lists Epilepsy and Seizure Ontology version 3.1, released/uploaded 29 May 2025, OWL format, 2,198 classes and 59 properties. Its description covers seizure types, syndromes, etiology, electrophysiology, medication, neuropathology and anatomy.</w:t>
            </w:r>
          </w:p>
        </w:tc>
        <w:tc>
          <w:tcPr>
            <w:tcW w:type="dxa" w:w="3389"/>
            <w:vAlign w:val="top"/>
          </w:tcPr>
          <w:p>
            <w:pPr>
              <w:spacing w:after="0"/>
            </w:pPr>
            <w:r/>
            <w:r>
              <w:rPr>
                <w:rFonts w:ascii="Aptos" w:hAnsi="Aptos"/>
                <w:b w:val="0"/>
                <w:sz w:val="14"/>
              </w:rPr>
              <w:t>Crosswalk work may target v3.1, but exact class IDs and predicates must be extracted from the v3.1 artifact before mappings are approved.</w:t>
            </w:r>
          </w:p>
        </w:tc>
      </w:tr>
    </w:tbl>
    <w:p/>
    <w:p>
      <w:pPr>
        <w:pStyle w:val="Heading1"/>
      </w:pPr>
      <w:r>
        <w:t>3. System architecture</w:t>
      </w:r>
    </w:p>
    <w:p>
      <w:pPr>
        <w:pStyle w:val="CodeBlock"/>
      </w:pPr>
      <w:r>
        <w:t>Authoritative sources</w:t>
        <w:br/>
        <w:t xml:space="preserve">  ILAE | NINDS CDE | EpSO | RxNorm | SNOMED CT | RadLex | SCORE/ACNS</w:t>
        <w:br/>
        <w:t xml:space="preserve">                               |</w:t>
        <w:br/>
        <w:t xml:space="preserve">                               v</w:t>
        <w:br/>
        <w:t xml:space="preserve">                    MedAI semantic registry</w:t>
        <w:br/>
        <w:t xml:space="preserve">              definitions | values | mappings | rules</w:t>
        <w:br/>
        <w:t xml:space="preserve">                               |</w:t>
        <w:br/>
        <w:t xml:space="preserve">                               v</w:t>
        <w:br/>
        <w:t xml:space="preserve">                 MedAI Phenotype Assertion Model</w:t>
        <w:br/>
        <w:t xml:space="preserve">          evidence | certainty | time | provenance | review</w:t>
        <w:br/>
        <w:t xml:space="preserve">                               |</w:t>
        <w:br/>
        <w:t xml:space="preserve">                 +-------------+-------------+</w:t>
        <w:br/>
        <w:t xml:space="preserve">                 |                           |</w:t>
        <w:br/>
        <w:t xml:space="preserve">                 v                           v</w:t>
        <w:br/>
        <w:t xml:space="preserve">       Latent synthetic truth       Real clinical assertions</w:t>
        <w:br/>
        <w:t xml:space="preserve">                 |                           |</w:t>
        <w:br/>
        <w:t xml:space="preserve">                 v                           v</w:t>
        <w:br/>
        <w:t xml:space="preserve">        Clinical event graph       Extraction / adjudication</w:t>
        <w:br/>
        <w:t xml:space="preserve">                 |</w:t>
        <w:br/>
        <w:t xml:space="preserve">                 v</w:t>
        <w:br/>
        <w:t xml:space="preserve">      Heterogeneous documents</w:t>
        <w:br/>
        <w:t xml:space="preserve">                 |</w:t>
        <w:br/>
        <w:t xml:space="preserve">                 v</w:t>
        <w:br/>
        <w:t xml:space="preserve">       Extraction benchmark</w:t>
        <w:br/>
        <w:t xml:space="preserve">                 |</w:t>
        <w:br/>
        <w:t xml:space="preserve">                 v</w:t>
        <w:br/>
        <w:t xml:space="preserve">   Long-format canonical dataset</w:t>
        <w:br/>
        <w:t xml:space="preserve">                 |</w:t>
        <w:br/>
        <w:t xml:space="preserve">       +---------+---------+</w:t>
        <w:br/>
        <w:t xml:space="preserve">       v                   v</w:t>
        <w:br/>
        <w:t xml:space="preserve">  Wide research view   REDCap / OMOP export</w:t>
      </w:r>
    </w:p>
    <w:p>
      <w:pPr>
        <w:pStyle w:val="Heading1"/>
      </w:pPr>
      <w:r>
        <w:t>4. Separation of system artifacts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shd w:fill="D9EAF7"/>
          </w:tcPr>
          <w:p>
            <w:pPr>
              <w:spacing w:after="0"/>
            </w:pPr>
            <w:r/>
            <w:r>
              <w:rPr>
                <w:rFonts w:ascii="Aptos" w:hAnsi="Aptos"/>
                <w:b/>
                <w:sz w:val="15"/>
              </w:rPr>
              <w:t>Artifact</w:t>
            </w:r>
          </w:p>
        </w:tc>
        <w:tc>
          <w:tcPr>
            <w:tcW w:type="dxa" w:w="3389"/>
            <w:shd w:fill="D9EAF7"/>
          </w:tcPr>
          <w:p>
            <w:pPr>
              <w:spacing w:after="0"/>
            </w:pPr>
            <w:r/>
            <w:r>
              <w:rPr>
                <w:rFonts w:ascii="Aptos" w:hAnsi="Aptos"/>
                <w:b/>
                <w:sz w:val="15"/>
              </w:rPr>
              <w:t>Role</w:t>
            </w:r>
          </w:p>
        </w:tc>
        <w:tc>
          <w:tcPr>
            <w:tcW w:type="dxa" w:w="3389"/>
            <w:shd w:fill="D9EAF7"/>
          </w:tcPr>
          <w:p>
            <w:pPr>
              <w:spacing w:after="0"/>
            </w:pPr>
            <w:r/>
            <w:r>
              <w:rPr>
                <w:rFonts w:ascii="Aptos" w:hAnsi="Aptos"/>
                <w:b/>
                <w:sz w:val="15"/>
              </w:rPr>
              <w:t>Canonical?</w:t>
            </w:r>
          </w:p>
        </w:tc>
      </w:tr>
      <w:tr>
        <w:trPr>
          <w:cantSplit/>
        </w:trPr>
        <w:tc>
          <w:tcPr>
            <w:tcW w:type="dxa" w:w="3389"/>
            <w:vAlign w:val="top"/>
          </w:tcPr>
          <w:p>
            <w:pPr>
              <w:spacing w:after="0"/>
            </w:pPr>
            <w:r/>
            <w:r>
              <w:rPr>
                <w:rFonts w:ascii="Aptos" w:hAnsi="Aptos"/>
                <w:b w:val="0"/>
                <w:sz w:val="14"/>
              </w:rPr>
              <w:t>System Specification</w:t>
            </w:r>
          </w:p>
        </w:tc>
        <w:tc>
          <w:tcPr>
            <w:tcW w:type="dxa" w:w="3389"/>
            <w:vAlign w:val="top"/>
          </w:tcPr>
          <w:p>
            <w:pPr>
              <w:spacing w:after="0"/>
            </w:pPr>
            <w:r/>
            <w:r>
              <w:rPr>
                <w:rFonts w:ascii="Aptos" w:hAnsi="Aptos"/>
                <w:b w:val="0"/>
                <w:sz w:val="14"/>
              </w:rPr>
              <w:t>Architecture, governance, release gates, validation contract.</w:t>
            </w:r>
          </w:p>
        </w:tc>
        <w:tc>
          <w:tcPr>
            <w:tcW w:type="dxa" w:w="3389"/>
            <w:vAlign w:val="top"/>
          </w:tcPr>
          <w:p>
            <w:pPr>
              <w:spacing w:after="0"/>
            </w:pPr>
            <w:r/>
            <w:r>
              <w:rPr>
                <w:rFonts w:ascii="Aptos" w:hAnsi="Aptos"/>
                <w:b w:val="0"/>
                <w:sz w:val="14"/>
              </w:rPr>
              <w:t>Normative process document</w:t>
            </w:r>
          </w:p>
        </w:tc>
      </w:tr>
      <w:tr>
        <w:trPr>
          <w:cantSplit/>
        </w:trPr>
        <w:tc>
          <w:tcPr>
            <w:tcW w:type="dxa" w:w="3389"/>
            <w:vAlign w:val="top"/>
          </w:tcPr>
          <w:p>
            <w:pPr>
              <w:spacing w:after="0"/>
            </w:pPr>
            <w:r/>
            <w:r>
              <w:rPr>
                <w:rFonts w:ascii="Aptos" w:hAnsi="Aptos"/>
                <w:b w:val="0"/>
                <w:sz w:val="14"/>
              </w:rPr>
              <w:t>Semantic Data Dictionary</w:t>
            </w:r>
          </w:p>
        </w:tc>
        <w:tc>
          <w:tcPr>
            <w:tcW w:type="dxa" w:w="3389"/>
            <w:vAlign w:val="top"/>
          </w:tcPr>
          <w:p>
            <w:pPr>
              <w:spacing w:after="0"/>
            </w:pPr>
            <w:r/>
            <w:r>
              <w:rPr>
                <w:rFonts w:ascii="Aptos" w:hAnsi="Aptos"/>
                <w:b w:val="0"/>
                <w:sz w:val="14"/>
              </w:rPr>
              <w:t>Definitions for every medical variable and every allowed category/value.</w:t>
            </w:r>
          </w:p>
        </w:tc>
        <w:tc>
          <w:tcPr>
            <w:tcW w:type="dxa" w:w="3389"/>
            <w:vAlign w:val="top"/>
          </w:tcPr>
          <w:p>
            <w:pPr>
              <w:spacing w:after="0"/>
            </w:pPr>
            <w:r/>
            <w:r>
              <w:rPr>
                <w:rFonts w:ascii="Aptos" w:hAnsi="Aptos"/>
                <w:b w:val="0"/>
                <w:sz w:val="14"/>
              </w:rPr>
              <w:t>Canonical semantic source</w:t>
            </w:r>
          </w:p>
        </w:tc>
      </w:tr>
      <w:tr>
        <w:trPr>
          <w:cantSplit/>
        </w:trPr>
        <w:tc>
          <w:tcPr>
            <w:tcW w:type="dxa" w:w="3389"/>
            <w:vAlign w:val="top"/>
          </w:tcPr>
          <w:p>
            <w:pPr>
              <w:spacing w:after="0"/>
            </w:pPr>
            <w:r/>
            <w:r>
              <w:rPr>
                <w:rFonts w:ascii="Aptos" w:hAnsi="Aptos"/>
                <w:b w:val="0"/>
                <w:sz w:val="14"/>
              </w:rPr>
              <w:t>Machine-readable registry</w:t>
            </w:r>
          </w:p>
        </w:tc>
        <w:tc>
          <w:tcPr>
            <w:tcW w:type="dxa" w:w="3389"/>
            <w:vAlign w:val="top"/>
          </w:tcPr>
          <w:p>
            <w:pPr>
              <w:spacing w:after="0"/>
            </w:pPr>
            <w:r/>
            <w:r>
              <w:rPr>
                <w:rFonts w:ascii="Aptos" w:hAnsi="Aptos"/>
                <w:b w:val="0"/>
                <w:sz w:val="14"/>
              </w:rPr>
              <w:t>CSV/YAML/JSON representation of the semantic dictionary and mappings.</w:t>
            </w:r>
          </w:p>
        </w:tc>
        <w:tc>
          <w:tcPr>
            <w:tcW w:type="dxa" w:w="3389"/>
            <w:vAlign w:val="top"/>
          </w:tcPr>
          <w:p>
            <w:pPr>
              <w:spacing w:after="0"/>
            </w:pPr>
            <w:r/>
            <w:r>
              <w:rPr>
                <w:rFonts w:ascii="Aptos" w:hAnsi="Aptos"/>
                <w:b w:val="0"/>
                <w:sz w:val="14"/>
              </w:rPr>
              <w:t>Canonical implementation source</w:t>
            </w:r>
          </w:p>
        </w:tc>
      </w:tr>
      <w:tr>
        <w:trPr>
          <w:cantSplit/>
        </w:trPr>
        <w:tc>
          <w:tcPr>
            <w:tcW w:type="dxa" w:w="3389"/>
            <w:vAlign w:val="top"/>
          </w:tcPr>
          <w:p>
            <w:pPr>
              <w:spacing w:after="0"/>
            </w:pPr>
            <w:r/>
            <w:r>
              <w:rPr>
                <w:rFonts w:ascii="Aptos" w:hAnsi="Aptos"/>
                <w:b w:val="0"/>
                <w:sz w:val="14"/>
              </w:rPr>
              <w:t>Rule registry</w:t>
            </w:r>
          </w:p>
        </w:tc>
        <w:tc>
          <w:tcPr>
            <w:tcW w:type="dxa" w:w="3389"/>
            <w:vAlign w:val="top"/>
          </w:tcPr>
          <w:p>
            <w:pPr>
              <w:spacing w:after="0"/>
            </w:pPr>
            <w:r/>
            <w:r>
              <w:rPr>
                <w:rFonts w:ascii="Aptos" w:hAnsi="Aptos"/>
                <w:b w:val="0"/>
                <w:sz w:val="14"/>
              </w:rPr>
              <w:t>Sourced and MEDAI-PROPOSED constraints.</w:t>
            </w:r>
          </w:p>
        </w:tc>
        <w:tc>
          <w:tcPr>
            <w:tcW w:type="dxa" w:w="3389"/>
            <w:vAlign w:val="top"/>
          </w:tcPr>
          <w:p>
            <w:pPr>
              <w:spacing w:after="0"/>
            </w:pPr>
            <w:r/>
            <w:r>
              <w:rPr>
                <w:rFonts w:ascii="Aptos" w:hAnsi="Aptos"/>
                <w:b w:val="0"/>
                <w:sz w:val="14"/>
              </w:rPr>
              <w:t>Canonical generation/validation source</w:t>
            </w:r>
          </w:p>
        </w:tc>
      </w:tr>
      <w:tr>
        <w:trPr>
          <w:cantSplit/>
        </w:trPr>
        <w:tc>
          <w:tcPr>
            <w:tcW w:type="dxa" w:w="3389"/>
            <w:vAlign w:val="top"/>
          </w:tcPr>
          <w:p>
            <w:pPr>
              <w:spacing w:after="0"/>
            </w:pPr>
            <w:r/>
            <w:r>
              <w:rPr>
                <w:rFonts w:ascii="Aptos" w:hAnsi="Aptos"/>
                <w:b w:val="0"/>
                <w:sz w:val="14"/>
              </w:rPr>
              <w:t>Annotation Manual</w:t>
            </w:r>
          </w:p>
        </w:tc>
        <w:tc>
          <w:tcPr>
            <w:tcW w:type="dxa" w:w="3389"/>
            <w:vAlign w:val="top"/>
          </w:tcPr>
          <w:p>
            <w:pPr>
              <w:spacing w:after="0"/>
            </w:pPr>
            <w:r/>
            <w:r>
              <w:rPr>
                <w:rFonts w:ascii="Aptos" w:hAnsi="Aptos"/>
                <w:b w:val="0"/>
                <w:sz w:val="14"/>
              </w:rPr>
              <w:t>Human annotation and adjudication instructions.</w:t>
            </w:r>
          </w:p>
        </w:tc>
        <w:tc>
          <w:tcPr>
            <w:tcW w:type="dxa" w:w="3389"/>
            <w:vAlign w:val="top"/>
          </w:tcPr>
          <w:p>
            <w:pPr>
              <w:spacing w:after="0"/>
            </w:pPr>
            <w:r/>
            <w:r>
              <w:rPr>
                <w:rFonts w:ascii="Aptos" w:hAnsi="Aptos"/>
                <w:b w:val="0"/>
                <w:sz w:val="14"/>
              </w:rPr>
              <w:t>Canonical human-labeling source</w:t>
            </w:r>
          </w:p>
        </w:tc>
      </w:tr>
      <w:tr>
        <w:trPr>
          <w:cantSplit/>
        </w:trPr>
        <w:tc>
          <w:tcPr>
            <w:tcW w:type="dxa" w:w="3389"/>
            <w:vAlign w:val="top"/>
          </w:tcPr>
          <w:p>
            <w:pPr>
              <w:spacing w:after="0"/>
            </w:pPr>
            <w:r/>
            <w:r>
              <w:rPr>
                <w:rFonts w:ascii="Aptos" w:hAnsi="Aptos"/>
                <w:b w:val="0"/>
                <w:sz w:val="14"/>
              </w:rPr>
              <w:t>Synthetic corpus</w:t>
            </w:r>
          </w:p>
        </w:tc>
        <w:tc>
          <w:tcPr>
            <w:tcW w:type="dxa" w:w="3389"/>
            <w:vAlign w:val="top"/>
          </w:tcPr>
          <w:p>
            <w:pPr>
              <w:spacing w:after="0"/>
            </w:pPr>
            <w:r/>
            <w:r>
              <w:rPr>
                <w:rFonts w:ascii="Aptos" w:hAnsi="Aptos"/>
                <w:b w:val="0"/>
                <w:sz w:val="14"/>
              </w:rPr>
              <w:t>Generated latent patients, events, documents and evidence.</w:t>
            </w:r>
          </w:p>
        </w:tc>
        <w:tc>
          <w:tcPr>
            <w:tcW w:type="dxa" w:w="3389"/>
            <w:vAlign w:val="top"/>
          </w:tcPr>
          <w:p>
            <w:pPr>
              <w:spacing w:after="0"/>
            </w:pPr>
            <w:r/>
            <w:r>
              <w:rPr>
                <w:rFonts w:ascii="Aptos" w:hAnsi="Aptos"/>
                <w:b w:val="0"/>
                <w:sz w:val="14"/>
              </w:rPr>
              <w:t>Versioned data release</w:t>
            </w:r>
          </w:p>
        </w:tc>
      </w:tr>
      <w:tr>
        <w:trPr>
          <w:cantSplit/>
        </w:trPr>
        <w:tc>
          <w:tcPr>
            <w:tcW w:type="dxa" w:w="3389"/>
            <w:vAlign w:val="top"/>
          </w:tcPr>
          <w:p>
            <w:pPr>
              <w:spacing w:after="0"/>
            </w:pPr>
            <w:r/>
            <w:r>
              <w:rPr>
                <w:rFonts w:ascii="Aptos" w:hAnsi="Aptos"/>
                <w:b w:val="0"/>
                <w:sz w:val="14"/>
              </w:rPr>
              <w:t>Wide research tables</w:t>
            </w:r>
          </w:p>
        </w:tc>
        <w:tc>
          <w:tcPr>
            <w:tcW w:type="dxa" w:w="3389"/>
            <w:vAlign w:val="top"/>
          </w:tcPr>
          <w:p>
            <w:pPr>
              <w:spacing w:after="0"/>
            </w:pPr>
            <w:r/>
            <w:r>
              <w:rPr>
                <w:rFonts w:ascii="Aptos" w:hAnsi="Aptos"/>
                <w:b w:val="0"/>
                <w:sz w:val="14"/>
              </w:rPr>
              <w:t>Convenience projections from canonical long data.</w:t>
            </w:r>
          </w:p>
        </w:tc>
        <w:tc>
          <w:tcPr>
            <w:tcW w:type="dxa" w:w="3389"/>
            <w:vAlign w:val="top"/>
          </w:tcPr>
          <w:p>
            <w:pPr>
              <w:spacing w:after="0"/>
            </w:pPr>
            <w:r/>
            <w:r>
              <w:rPr>
                <w:rFonts w:ascii="Aptos" w:hAnsi="Aptos"/>
                <w:b w:val="0"/>
                <w:sz w:val="14"/>
              </w:rPr>
              <w:t>Derived only</w:t>
            </w:r>
          </w:p>
        </w:tc>
      </w:tr>
    </w:tbl>
    <w:p/>
    <w:p>
      <w:pPr>
        <w:pStyle w:val="Heading1"/>
      </w:pPr>
      <w:r>
        <w:t>5. Definition-level documentation requirement</w:t>
      </w:r>
    </w:p>
    <w:p>
      <w:r>
        <w:t>Every medically meaningful variable and every categorical value used by the generator must have an operational definition. A section-level citation is not sufficient for the machine-readable generator.</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D9EAF7"/>
          </w:tcPr>
          <w:p>
            <w:pPr>
              <w:spacing w:after="0"/>
            </w:pPr>
            <w:r/>
            <w:r>
              <w:rPr>
                <w:rFonts w:ascii="Aptos" w:hAnsi="Aptos"/>
                <w:b/>
                <w:sz w:val="15"/>
              </w:rPr>
              <w:t>Required dictionary element</w:t>
            </w:r>
          </w:p>
        </w:tc>
        <w:tc>
          <w:tcPr>
            <w:tcW w:type="dxa" w:w="5083"/>
            <w:shd w:fill="D9EAF7"/>
          </w:tcPr>
          <w:p>
            <w:pPr>
              <w:spacing w:after="0"/>
            </w:pPr>
            <w:r/>
            <w:r>
              <w:rPr>
                <w:rFonts w:ascii="Aptos" w:hAnsi="Aptos"/>
                <w:b/>
                <w:sz w:val="15"/>
              </w:rPr>
              <w:t>Description</w:t>
            </w:r>
          </w:p>
        </w:tc>
      </w:tr>
      <w:tr>
        <w:trPr>
          <w:cantSplit/>
        </w:trPr>
        <w:tc>
          <w:tcPr>
            <w:tcW w:type="dxa" w:w="5083"/>
            <w:vAlign w:val="top"/>
          </w:tcPr>
          <w:p>
            <w:pPr>
              <w:spacing w:after="0"/>
            </w:pPr>
            <w:r/>
            <w:r>
              <w:rPr>
                <w:rFonts w:ascii="Aptos" w:hAnsi="Aptos"/>
                <w:b w:val="0"/>
                <w:sz w:val="14"/>
              </w:rPr>
              <w:t>variable_id</w:t>
            </w:r>
          </w:p>
        </w:tc>
        <w:tc>
          <w:tcPr>
            <w:tcW w:type="dxa" w:w="5083"/>
            <w:vAlign w:val="top"/>
          </w:tcPr>
          <w:p>
            <w:pPr>
              <w:spacing w:after="0"/>
            </w:pPr>
            <w:r/>
            <w:r>
              <w:rPr>
                <w:rFonts w:ascii="Aptos" w:hAnsi="Aptos"/>
                <w:b w:val="0"/>
                <w:sz w:val="14"/>
              </w:rPr>
              <w:t>Stable ID, e.g. SZ001.</w:t>
            </w:r>
          </w:p>
        </w:tc>
      </w:tr>
      <w:tr>
        <w:trPr>
          <w:cantSplit/>
        </w:trPr>
        <w:tc>
          <w:tcPr>
            <w:tcW w:type="dxa" w:w="5083"/>
            <w:vAlign w:val="top"/>
          </w:tcPr>
          <w:p>
            <w:pPr>
              <w:spacing w:after="0"/>
            </w:pPr>
            <w:r/>
            <w:r>
              <w:rPr>
                <w:rFonts w:ascii="Aptos" w:hAnsi="Aptos"/>
                <w:b w:val="0"/>
                <w:sz w:val="14"/>
              </w:rPr>
              <w:t>variable_name</w:t>
            </w:r>
          </w:p>
        </w:tc>
        <w:tc>
          <w:tcPr>
            <w:tcW w:type="dxa" w:w="5083"/>
            <w:vAlign w:val="top"/>
          </w:tcPr>
          <w:p>
            <w:pPr>
              <w:spacing w:after="0"/>
            </w:pPr>
            <w:r/>
            <w:r>
              <w:rPr>
                <w:rFonts w:ascii="Aptos" w:hAnsi="Aptos"/>
                <w:b w:val="0"/>
                <w:sz w:val="14"/>
              </w:rPr>
              <w:t>Machine-readable name.</w:t>
            </w:r>
          </w:p>
        </w:tc>
      </w:tr>
      <w:tr>
        <w:trPr>
          <w:cantSplit/>
        </w:trPr>
        <w:tc>
          <w:tcPr>
            <w:tcW w:type="dxa" w:w="5083"/>
            <w:vAlign w:val="top"/>
          </w:tcPr>
          <w:p>
            <w:pPr>
              <w:spacing w:after="0"/>
            </w:pPr>
            <w:r/>
            <w:r>
              <w:rPr>
                <w:rFonts w:ascii="Aptos" w:hAnsi="Aptos"/>
                <w:b w:val="0"/>
                <w:sz w:val="14"/>
              </w:rPr>
              <w:t>variable_definition</w:t>
            </w:r>
          </w:p>
        </w:tc>
        <w:tc>
          <w:tcPr>
            <w:tcW w:type="dxa" w:w="5083"/>
            <w:vAlign w:val="top"/>
          </w:tcPr>
          <w:p>
            <w:pPr>
              <w:spacing w:after="0"/>
            </w:pPr>
            <w:r/>
            <w:r>
              <w:rPr>
                <w:rFonts w:ascii="Aptos" w:hAnsi="Aptos"/>
                <w:b w:val="0"/>
                <w:sz w:val="14"/>
              </w:rPr>
              <w:t>Concise operational definition.</w:t>
            </w:r>
          </w:p>
        </w:tc>
      </w:tr>
      <w:tr>
        <w:trPr>
          <w:cantSplit/>
        </w:trPr>
        <w:tc>
          <w:tcPr>
            <w:tcW w:type="dxa" w:w="5083"/>
            <w:vAlign w:val="top"/>
          </w:tcPr>
          <w:p>
            <w:pPr>
              <w:spacing w:after="0"/>
            </w:pPr>
            <w:r/>
            <w:r>
              <w:rPr>
                <w:rFonts w:ascii="Aptos" w:hAnsi="Aptos"/>
                <w:b w:val="0"/>
                <w:sz w:val="14"/>
              </w:rPr>
              <w:t>value</w:t>
            </w:r>
          </w:p>
        </w:tc>
        <w:tc>
          <w:tcPr>
            <w:tcW w:type="dxa" w:w="5083"/>
            <w:vAlign w:val="top"/>
          </w:tcPr>
          <w:p>
            <w:pPr>
              <w:spacing w:after="0"/>
            </w:pPr>
            <w:r/>
            <w:r>
              <w:rPr>
                <w:rFonts w:ascii="Aptos" w:hAnsi="Aptos"/>
                <w:b w:val="0"/>
                <w:sz w:val="14"/>
              </w:rPr>
              <w:t>One allowed category/value.</w:t>
            </w:r>
          </w:p>
        </w:tc>
      </w:tr>
      <w:tr>
        <w:trPr>
          <w:cantSplit/>
        </w:trPr>
        <w:tc>
          <w:tcPr>
            <w:tcW w:type="dxa" w:w="5083"/>
            <w:vAlign w:val="top"/>
          </w:tcPr>
          <w:p>
            <w:pPr>
              <w:spacing w:after="0"/>
            </w:pPr>
            <w:r/>
            <w:r>
              <w:rPr>
                <w:rFonts w:ascii="Aptos" w:hAnsi="Aptos"/>
                <w:b w:val="0"/>
                <w:sz w:val="14"/>
              </w:rPr>
              <w:t>value_definition</w:t>
            </w:r>
          </w:p>
        </w:tc>
        <w:tc>
          <w:tcPr>
            <w:tcW w:type="dxa" w:w="5083"/>
            <w:vAlign w:val="top"/>
          </w:tcPr>
          <w:p>
            <w:pPr>
              <w:spacing w:after="0"/>
            </w:pPr>
            <w:r/>
            <w:r>
              <w:rPr>
                <w:rFonts w:ascii="Aptos" w:hAnsi="Aptos"/>
                <w:b w:val="0"/>
                <w:sz w:val="14"/>
              </w:rPr>
              <w:t>What that specific value means.</w:t>
            </w:r>
          </w:p>
        </w:tc>
      </w:tr>
      <w:tr>
        <w:trPr>
          <w:cantSplit/>
        </w:trPr>
        <w:tc>
          <w:tcPr>
            <w:tcW w:type="dxa" w:w="5083"/>
            <w:vAlign w:val="top"/>
          </w:tcPr>
          <w:p>
            <w:pPr>
              <w:spacing w:after="0"/>
            </w:pPr>
            <w:r/>
            <w:r>
              <w:rPr>
                <w:rFonts w:ascii="Aptos" w:hAnsi="Aptos"/>
                <w:b w:val="0"/>
                <w:sz w:val="14"/>
              </w:rPr>
              <w:t>authority</w:t>
            </w:r>
          </w:p>
        </w:tc>
        <w:tc>
          <w:tcPr>
            <w:tcW w:type="dxa" w:w="5083"/>
            <w:vAlign w:val="top"/>
          </w:tcPr>
          <w:p>
            <w:pPr>
              <w:spacing w:after="0"/>
            </w:pPr>
            <w:r/>
            <w:r>
              <w:rPr>
                <w:rFonts w:ascii="Aptos" w:hAnsi="Aptos"/>
                <w:b w:val="0"/>
                <w:sz w:val="14"/>
              </w:rPr>
              <w:t>STANDARD / ONTOLOGY / MEDAI-PROPOSED.</w:t>
            </w:r>
          </w:p>
        </w:tc>
      </w:tr>
      <w:tr>
        <w:trPr>
          <w:cantSplit/>
        </w:trPr>
        <w:tc>
          <w:tcPr>
            <w:tcW w:type="dxa" w:w="5083"/>
            <w:vAlign w:val="top"/>
          </w:tcPr>
          <w:p>
            <w:pPr>
              <w:spacing w:after="0"/>
            </w:pPr>
            <w:r/>
            <w:r>
              <w:rPr>
                <w:rFonts w:ascii="Aptos" w:hAnsi="Aptos"/>
                <w:b w:val="0"/>
                <w:sz w:val="14"/>
              </w:rPr>
              <w:t>source_id</w:t>
            </w:r>
          </w:p>
        </w:tc>
        <w:tc>
          <w:tcPr>
            <w:tcW w:type="dxa" w:w="5083"/>
            <w:vAlign w:val="top"/>
          </w:tcPr>
          <w:p>
            <w:pPr>
              <w:spacing w:after="0"/>
            </w:pPr>
            <w:r/>
            <w:r>
              <w:rPr>
                <w:rFonts w:ascii="Aptos" w:hAnsi="Aptos"/>
                <w:b w:val="0"/>
                <w:sz w:val="14"/>
              </w:rPr>
              <w:t>Reference registry ID.</w:t>
            </w:r>
          </w:p>
        </w:tc>
      </w:tr>
      <w:tr>
        <w:trPr>
          <w:cantSplit/>
        </w:trPr>
        <w:tc>
          <w:tcPr>
            <w:tcW w:type="dxa" w:w="5083"/>
            <w:vAlign w:val="top"/>
          </w:tcPr>
          <w:p>
            <w:pPr>
              <w:spacing w:after="0"/>
            </w:pPr>
            <w:r/>
            <w:r>
              <w:rPr>
                <w:rFonts w:ascii="Aptos" w:hAnsi="Aptos"/>
                <w:b w:val="0"/>
                <w:sz w:val="14"/>
              </w:rPr>
              <w:t>citation</w:t>
            </w:r>
          </w:p>
        </w:tc>
        <w:tc>
          <w:tcPr>
            <w:tcW w:type="dxa" w:w="5083"/>
            <w:vAlign w:val="top"/>
          </w:tcPr>
          <w:p>
            <w:pPr>
              <w:spacing w:after="0"/>
            </w:pPr>
            <w:r/>
            <w:r>
              <w:rPr>
                <w:rFonts w:ascii="Aptos" w:hAnsi="Aptos"/>
                <w:b w:val="0"/>
                <w:sz w:val="14"/>
              </w:rPr>
              <w:t>DOI/URL/document version.</w:t>
            </w:r>
          </w:p>
        </w:tc>
      </w:tr>
      <w:tr>
        <w:trPr>
          <w:cantSplit/>
        </w:trPr>
        <w:tc>
          <w:tcPr>
            <w:tcW w:type="dxa" w:w="5083"/>
            <w:vAlign w:val="top"/>
          </w:tcPr>
          <w:p>
            <w:pPr>
              <w:spacing w:after="0"/>
            </w:pPr>
            <w:r/>
            <w:r>
              <w:rPr>
                <w:rFonts w:ascii="Aptos" w:hAnsi="Aptos"/>
                <w:b w:val="0"/>
                <w:sz w:val="14"/>
              </w:rPr>
              <w:t>source_version</w:t>
            </w:r>
          </w:p>
        </w:tc>
        <w:tc>
          <w:tcPr>
            <w:tcW w:type="dxa" w:w="5083"/>
            <w:vAlign w:val="top"/>
          </w:tcPr>
          <w:p>
            <w:pPr>
              <w:spacing w:after="0"/>
            </w:pPr>
            <w:r/>
            <w:r>
              <w:rPr>
                <w:rFonts w:ascii="Aptos" w:hAnsi="Aptos"/>
                <w:b w:val="0"/>
                <w:sz w:val="14"/>
              </w:rPr>
              <w:t>Exact terminology/classification version.</w:t>
            </w:r>
          </w:p>
        </w:tc>
      </w:tr>
      <w:tr>
        <w:trPr>
          <w:cantSplit/>
        </w:trPr>
        <w:tc>
          <w:tcPr>
            <w:tcW w:type="dxa" w:w="5083"/>
            <w:vAlign w:val="top"/>
          </w:tcPr>
          <w:p>
            <w:pPr>
              <w:spacing w:after="0"/>
            </w:pPr>
            <w:r/>
            <w:r>
              <w:rPr>
                <w:rFonts w:ascii="Aptos" w:hAnsi="Aptos"/>
                <w:b w:val="0"/>
                <w:sz w:val="14"/>
              </w:rPr>
              <w:t>external_concept_id</w:t>
            </w:r>
          </w:p>
        </w:tc>
        <w:tc>
          <w:tcPr>
            <w:tcW w:type="dxa" w:w="5083"/>
            <w:vAlign w:val="top"/>
          </w:tcPr>
          <w:p>
            <w:pPr>
              <w:spacing w:after="0"/>
            </w:pPr>
            <w:r/>
            <w:r>
              <w:rPr>
                <w:rFonts w:ascii="Aptos" w:hAnsi="Aptos"/>
                <w:b w:val="0"/>
                <w:sz w:val="14"/>
              </w:rPr>
              <w:t>Only after verified.</w:t>
            </w:r>
          </w:p>
        </w:tc>
      </w:tr>
      <w:tr>
        <w:trPr>
          <w:cantSplit/>
        </w:trPr>
        <w:tc>
          <w:tcPr>
            <w:tcW w:type="dxa" w:w="5083"/>
            <w:vAlign w:val="top"/>
          </w:tcPr>
          <w:p>
            <w:pPr>
              <w:spacing w:after="0"/>
            </w:pPr>
            <w:r/>
            <w:r>
              <w:rPr>
                <w:rFonts w:ascii="Aptos" w:hAnsi="Aptos"/>
                <w:b w:val="0"/>
                <w:sz w:val="14"/>
              </w:rPr>
              <w:t>mapping_relation</w:t>
            </w:r>
          </w:p>
        </w:tc>
        <w:tc>
          <w:tcPr>
            <w:tcW w:type="dxa" w:w="5083"/>
            <w:vAlign w:val="top"/>
          </w:tcPr>
          <w:p>
            <w:pPr>
              <w:spacing w:after="0"/>
            </w:pPr>
            <w:r/>
            <w:r>
              <w:rPr>
                <w:rFonts w:ascii="Aptos" w:hAnsi="Aptos"/>
                <w:b w:val="0"/>
                <w:sz w:val="14"/>
              </w:rPr>
              <w:t>exact / narrower / broader / related / local-extension / unresolved.</w:t>
            </w:r>
          </w:p>
        </w:tc>
      </w:tr>
      <w:tr>
        <w:trPr>
          <w:cantSplit/>
        </w:trPr>
        <w:tc>
          <w:tcPr>
            <w:tcW w:type="dxa" w:w="5083"/>
            <w:vAlign w:val="top"/>
          </w:tcPr>
          <w:p>
            <w:pPr>
              <w:spacing w:after="0"/>
            </w:pPr>
            <w:r/>
            <w:r>
              <w:rPr>
                <w:rFonts w:ascii="Aptos" w:hAnsi="Aptos"/>
                <w:b w:val="0"/>
                <w:sz w:val="14"/>
              </w:rPr>
              <w:t>generation_rule</w:t>
            </w:r>
          </w:p>
        </w:tc>
        <w:tc>
          <w:tcPr>
            <w:tcW w:type="dxa" w:w="5083"/>
            <w:vAlign w:val="top"/>
          </w:tcPr>
          <w:p>
            <w:pPr>
              <w:spacing w:after="0"/>
            </w:pPr>
            <w:r/>
            <w:r>
              <w:rPr>
                <w:rFonts w:ascii="Aptos" w:hAnsi="Aptos"/>
                <w:b w:val="0"/>
                <w:sz w:val="14"/>
              </w:rPr>
              <w:t>When latent truth may take this value.</w:t>
            </w:r>
          </w:p>
        </w:tc>
      </w:tr>
      <w:tr>
        <w:trPr>
          <w:cantSplit/>
        </w:trPr>
        <w:tc>
          <w:tcPr>
            <w:tcW w:type="dxa" w:w="5083"/>
            <w:vAlign w:val="top"/>
          </w:tcPr>
          <w:p>
            <w:pPr>
              <w:spacing w:after="0"/>
            </w:pPr>
            <w:r/>
            <w:r>
              <w:rPr>
                <w:rFonts w:ascii="Aptos" w:hAnsi="Aptos"/>
                <w:b w:val="0"/>
                <w:sz w:val="14"/>
              </w:rPr>
              <w:t>exclusion_rule</w:t>
            </w:r>
          </w:p>
        </w:tc>
        <w:tc>
          <w:tcPr>
            <w:tcW w:type="dxa" w:w="5083"/>
            <w:vAlign w:val="top"/>
          </w:tcPr>
          <w:p>
            <w:pPr>
              <w:spacing w:after="0"/>
            </w:pPr>
            <w:r/>
            <w:r>
              <w:rPr>
                <w:rFonts w:ascii="Aptos" w:hAnsi="Aptos"/>
                <w:b w:val="0"/>
                <w:sz w:val="14"/>
              </w:rPr>
              <w:t>When it must not take this value.</w:t>
            </w:r>
          </w:p>
        </w:tc>
      </w:tr>
      <w:tr>
        <w:trPr>
          <w:cantSplit/>
        </w:trPr>
        <w:tc>
          <w:tcPr>
            <w:tcW w:type="dxa" w:w="5083"/>
            <w:vAlign w:val="top"/>
          </w:tcPr>
          <w:p>
            <w:pPr>
              <w:spacing w:after="0"/>
            </w:pPr>
            <w:r/>
            <w:r>
              <w:rPr>
                <w:rFonts w:ascii="Aptos" w:hAnsi="Aptos"/>
                <w:b w:val="0"/>
                <w:sz w:val="14"/>
              </w:rPr>
              <w:t>null_semantics</w:t>
            </w:r>
          </w:p>
        </w:tc>
        <w:tc>
          <w:tcPr>
            <w:tcW w:type="dxa" w:w="5083"/>
            <w:vAlign w:val="top"/>
          </w:tcPr>
          <w:p>
            <w:pPr>
              <w:spacing w:after="0"/>
            </w:pPr>
            <w:r/>
            <w:r>
              <w:rPr>
                <w:rFonts w:ascii="Aptos" w:hAnsi="Aptos"/>
                <w:b w:val="0"/>
                <w:sz w:val="14"/>
              </w:rPr>
              <w:t>unknown / not_assessed / not_applicable / missing distinguished explicitly.</w:t>
            </w:r>
          </w:p>
        </w:tc>
      </w:tr>
      <w:tr>
        <w:trPr>
          <w:cantSplit/>
        </w:trPr>
        <w:tc>
          <w:tcPr>
            <w:tcW w:type="dxa" w:w="5083"/>
            <w:vAlign w:val="top"/>
          </w:tcPr>
          <w:p>
            <w:pPr>
              <w:spacing w:after="0"/>
            </w:pPr>
            <w:r/>
            <w:r>
              <w:rPr>
                <w:rFonts w:ascii="Aptos" w:hAnsi="Aptos"/>
                <w:b w:val="0"/>
                <w:sz w:val="14"/>
              </w:rPr>
              <w:t>temporal_behavior</w:t>
            </w:r>
          </w:p>
        </w:tc>
        <w:tc>
          <w:tcPr>
            <w:tcW w:type="dxa" w:w="5083"/>
            <w:vAlign w:val="top"/>
          </w:tcPr>
          <w:p>
            <w:pPr>
              <w:spacing w:after="0"/>
            </w:pPr>
            <w:r/>
            <w:r>
              <w:rPr>
                <w:rFonts w:ascii="Aptos" w:hAnsi="Aptos"/>
                <w:b w:val="0"/>
                <w:sz w:val="14"/>
              </w:rPr>
              <w:t>Whether value is static, event-level, or interval-level.</w:t>
            </w:r>
          </w:p>
        </w:tc>
      </w:tr>
      <w:tr>
        <w:trPr>
          <w:cantSplit/>
        </w:trPr>
        <w:tc>
          <w:tcPr>
            <w:tcW w:type="dxa" w:w="5083"/>
            <w:vAlign w:val="top"/>
          </w:tcPr>
          <w:p>
            <w:pPr>
              <w:spacing w:after="0"/>
            </w:pPr>
            <w:r/>
            <w:r>
              <w:rPr>
                <w:rFonts w:ascii="Aptos" w:hAnsi="Aptos"/>
                <w:b w:val="0"/>
                <w:sz w:val="14"/>
              </w:rPr>
              <w:t>examples</w:t>
            </w:r>
          </w:p>
        </w:tc>
        <w:tc>
          <w:tcPr>
            <w:tcW w:type="dxa" w:w="5083"/>
            <w:vAlign w:val="top"/>
          </w:tcPr>
          <w:p>
            <w:pPr>
              <w:spacing w:after="0"/>
            </w:pPr>
            <w:r/>
            <w:r>
              <w:rPr>
                <w:rFonts w:ascii="Aptos" w:hAnsi="Aptos"/>
                <w:b w:val="0"/>
                <w:sz w:val="14"/>
              </w:rPr>
              <w:t>Clinician-reviewed positive examples.</w:t>
            </w:r>
          </w:p>
        </w:tc>
      </w:tr>
      <w:tr>
        <w:trPr>
          <w:cantSplit/>
        </w:trPr>
        <w:tc>
          <w:tcPr>
            <w:tcW w:type="dxa" w:w="5083"/>
            <w:vAlign w:val="top"/>
          </w:tcPr>
          <w:p>
            <w:pPr>
              <w:spacing w:after="0"/>
            </w:pPr>
            <w:r/>
            <w:r>
              <w:rPr>
                <w:rFonts w:ascii="Aptos" w:hAnsi="Aptos"/>
                <w:b w:val="0"/>
                <w:sz w:val="14"/>
              </w:rPr>
              <w:t>counterexamples</w:t>
            </w:r>
          </w:p>
        </w:tc>
        <w:tc>
          <w:tcPr>
            <w:tcW w:type="dxa" w:w="5083"/>
            <w:vAlign w:val="top"/>
          </w:tcPr>
          <w:p>
            <w:pPr>
              <w:spacing w:after="0"/>
            </w:pPr>
            <w:r/>
            <w:r>
              <w:rPr>
                <w:rFonts w:ascii="Aptos" w:hAnsi="Aptos"/>
                <w:b w:val="0"/>
                <w:sz w:val="14"/>
              </w:rPr>
              <w:t>Clinician-reviewed confusing/non-examples.</w:t>
            </w:r>
          </w:p>
        </w:tc>
      </w:tr>
      <w:tr>
        <w:trPr>
          <w:cantSplit/>
        </w:trPr>
        <w:tc>
          <w:tcPr>
            <w:tcW w:type="dxa" w:w="5083"/>
            <w:vAlign w:val="top"/>
          </w:tcPr>
          <w:p>
            <w:pPr>
              <w:spacing w:after="0"/>
            </w:pPr>
            <w:r/>
            <w:r>
              <w:rPr>
                <w:rFonts w:ascii="Aptos" w:hAnsi="Aptos"/>
                <w:b w:val="0"/>
                <w:sz w:val="14"/>
              </w:rPr>
              <w:t>review_status</w:t>
            </w:r>
          </w:p>
        </w:tc>
        <w:tc>
          <w:tcPr>
            <w:tcW w:type="dxa" w:w="5083"/>
            <w:vAlign w:val="top"/>
          </w:tcPr>
          <w:p>
            <w:pPr>
              <w:spacing w:after="0"/>
            </w:pPr>
            <w:r/>
            <w:r>
              <w:rPr>
                <w:rFonts w:ascii="Aptos" w:hAnsi="Aptos"/>
                <w:b w:val="0"/>
                <w:sz w:val="14"/>
              </w:rPr>
              <w:t>unreviewed / informatics-reviewed / clinician-reviewed / approved.</w:t>
            </w:r>
          </w:p>
        </w:tc>
      </w:tr>
    </w:tbl>
    <w:p/>
    <w:p>
      <w:pPr>
        <w:pStyle w:val="Heading1"/>
      </w:pPr>
      <w:r>
        <w:t>6. ILAE 2025 seizure-classification profile</w:t>
      </w:r>
    </w:p>
    <w:p>
      <w:r>
        <w:t>The 2025 ILAE position paper is the normative seizure-classification source for v1.1. It maintains four main classes: Focal, Generalized, Unknown whether focal or generalized, and Unclassified. It also changes several operational concepts from the 2017 framework, including use of consciousness rather than awareness as a classifier.</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shd w:fill="D9EAF7"/>
          </w:tcPr>
          <w:p>
            <w:pPr>
              <w:spacing w:after="0"/>
            </w:pPr>
            <w:r/>
            <w:r>
              <w:rPr>
                <w:rFonts w:ascii="Aptos" w:hAnsi="Aptos"/>
                <w:b/>
                <w:sz w:val="15"/>
              </w:rPr>
              <w:t>MedAI field/value</w:t>
            </w:r>
          </w:p>
        </w:tc>
        <w:tc>
          <w:tcPr>
            <w:tcW w:type="dxa" w:w="3389"/>
            <w:shd w:fill="D9EAF7"/>
          </w:tcPr>
          <w:p>
            <w:pPr>
              <w:spacing w:after="0"/>
            </w:pPr>
            <w:r/>
            <w:r>
              <w:rPr>
                <w:rFonts w:ascii="Aptos" w:hAnsi="Aptos"/>
                <w:b/>
                <w:sz w:val="15"/>
              </w:rPr>
              <w:t>Operational meaning in v1.1</w:t>
            </w:r>
          </w:p>
        </w:tc>
        <w:tc>
          <w:tcPr>
            <w:tcW w:type="dxa" w:w="3389"/>
            <w:shd w:fill="D9EAF7"/>
          </w:tcPr>
          <w:p>
            <w:pPr>
              <w:spacing w:after="0"/>
            </w:pPr>
            <w:r/>
            <w:r>
              <w:rPr>
                <w:rFonts w:ascii="Aptos" w:hAnsi="Aptos"/>
                <w:b/>
                <w:sz w:val="15"/>
              </w:rPr>
              <w:t>Authority</w:t>
            </w:r>
          </w:p>
        </w:tc>
      </w:tr>
      <w:tr>
        <w:trPr>
          <w:cantSplit/>
        </w:trPr>
        <w:tc>
          <w:tcPr>
            <w:tcW w:type="dxa" w:w="3389"/>
            <w:vAlign w:val="top"/>
          </w:tcPr>
          <w:p>
            <w:pPr>
              <w:spacing w:after="0"/>
            </w:pPr>
            <w:r/>
            <w:r>
              <w:rPr>
                <w:rFonts w:ascii="Aptos" w:hAnsi="Aptos"/>
                <w:b w:val="0"/>
                <w:sz w:val="14"/>
              </w:rPr>
              <w:t>SZ001=focal</w:t>
            </w:r>
          </w:p>
        </w:tc>
        <w:tc>
          <w:tcPr>
            <w:tcW w:type="dxa" w:w="3389"/>
            <w:vAlign w:val="top"/>
          </w:tcPr>
          <w:p>
            <w:pPr>
              <w:spacing w:after="0"/>
            </w:pPr>
            <w:r/>
            <w:r>
              <w:rPr>
                <w:rFonts w:ascii="Aptos" w:hAnsi="Aptos"/>
                <w:b w:val="0"/>
                <w:sz w:val="14"/>
              </w:rPr>
              <w:t>Seizure assigned to the focal main class under the 2025 ILAE taxonomy.</w:t>
            </w:r>
          </w:p>
        </w:tc>
        <w:tc>
          <w:tcPr>
            <w:tcW w:type="dxa" w:w="3389"/>
            <w:vAlign w:val="top"/>
          </w:tcPr>
          <w:p>
            <w:pPr>
              <w:spacing w:after="0"/>
            </w:pPr>
            <w:r/>
            <w:r>
              <w:rPr>
                <w:rFonts w:ascii="Aptos" w:hAnsi="Aptos"/>
                <w:b w:val="0"/>
                <w:sz w:val="14"/>
              </w:rPr>
              <w:t>ILAE 2025</w:t>
            </w:r>
          </w:p>
        </w:tc>
      </w:tr>
      <w:tr>
        <w:trPr>
          <w:cantSplit/>
        </w:trPr>
        <w:tc>
          <w:tcPr>
            <w:tcW w:type="dxa" w:w="3389"/>
            <w:vAlign w:val="top"/>
          </w:tcPr>
          <w:p>
            <w:pPr>
              <w:spacing w:after="0"/>
            </w:pPr>
            <w:r/>
            <w:r>
              <w:rPr>
                <w:rFonts w:ascii="Aptos" w:hAnsi="Aptos"/>
                <w:b w:val="0"/>
                <w:sz w:val="14"/>
              </w:rPr>
              <w:t>SZ001=generalized</w:t>
            </w:r>
          </w:p>
        </w:tc>
        <w:tc>
          <w:tcPr>
            <w:tcW w:type="dxa" w:w="3389"/>
            <w:vAlign w:val="top"/>
          </w:tcPr>
          <w:p>
            <w:pPr>
              <w:spacing w:after="0"/>
            </w:pPr>
            <w:r/>
            <w:r>
              <w:rPr>
                <w:rFonts w:ascii="Aptos" w:hAnsi="Aptos"/>
                <w:b w:val="0"/>
                <w:sz w:val="14"/>
              </w:rPr>
              <w:t>Seizure assigned to the generalized main class.</w:t>
            </w:r>
          </w:p>
        </w:tc>
        <w:tc>
          <w:tcPr>
            <w:tcW w:type="dxa" w:w="3389"/>
            <w:vAlign w:val="top"/>
          </w:tcPr>
          <w:p>
            <w:pPr>
              <w:spacing w:after="0"/>
            </w:pPr>
            <w:r/>
            <w:r>
              <w:rPr>
                <w:rFonts w:ascii="Aptos" w:hAnsi="Aptos"/>
                <w:b w:val="0"/>
                <w:sz w:val="14"/>
              </w:rPr>
              <w:t>ILAE 2025</w:t>
            </w:r>
          </w:p>
        </w:tc>
      </w:tr>
      <w:tr>
        <w:trPr>
          <w:cantSplit/>
        </w:trPr>
        <w:tc>
          <w:tcPr>
            <w:tcW w:type="dxa" w:w="3389"/>
            <w:vAlign w:val="top"/>
          </w:tcPr>
          <w:p>
            <w:pPr>
              <w:spacing w:after="0"/>
            </w:pPr>
            <w:r/>
            <w:r>
              <w:rPr>
                <w:rFonts w:ascii="Aptos" w:hAnsi="Aptos"/>
                <w:b w:val="0"/>
                <w:sz w:val="14"/>
              </w:rPr>
              <w:t>SZ001=unknown_focal_or_generalized</w:t>
            </w:r>
          </w:p>
        </w:tc>
        <w:tc>
          <w:tcPr>
            <w:tcW w:type="dxa" w:w="3389"/>
            <w:vAlign w:val="top"/>
          </w:tcPr>
          <w:p>
            <w:pPr>
              <w:spacing w:after="0"/>
            </w:pPr>
            <w:r/>
            <w:r>
              <w:rPr>
                <w:rFonts w:ascii="Aptos" w:hAnsi="Aptos"/>
                <w:b w:val="0"/>
                <w:sz w:val="14"/>
              </w:rPr>
              <w:t>Seizure class is unknown whether focal or generalized.</w:t>
            </w:r>
          </w:p>
        </w:tc>
        <w:tc>
          <w:tcPr>
            <w:tcW w:type="dxa" w:w="3389"/>
            <w:vAlign w:val="top"/>
          </w:tcPr>
          <w:p>
            <w:pPr>
              <w:spacing w:after="0"/>
            </w:pPr>
            <w:r/>
            <w:r>
              <w:rPr>
                <w:rFonts w:ascii="Aptos" w:hAnsi="Aptos"/>
                <w:b w:val="0"/>
                <w:sz w:val="14"/>
              </w:rPr>
              <w:t>ILAE 2025</w:t>
            </w:r>
          </w:p>
        </w:tc>
      </w:tr>
      <w:tr>
        <w:trPr>
          <w:cantSplit/>
        </w:trPr>
        <w:tc>
          <w:tcPr>
            <w:tcW w:type="dxa" w:w="3389"/>
            <w:vAlign w:val="top"/>
          </w:tcPr>
          <w:p>
            <w:pPr>
              <w:spacing w:after="0"/>
            </w:pPr>
            <w:r/>
            <w:r>
              <w:rPr>
                <w:rFonts w:ascii="Aptos" w:hAnsi="Aptos"/>
                <w:b w:val="0"/>
                <w:sz w:val="14"/>
              </w:rPr>
              <w:t>SZ001=unclassified</w:t>
            </w:r>
          </w:p>
        </w:tc>
        <w:tc>
          <w:tcPr>
            <w:tcW w:type="dxa" w:w="3389"/>
            <w:vAlign w:val="top"/>
          </w:tcPr>
          <w:p>
            <w:pPr>
              <w:spacing w:after="0"/>
            </w:pPr>
            <w:r/>
            <w:r>
              <w:rPr>
                <w:rFonts w:ascii="Aptos" w:hAnsi="Aptos"/>
                <w:b w:val="0"/>
                <w:sz w:val="14"/>
              </w:rPr>
              <w:t>Seizure cannot be classified into the other main classes under available information.</w:t>
            </w:r>
          </w:p>
        </w:tc>
        <w:tc>
          <w:tcPr>
            <w:tcW w:type="dxa" w:w="3389"/>
            <w:vAlign w:val="top"/>
          </w:tcPr>
          <w:p>
            <w:pPr>
              <w:spacing w:after="0"/>
            </w:pPr>
            <w:r/>
            <w:r>
              <w:rPr>
                <w:rFonts w:ascii="Aptos" w:hAnsi="Aptos"/>
                <w:b w:val="0"/>
                <w:sz w:val="14"/>
              </w:rPr>
              <w:t>ILAE 2025</w:t>
            </w:r>
          </w:p>
        </w:tc>
      </w:tr>
      <w:tr>
        <w:trPr>
          <w:cantSplit/>
        </w:trPr>
        <w:tc>
          <w:tcPr>
            <w:tcW w:type="dxa" w:w="3389"/>
            <w:vAlign w:val="top"/>
          </w:tcPr>
          <w:p>
            <w:pPr>
              <w:spacing w:after="0"/>
            </w:pPr>
            <w:r/>
            <w:r>
              <w:rPr>
                <w:rFonts w:ascii="Aptos" w:hAnsi="Aptos"/>
                <w:b w:val="0"/>
                <w:sz w:val="14"/>
              </w:rPr>
              <w:t>SZ003=preserved</w:t>
            </w:r>
          </w:p>
        </w:tc>
        <w:tc>
          <w:tcPr>
            <w:tcW w:type="dxa" w:w="3389"/>
            <w:vAlign w:val="top"/>
          </w:tcPr>
          <w:p>
            <w:pPr>
              <w:spacing w:after="0"/>
            </w:pPr>
            <w:r/>
            <w:r>
              <w:rPr>
                <w:rFonts w:ascii="Aptos" w:hAnsi="Aptos"/>
                <w:b w:val="0"/>
                <w:sz w:val="14"/>
              </w:rPr>
              <w:t>Consciousness classifier indicates preserved consciousness when applicable.</w:t>
            </w:r>
          </w:p>
        </w:tc>
        <w:tc>
          <w:tcPr>
            <w:tcW w:type="dxa" w:w="3389"/>
            <w:vAlign w:val="top"/>
          </w:tcPr>
          <w:p>
            <w:pPr>
              <w:spacing w:after="0"/>
            </w:pPr>
            <w:r/>
            <w:r>
              <w:rPr>
                <w:rFonts w:ascii="Aptos" w:hAnsi="Aptos"/>
                <w:b w:val="0"/>
                <w:sz w:val="14"/>
              </w:rPr>
              <w:t>ILAE 2025; exact decision procedure to be implemented from source/supplement</w:t>
            </w:r>
          </w:p>
        </w:tc>
      </w:tr>
      <w:tr>
        <w:trPr>
          <w:cantSplit/>
        </w:trPr>
        <w:tc>
          <w:tcPr>
            <w:tcW w:type="dxa" w:w="3389"/>
            <w:vAlign w:val="top"/>
          </w:tcPr>
          <w:p>
            <w:pPr>
              <w:spacing w:after="0"/>
            </w:pPr>
            <w:r/>
            <w:r>
              <w:rPr>
                <w:rFonts w:ascii="Aptos" w:hAnsi="Aptos"/>
                <w:b w:val="0"/>
                <w:sz w:val="14"/>
              </w:rPr>
              <w:t>SZ003=impaired</w:t>
            </w:r>
          </w:p>
        </w:tc>
        <w:tc>
          <w:tcPr>
            <w:tcW w:type="dxa" w:w="3389"/>
            <w:vAlign w:val="top"/>
          </w:tcPr>
          <w:p>
            <w:pPr>
              <w:spacing w:after="0"/>
            </w:pPr>
            <w:r/>
            <w:r>
              <w:rPr>
                <w:rFonts w:ascii="Aptos" w:hAnsi="Aptos"/>
                <w:b w:val="0"/>
                <w:sz w:val="14"/>
              </w:rPr>
              <w:t>Consciousness classifier indicates impaired consciousness when applicable.</w:t>
            </w:r>
          </w:p>
        </w:tc>
        <w:tc>
          <w:tcPr>
            <w:tcW w:type="dxa" w:w="3389"/>
            <w:vAlign w:val="top"/>
          </w:tcPr>
          <w:p>
            <w:pPr>
              <w:spacing w:after="0"/>
            </w:pPr>
            <w:r/>
            <w:r>
              <w:rPr>
                <w:rFonts w:ascii="Aptos" w:hAnsi="Aptos"/>
                <w:b w:val="0"/>
                <w:sz w:val="14"/>
              </w:rPr>
              <w:t>ILAE 2025; exact decision procedure to be implemented from source/supplement</w:t>
            </w:r>
          </w:p>
        </w:tc>
      </w:tr>
      <w:tr>
        <w:trPr>
          <w:cantSplit/>
        </w:trPr>
        <w:tc>
          <w:tcPr>
            <w:tcW w:type="dxa" w:w="3389"/>
            <w:vAlign w:val="top"/>
          </w:tcPr>
          <w:p>
            <w:pPr>
              <w:spacing w:after="0"/>
            </w:pPr>
            <w:r/>
            <w:r>
              <w:rPr>
                <w:rFonts w:ascii="Aptos" w:hAnsi="Aptos"/>
                <w:b w:val="0"/>
                <w:sz w:val="14"/>
              </w:rPr>
              <w:t>SZ003=undetermined</w:t>
            </w:r>
          </w:p>
        </w:tc>
        <w:tc>
          <w:tcPr>
            <w:tcW w:type="dxa" w:w="3389"/>
            <w:vAlign w:val="top"/>
          </w:tcPr>
          <w:p>
            <w:pPr>
              <w:spacing w:after="0"/>
            </w:pPr>
            <w:r/>
            <w:r>
              <w:rPr>
                <w:rFonts w:ascii="Aptos" w:hAnsi="Aptos"/>
                <w:b w:val="0"/>
                <w:sz w:val="14"/>
              </w:rPr>
              <w:t>Available information does not establish the consciousness classifier.</w:t>
            </w:r>
          </w:p>
        </w:tc>
        <w:tc>
          <w:tcPr>
            <w:tcW w:type="dxa" w:w="3389"/>
            <w:vAlign w:val="top"/>
          </w:tcPr>
          <w:p>
            <w:pPr>
              <w:spacing w:after="0"/>
            </w:pPr>
            <w:r/>
            <w:r>
              <w:rPr>
                <w:rFonts w:ascii="Aptos" w:hAnsi="Aptos"/>
                <w:b w:val="0"/>
                <w:sz w:val="14"/>
              </w:rPr>
              <w:t>MEDAI representation anchored to ILAE 2025; requires clinician/source review</w:t>
            </w:r>
          </w:p>
        </w:tc>
      </w:tr>
      <w:tr>
        <w:trPr>
          <w:cantSplit/>
        </w:trPr>
        <w:tc>
          <w:tcPr>
            <w:tcW w:type="dxa" w:w="3389"/>
            <w:vAlign w:val="top"/>
          </w:tcPr>
          <w:p>
            <w:pPr>
              <w:spacing w:after="0"/>
            </w:pPr>
            <w:r/>
            <w:r>
              <w:rPr>
                <w:rFonts w:ascii="Aptos" w:hAnsi="Aptos"/>
                <w:b w:val="0"/>
                <w:sz w:val="14"/>
              </w:rPr>
              <w:t>SZ003=not_applicable</w:t>
            </w:r>
          </w:p>
        </w:tc>
        <w:tc>
          <w:tcPr>
            <w:tcW w:type="dxa" w:w="3389"/>
            <w:vAlign w:val="top"/>
          </w:tcPr>
          <w:p>
            <w:pPr>
              <w:spacing w:after="0"/>
            </w:pPr>
            <w:r/>
            <w:r>
              <w:rPr>
                <w:rFonts w:ascii="Aptos" w:hAnsi="Aptos"/>
                <w:b w:val="0"/>
                <w:sz w:val="14"/>
              </w:rPr>
              <w:t>Consciousness classifier is not applicable to the represented seizure category.</w:t>
            </w:r>
          </w:p>
        </w:tc>
        <w:tc>
          <w:tcPr>
            <w:tcW w:type="dxa" w:w="3389"/>
            <w:vAlign w:val="top"/>
          </w:tcPr>
          <w:p>
            <w:pPr>
              <w:spacing w:after="0"/>
            </w:pPr>
            <w:r/>
            <w:r>
              <w:rPr>
                <w:rFonts w:ascii="Aptos" w:hAnsi="Aptos"/>
                <w:b w:val="0"/>
                <w:sz w:val="14"/>
              </w:rPr>
              <w:t>MEDAI representation; requires rule review</w:t>
            </w:r>
          </w:p>
        </w:tc>
      </w:tr>
    </w:tbl>
    <w:p/>
    <w:tbl>
      <w:tblPr>
        <w:tblStyle w:val="TableGrid"/>
        <w:tblW w:type="auto" w:w="0"/>
        <w:tblLook w:firstColumn="1" w:firstRow="1" w:lastColumn="0" w:lastRow="0" w:noHBand="0" w:noVBand="1" w:val="04A0"/>
      </w:tblPr>
      <w:tblGrid>
        <w:gridCol w:w="10166"/>
      </w:tblGrid>
      <w:tr>
        <w:trPr>
          <w:cantSplit/>
          <w:tblHeader w:val="true"/>
        </w:trPr>
        <w:tc>
          <w:tcPr>
            <w:tcW w:type="dxa" w:w="10166"/>
            <w:shd w:fill="EEF4FB"/>
          </w:tcPr>
          <w:p>
            <w:r>
              <w:rPr>
                <w:b/>
                <w:color w:val="17365D"/>
                <w:sz w:val="18"/>
              </w:rPr>
              <w:t>Unresolved consciousness mapping</w:t>
              <w:br/>
            </w:r>
            <w:r>
              <w:rPr>
                <w:sz w:val="17"/>
              </w:rPr>
              <w:t>The exact operational mapping from awareness/responsiveness observations to the MedAI consciousness values must be extracted from the ILAE 2025 paper/supplements and reviewed before generation. It is now an explicit release blocker.</w:t>
            </w:r>
          </w:p>
        </w:tc>
      </w:tr>
    </w:tbl>
    <w:p/>
    <w:p>
      <w:pPr>
        <w:pStyle w:val="Heading1"/>
      </w:pPr>
      <w:r>
        <w:t>7. Core v1.1 phenotype fields</w:t>
      </w:r>
    </w:p>
    <w:tbl>
      <w:tblPr>
        <w:tblStyle w:val="TableGrid"/>
        <w:tblW w:type="auto" w:w="0"/>
        <w:jc w:val="center"/>
        <w:tblLook w:firstColumn="1" w:firstRow="1" w:lastColumn="0" w:lastRow="0" w:noHBand="0" w:noVBand="1" w:val="04A0"/>
      </w:tblPr>
      <w:tblGrid>
        <w:gridCol w:w="2541"/>
        <w:gridCol w:w="2541"/>
        <w:gridCol w:w="2541"/>
        <w:gridCol w:w="2541"/>
      </w:tblGrid>
      <w:tr>
        <w:trPr>
          <w:cantSplit/>
          <w:tblHeader w:val="true"/>
        </w:trPr>
        <w:tc>
          <w:tcPr>
            <w:tcW w:type="dxa" w:w="2541"/>
            <w:shd w:fill="D9EAF7"/>
          </w:tcPr>
          <w:p>
            <w:pPr>
              <w:spacing w:after="0"/>
            </w:pPr>
            <w:r/>
            <w:r>
              <w:rPr>
                <w:rFonts w:ascii="Aptos" w:hAnsi="Aptos"/>
                <w:b/>
                <w:sz w:val="15"/>
              </w:rPr>
              <w:t>ID</w:t>
            </w:r>
          </w:p>
        </w:tc>
        <w:tc>
          <w:tcPr>
            <w:tcW w:type="dxa" w:w="2541"/>
            <w:shd w:fill="D9EAF7"/>
          </w:tcPr>
          <w:p>
            <w:pPr>
              <w:spacing w:after="0"/>
            </w:pPr>
            <w:r/>
            <w:r>
              <w:rPr>
                <w:rFonts w:ascii="Aptos" w:hAnsi="Aptos"/>
                <w:b/>
                <w:sz w:val="15"/>
              </w:rPr>
              <w:t>Field</w:t>
            </w:r>
          </w:p>
        </w:tc>
        <w:tc>
          <w:tcPr>
            <w:tcW w:type="dxa" w:w="2541"/>
            <w:shd w:fill="D9EAF7"/>
          </w:tcPr>
          <w:p>
            <w:pPr>
              <w:spacing w:after="0"/>
            </w:pPr>
            <w:r/>
            <w:r>
              <w:rPr>
                <w:rFonts w:ascii="Aptos" w:hAnsi="Aptos"/>
                <w:b/>
                <w:sz w:val="15"/>
              </w:rPr>
              <w:t>Definition</w:t>
            </w:r>
          </w:p>
        </w:tc>
        <w:tc>
          <w:tcPr>
            <w:tcW w:type="dxa" w:w="2541"/>
            <w:shd w:fill="D9EAF7"/>
          </w:tcPr>
          <w:p>
            <w:pPr>
              <w:spacing w:after="0"/>
            </w:pPr>
            <w:r/>
            <w:r>
              <w:rPr>
                <w:rFonts w:ascii="Aptos" w:hAnsi="Aptos"/>
                <w:b/>
                <w:sz w:val="15"/>
              </w:rPr>
              <w:t>Authority</w:t>
            </w:r>
          </w:p>
        </w:tc>
      </w:tr>
      <w:tr>
        <w:trPr>
          <w:cantSplit/>
        </w:trPr>
        <w:tc>
          <w:tcPr>
            <w:tcW w:type="dxa" w:w="2541"/>
            <w:vAlign w:val="top"/>
          </w:tcPr>
          <w:p>
            <w:pPr>
              <w:spacing w:after="0"/>
            </w:pPr>
            <w:r/>
            <w:r>
              <w:rPr>
                <w:rFonts w:ascii="Aptos" w:hAnsi="Aptos"/>
                <w:b w:val="0"/>
                <w:sz w:val="14"/>
              </w:rPr>
              <w:t>EP002</w:t>
            </w:r>
          </w:p>
        </w:tc>
        <w:tc>
          <w:tcPr>
            <w:tcW w:type="dxa" w:w="2541"/>
            <w:vAlign w:val="top"/>
          </w:tcPr>
          <w:p>
            <w:pPr>
              <w:spacing w:after="0"/>
            </w:pPr>
            <w:r/>
            <w:r>
              <w:rPr>
                <w:rFonts w:ascii="Aptos" w:hAnsi="Aptos"/>
                <w:b w:val="0"/>
                <w:sz w:val="14"/>
              </w:rPr>
              <w:t>epilepsy_type</w:t>
            </w:r>
          </w:p>
        </w:tc>
        <w:tc>
          <w:tcPr>
            <w:tcW w:type="dxa" w:w="2541"/>
            <w:vAlign w:val="top"/>
          </w:tcPr>
          <w:p>
            <w:pPr>
              <w:spacing w:after="0"/>
            </w:pPr>
            <w:r/>
            <w:r>
              <w:rPr>
                <w:rFonts w:ascii="Aptos" w:hAnsi="Aptos"/>
                <w:b w:val="0"/>
                <w:sz w:val="14"/>
              </w:rPr>
              <w:t>Patient epilepsy type, separate from individual seizure type.</w:t>
            </w:r>
          </w:p>
        </w:tc>
        <w:tc>
          <w:tcPr>
            <w:tcW w:type="dxa" w:w="2541"/>
            <w:vAlign w:val="top"/>
          </w:tcPr>
          <w:p>
            <w:pPr>
              <w:spacing w:after="0"/>
            </w:pPr>
            <w:r/>
            <w:r>
              <w:rPr>
                <w:rFonts w:ascii="Aptos" w:hAnsi="Aptos"/>
                <w:b w:val="0"/>
                <w:sz w:val="14"/>
              </w:rPr>
              <w:t>ILAE 2017 framework</w:t>
            </w:r>
          </w:p>
        </w:tc>
      </w:tr>
      <w:tr>
        <w:trPr>
          <w:cantSplit/>
        </w:trPr>
        <w:tc>
          <w:tcPr>
            <w:tcW w:type="dxa" w:w="2541"/>
            <w:vAlign w:val="top"/>
          </w:tcPr>
          <w:p>
            <w:pPr>
              <w:spacing w:after="0"/>
            </w:pPr>
            <w:r/>
            <w:r>
              <w:rPr>
                <w:rFonts w:ascii="Aptos" w:hAnsi="Aptos"/>
                <w:b w:val="0"/>
                <w:sz w:val="14"/>
              </w:rPr>
              <w:t>EP003</w:t>
            </w:r>
          </w:p>
        </w:tc>
        <w:tc>
          <w:tcPr>
            <w:tcW w:type="dxa" w:w="2541"/>
            <w:vAlign w:val="top"/>
          </w:tcPr>
          <w:p>
            <w:pPr>
              <w:spacing w:after="0"/>
            </w:pPr>
            <w:r/>
            <w:r>
              <w:rPr>
                <w:rFonts w:ascii="Aptos" w:hAnsi="Aptos"/>
                <w:b w:val="0"/>
                <w:sz w:val="14"/>
              </w:rPr>
              <w:t>epilepsy_syndrome</w:t>
            </w:r>
          </w:p>
        </w:tc>
        <w:tc>
          <w:tcPr>
            <w:tcW w:type="dxa" w:w="2541"/>
            <w:vAlign w:val="top"/>
          </w:tcPr>
          <w:p>
            <w:pPr>
              <w:spacing w:after="0"/>
            </w:pPr>
            <w:r/>
            <w:r>
              <w:rPr>
                <w:rFonts w:ascii="Aptos" w:hAnsi="Aptos"/>
                <w:b w:val="0"/>
                <w:sz w:val="14"/>
              </w:rPr>
              <w:t>Named syndrome only when supported by the curated ILAE syndrome registry.</w:t>
            </w:r>
          </w:p>
        </w:tc>
        <w:tc>
          <w:tcPr>
            <w:tcW w:type="dxa" w:w="2541"/>
            <w:vAlign w:val="top"/>
          </w:tcPr>
          <w:p>
            <w:pPr>
              <w:spacing w:after="0"/>
            </w:pPr>
            <w:r/>
            <w:r>
              <w:rPr>
                <w:rFonts w:ascii="Aptos" w:hAnsi="Aptos"/>
                <w:b w:val="0"/>
                <w:sz w:val="14"/>
              </w:rPr>
              <w:t>ILAE 2022</w:t>
            </w:r>
          </w:p>
        </w:tc>
      </w:tr>
      <w:tr>
        <w:trPr>
          <w:cantSplit/>
        </w:trPr>
        <w:tc>
          <w:tcPr>
            <w:tcW w:type="dxa" w:w="2541"/>
            <w:vAlign w:val="top"/>
          </w:tcPr>
          <w:p>
            <w:pPr>
              <w:spacing w:after="0"/>
            </w:pPr>
            <w:r/>
            <w:r>
              <w:rPr>
                <w:rFonts w:ascii="Aptos" w:hAnsi="Aptos"/>
                <w:b w:val="0"/>
                <w:sz w:val="14"/>
              </w:rPr>
              <w:t>SZ001</w:t>
            </w:r>
          </w:p>
        </w:tc>
        <w:tc>
          <w:tcPr>
            <w:tcW w:type="dxa" w:w="2541"/>
            <w:vAlign w:val="top"/>
          </w:tcPr>
          <w:p>
            <w:pPr>
              <w:spacing w:after="0"/>
            </w:pPr>
            <w:r/>
            <w:r>
              <w:rPr>
                <w:rFonts w:ascii="Aptos" w:hAnsi="Aptos"/>
                <w:b w:val="0"/>
                <w:sz w:val="14"/>
              </w:rPr>
              <w:t>seizure_main_class</w:t>
            </w:r>
          </w:p>
        </w:tc>
        <w:tc>
          <w:tcPr>
            <w:tcW w:type="dxa" w:w="2541"/>
            <w:vAlign w:val="top"/>
          </w:tcPr>
          <w:p>
            <w:pPr>
              <w:spacing w:after="0"/>
            </w:pPr>
            <w:r/>
            <w:r>
              <w:rPr>
                <w:rFonts w:ascii="Aptos" w:hAnsi="Aptos"/>
                <w:b w:val="0"/>
                <w:sz w:val="14"/>
              </w:rPr>
              <w:t>Main seizure class under ILAE 2025.</w:t>
            </w:r>
          </w:p>
        </w:tc>
        <w:tc>
          <w:tcPr>
            <w:tcW w:type="dxa" w:w="2541"/>
            <w:vAlign w:val="top"/>
          </w:tcPr>
          <w:p>
            <w:pPr>
              <w:spacing w:after="0"/>
            </w:pPr>
            <w:r/>
            <w:r>
              <w:rPr>
                <w:rFonts w:ascii="Aptos" w:hAnsi="Aptos"/>
                <w:b w:val="0"/>
                <w:sz w:val="14"/>
              </w:rPr>
              <w:t>ILAE 2025</w:t>
            </w:r>
          </w:p>
        </w:tc>
      </w:tr>
      <w:tr>
        <w:trPr>
          <w:cantSplit/>
        </w:trPr>
        <w:tc>
          <w:tcPr>
            <w:tcW w:type="dxa" w:w="2541"/>
            <w:vAlign w:val="top"/>
          </w:tcPr>
          <w:p>
            <w:pPr>
              <w:spacing w:after="0"/>
            </w:pPr>
            <w:r/>
            <w:r>
              <w:rPr>
                <w:rFonts w:ascii="Aptos" w:hAnsi="Aptos"/>
                <w:b w:val="0"/>
                <w:sz w:val="14"/>
              </w:rPr>
              <w:t>SZ002</w:t>
            </w:r>
          </w:p>
        </w:tc>
        <w:tc>
          <w:tcPr>
            <w:tcW w:type="dxa" w:w="2541"/>
            <w:vAlign w:val="top"/>
          </w:tcPr>
          <w:p>
            <w:pPr>
              <w:spacing w:after="0"/>
            </w:pPr>
            <w:r/>
            <w:r>
              <w:rPr>
                <w:rFonts w:ascii="Aptos" w:hAnsi="Aptos"/>
                <w:b w:val="0"/>
                <w:sz w:val="14"/>
              </w:rPr>
              <w:t>seizure_type</w:t>
            </w:r>
          </w:p>
        </w:tc>
        <w:tc>
          <w:tcPr>
            <w:tcW w:type="dxa" w:w="2541"/>
            <w:vAlign w:val="top"/>
          </w:tcPr>
          <w:p>
            <w:pPr>
              <w:spacing w:after="0"/>
            </w:pPr>
            <w:r/>
            <w:r>
              <w:rPr>
                <w:rFonts w:ascii="Aptos" w:hAnsi="Aptos"/>
                <w:b w:val="0"/>
                <w:sz w:val="14"/>
              </w:rPr>
              <w:t>Specific seizure type under the frozen ILAE 2025 value set.</w:t>
            </w:r>
          </w:p>
        </w:tc>
        <w:tc>
          <w:tcPr>
            <w:tcW w:type="dxa" w:w="2541"/>
            <w:vAlign w:val="top"/>
          </w:tcPr>
          <w:p>
            <w:pPr>
              <w:spacing w:after="0"/>
            </w:pPr>
            <w:r/>
            <w:r>
              <w:rPr>
                <w:rFonts w:ascii="Aptos" w:hAnsi="Aptos"/>
                <w:b w:val="0"/>
                <w:sz w:val="14"/>
              </w:rPr>
              <w:t>ILAE 2025</w:t>
            </w:r>
          </w:p>
        </w:tc>
      </w:tr>
      <w:tr>
        <w:trPr>
          <w:cantSplit/>
        </w:trPr>
        <w:tc>
          <w:tcPr>
            <w:tcW w:type="dxa" w:w="2541"/>
            <w:vAlign w:val="top"/>
          </w:tcPr>
          <w:p>
            <w:pPr>
              <w:spacing w:after="0"/>
            </w:pPr>
            <w:r/>
            <w:r>
              <w:rPr>
                <w:rFonts w:ascii="Aptos" w:hAnsi="Aptos"/>
                <w:b w:val="0"/>
                <w:sz w:val="14"/>
              </w:rPr>
              <w:t>SZ003</w:t>
            </w:r>
          </w:p>
        </w:tc>
        <w:tc>
          <w:tcPr>
            <w:tcW w:type="dxa" w:w="2541"/>
            <w:vAlign w:val="top"/>
          </w:tcPr>
          <w:p>
            <w:pPr>
              <w:spacing w:after="0"/>
            </w:pPr>
            <w:r/>
            <w:r>
              <w:rPr>
                <w:rFonts w:ascii="Aptos" w:hAnsi="Aptos"/>
                <w:b w:val="0"/>
                <w:sz w:val="14"/>
              </w:rPr>
              <w:t>consciousness</w:t>
            </w:r>
          </w:p>
        </w:tc>
        <w:tc>
          <w:tcPr>
            <w:tcW w:type="dxa" w:w="2541"/>
            <w:vAlign w:val="top"/>
          </w:tcPr>
          <w:p>
            <w:pPr>
              <w:spacing w:after="0"/>
            </w:pPr>
            <w:r/>
            <w:r>
              <w:rPr>
                <w:rFonts w:ascii="Aptos" w:hAnsi="Aptos"/>
                <w:b w:val="0"/>
                <w:sz w:val="14"/>
              </w:rPr>
              <w:t>Applicable consciousness classifier.</w:t>
            </w:r>
          </w:p>
        </w:tc>
        <w:tc>
          <w:tcPr>
            <w:tcW w:type="dxa" w:w="2541"/>
            <w:vAlign w:val="top"/>
          </w:tcPr>
          <w:p>
            <w:pPr>
              <w:spacing w:after="0"/>
            </w:pPr>
            <w:r/>
            <w:r>
              <w:rPr>
                <w:rFonts w:ascii="Aptos" w:hAnsi="Aptos"/>
                <w:b w:val="0"/>
                <w:sz w:val="14"/>
              </w:rPr>
              <w:t>ILAE 2025 + reviewed MedAI representation</w:t>
            </w:r>
          </w:p>
        </w:tc>
      </w:tr>
      <w:tr>
        <w:trPr>
          <w:cantSplit/>
        </w:trPr>
        <w:tc>
          <w:tcPr>
            <w:tcW w:type="dxa" w:w="2541"/>
            <w:vAlign w:val="top"/>
          </w:tcPr>
          <w:p>
            <w:pPr>
              <w:spacing w:after="0"/>
            </w:pPr>
            <w:r/>
            <w:r>
              <w:rPr>
                <w:rFonts w:ascii="Aptos" w:hAnsi="Aptos"/>
                <w:b w:val="0"/>
                <w:sz w:val="14"/>
              </w:rPr>
              <w:t>SZ004</w:t>
            </w:r>
          </w:p>
        </w:tc>
        <w:tc>
          <w:tcPr>
            <w:tcW w:type="dxa" w:w="2541"/>
            <w:vAlign w:val="top"/>
          </w:tcPr>
          <w:p>
            <w:pPr>
              <w:spacing w:after="0"/>
            </w:pPr>
            <w:r/>
            <w:r>
              <w:rPr>
                <w:rFonts w:ascii="Aptos" w:hAnsi="Aptos"/>
                <w:b w:val="0"/>
                <w:sz w:val="14"/>
              </w:rPr>
              <w:t>semiology_sequence</w:t>
            </w:r>
          </w:p>
        </w:tc>
        <w:tc>
          <w:tcPr>
            <w:tcW w:type="dxa" w:w="2541"/>
            <w:vAlign w:val="top"/>
          </w:tcPr>
          <w:p>
            <w:pPr>
              <w:spacing w:after="0"/>
            </w:pPr>
            <w:r/>
            <w:r>
              <w:rPr>
                <w:rFonts w:ascii="Aptos" w:hAnsi="Aptos"/>
                <w:b w:val="0"/>
                <w:sz w:val="14"/>
              </w:rPr>
              <w:t>Chronological sequence of manifestations/descriptors.</w:t>
            </w:r>
          </w:p>
        </w:tc>
        <w:tc>
          <w:tcPr>
            <w:tcW w:type="dxa" w:w="2541"/>
            <w:vAlign w:val="top"/>
          </w:tcPr>
          <w:p>
            <w:pPr>
              <w:spacing w:after="0"/>
            </w:pPr>
            <w:r/>
            <w:r>
              <w:rPr>
                <w:rFonts w:ascii="Aptos" w:hAnsi="Aptos"/>
                <w:b w:val="0"/>
                <w:sz w:val="14"/>
              </w:rPr>
              <w:t>ILAE 2025</w:t>
            </w:r>
          </w:p>
        </w:tc>
      </w:tr>
      <w:tr>
        <w:trPr>
          <w:cantSplit/>
        </w:trPr>
        <w:tc>
          <w:tcPr>
            <w:tcW w:type="dxa" w:w="2541"/>
            <w:vAlign w:val="top"/>
          </w:tcPr>
          <w:p>
            <w:pPr>
              <w:spacing w:after="0"/>
            </w:pPr>
            <w:r/>
            <w:r>
              <w:rPr>
                <w:rFonts w:ascii="Aptos" w:hAnsi="Aptos"/>
                <w:b w:val="0"/>
                <w:sz w:val="14"/>
              </w:rPr>
              <w:t>SZ005</w:t>
            </w:r>
          </w:p>
        </w:tc>
        <w:tc>
          <w:tcPr>
            <w:tcW w:type="dxa" w:w="2541"/>
            <w:vAlign w:val="top"/>
          </w:tcPr>
          <w:p>
            <w:pPr>
              <w:spacing w:after="0"/>
            </w:pPr>
            <w:r/>
            <w:r>
              <w:rPr>
                <w:rFonts w:ascii="Aptos" w:hAnsi="Aptos"/>
                <w:b w:val="0"/>
                <w:sz w:val="14"/>
              </w:rPr>
              <w:t>seizure_frequency</w:t>
            </w:r>
          </w:p>
        </w:tc>
        <w:tc>
          <w:tcPr>
            <w:tcW w:type="dxa" w:w="2541"/>
            <w:vAlign w:val="top"/>
          </w:tcPr>
          <w:p>
            <w:pPr>
              <w:spacing w:after="0"/>
            </w:pPr>
            <w:r/>
            <w:r>
              <w:rPr>
                <w:rFonts w:ascii="Aptos" w:hAnsi="Aptos"/>
                <w:b w:val="0"/>
                <w:sz w:val="14"/>
              </w:rPr>
              <w:t>Time-indexed seizure burden represented as quantity/unit/interval.</w:t>
            </w:r>
          </w:p>
        </w:tc>
        <w:tc>
          <w:tcPr>
            <w:tcW w:type="dxa" w:w="2541"/>
            <w:vAlign w:val="top"/>
          </w:tcPr>
          <w:p>
            <w:pPr>
              <w:spacing w:after="0"/>
            </w:pPr>
            <w:r/>
            <w:r>
              <w:rPr>
                <w:rFonts w:ascii="Aptos" w:hAnsi="Aptos"/>
                <w:b w:val="0"/>
                <w:sz w:val="14"/>
              </w:rPr>
              <w:t>MEDAI-PROPOSED</w:t>
            </w:r>
          </w:p>
        </w:tc>
      </w:tr>
      <w:tr>
        <w:trPr>
          <w:cantSplit/>
        </w:trPr>
        <w:tc>
          <w:tcPr>
            <w:tcW w:type="dxa" w:w="2541"/>
            <w:vAlign w:val="top"/>
          </w:tcPr>
          <w:p>
            <w:pPr>
              <w:spacing w:after="0"/>
            </w:pPr>
            <w:r/>
            <w:r>
              <w:rPr>
                <w:rFonts w:ascii="Aptos" w:hAnsi="Aptos"/>
                <w:b w:val="0"/>
                <w:sz w:val="14"/>
              </w:rPr>
              <w:t>ET001</w:t>
            </w:r>
          </w:p>
        </w:tc>
        <w:tc>
          <w:tcPr>
            <w:tcW w:type="dxa" w:w="2541"/>
            <w:vAlign w:val="top"/>
          </w:tcPr>
          <w:p>
            <w:pPr>
              <w:spacing w:after="0"/>
            </w:pPr>
            <w:r/>
            <w:r>
              <w:rPr>
                <w:rFonts w:ascii="Aptos" w:hAnsi="Aptos"/>
                <w:b w:val="0"/>
                <w:sz w:val="14"/>
              </w:rPr>
              <w:t>etiology_class</w:t>
            </w:r>
          </w:p>
        </w:tc>
        <w:tc>
          <w:tcPr>
            <w:tcW w:type="dxa" w:w="2541"/>
            <w:vAlign w:val="top"/>
          </w:tcPr>
          <w:p>
            <w:pPr>
              <w:spacing w:after="0"/>
            </w:pPr>
            <w:r/>
            <w:r>
              <w:rPr>
                <w:rFonts w:ascii="Aptos" w:hAnsi="Aptos"/>
                <w:b w:val="0"/>
                <w:sz w:val="14"/>
              </w:rPr>
              <w:t>Etiologic category represented separately from subtype and certainty.</w:t>
            </w:r>
          </w:p>
        </w:tc>
        <w:tc>
          <w:tcPr>
            <w:tcW w:type="dxa" w:w="2541"/>
            <w:vAlign w:val="top"/>
          </w:tcPr>
          <w:p>
            <w:pPr>
              <w:spacing w:after="0"/>
            </w:pPr>
            <w:r/>
            <w:r>
              <w:rPr>
                <w:rFonts w:ascii="Aptos" w:hAnsi="Aptos"/>
                <w:b w:val="0"/>
                <w:sz w:val="14"/>
              </w:rPr>
              <w:t>ILAE framework</w:t>
            </w:r>
          </w:p>
        </w:tc>
      </w:tr>
      <w:tr>
        <w:trPr>
          <w:cantSplit/>
        </w:trPr>
        <w:tc>
          <w:tcPr>
            <w:tcW w:type="dxa" w:w="2541"/>
            <w:vAlign w:val="top"/>
          </w:tcPr>
          <w:p>
            <w:pPr>
              <w:spacing w:after="0"/>
            </w:pPr>
            <w:r/>
            <w:r>
              <w:rPr>
                <w:rFonts w:ascii="Aptos" w:hAnsi="Aptos"/>
                <w:b w:val="0"/>
                <w:sz w:val="14"/>
              </w:rPr>
              <w:t>ET002</w:t>
            </w:r>
          </w:p>
        </w:tc>
        <w:tc>
          <w:tcPr>
            <w:tcW w:type="dxa" w:w="2541"/>
            <w:vAlign w:val="top"/>
          </w:tcPr>
          <w:p>
            <w:pPr>
              <w:spacing w:after="0"/>
            </w:pPr>
            <w:r/>
            <w:r>
              <w:rPr>
                <w:rFonts w:ascii="Aptos" w:hAnsi="Aptos"/>
                <w:b w:val="0"/>
                <w:sz w:val="14"/>
              </w:rPr>
              <w:t>structural_subtype</w:t>
            </w:r>
          </w:p>
        </w:tc>
        <w:tc>
          <w:tcPr>
            <w:tcW w:type="dxa" w:w="2541"/>
            <w:vAlign w:val="top"/>
          </w:tcPr>
          <w:p>
            <w:pPr>
              <w:spacing w:after="0"/>
            </w:pPr>
            <w:r/>
            <w:r>
              <w:rPr>
                <w:rFonts w:ascii="Aptos" w:hAnsi="Aptos"/>
                <w:b w:val="0"/>
                <w:sz w:val="14"/>
              </w:rPr>
              <w:t>Structural etiology subtype such as HS/FCD when scenario supports it.</w:t>
            </w:r>
          </w:p>
        </w:tc>
        <w:tc>
          <w:tcPr>
            <w:tcW w:type="dxa" w:w="2541"/>
            <w:vAlign w:val="top"/>
          </w:tcPr>
          <w:p>
            <w:pPr>
              <w:spacing w:after="0"/>
            </w:pPr>
            <w:r/>
            <w:r>
              <w:rPr>
                <w:rFonts w:ascii="Aptos" w:hAnsi="Aptos"/>
                <w:b w:val="0"/>
                <w:sz w:val="14"/>
              </w:rPr>
              <w:t>MEDAI application set; subtype-specific standards where applicable</w:t>
            </w:r>
          </w:p>
        </w:tc>
      </w:tr>
      <w:tr>
        <w:trPr>
          <w:cantSplit/>
        </w:trPr>
        <w:tc>
          <w:tcPr>
            <w:tcW w:type="dxa" w:w="2541"/>
            <w:vAlign w:val="top"/>
          </w:tcPr>
          <w:p>
            <w:pPr>
              <w:spacing w:after="0"/>
            </w:pPr>
            <w:r/>
            <w:r>
              <w:rPr>
                <w:rFonts w:ascii="Aptos" w:hAnsi="Aptos"/>
                <w:b w:val="0"/>
                <w:sz w:val="14"/>
              </w:rPr>
              <w:t>MRI003</w:t>
            </w:r>
          </w:p>
        </w:tc>
        <w:tc>
          <w:tcPr>
            <w:tcW w:type="dxa" w:w="2541"/>
            <w:vAlign w:val="top"/>
          </w:tcPr>
          <w:p>
            <w:pPr>
              <w:spacing w:after="0"/>
            </w:pPr>
            <w:r/>
            <w:r>
              <w:rPr>
                <w:rFonts w:ascii="Aptos" w:hAnsi="Aptos"/>
                <w:b w:val="0"/>
                <w:sz w:val="14"/>
              </w:rPr>
              <w:t>mri_lesion_type</w:t>
            </w:r>
          </w:p>
        </w:tc>
        <w:tc>
          <w:tcPr>
            <w:tcW w:type="dxa" w:w="2541"/>
            <w:vAlign w:val="top"/>
          </w:tcPr>
          <w:p>
            <w:pPr>
              <w:spacing w:after="0"/>
            </w:pPr>
            <w:r/>
            <w:r>
              <w:rPr>
                <w:rFonts w:ascii="Aptos" w:hAnsi="Aptos"/>
                <w:b w:val="0"/>
                <w:sz w:val="14"/>
              </w:rPr>
              <w:t>Imaging-level lesion/finding type.</w:t>
            </w:r>
          </w:p>
        </w:tc>
        <w:tc>
          <w:tcPr>
            <w:tcW w:type="dxa" w:w="2541"/>
            <w:vAlign w:val="top"/>
          </w:tcPr>
          <w:p>
            <w:pPr>
              <w:spacing w:after="0"/>
            </w:pPr>
            <w:r/>
            <w:r>
              <w:rPr>
                <w:rFonts w:ascii="Aptos" w:hAnsi="Aptos"/>
                <w:b w:val="0"/>
                <w:sz w:val="14"/>
              </w:rPr>
              <w:t>MedAI + verified terminology mappings</w:t>
            </w:r>
          </w:p>
        </w:tc>
      </w:tr>
      <w:tr>
        <w:trPr>
          <w:cantSplit/>
        </w:trPr>
        <w:tc>
          <w:tcPr>
            <w:tcW w:type="dxa" w:w="2541"/>
            <w:vAlign w:val="top"/>
          </w:tcPr>
          <w:p>
            <w:pPr>
              <w:spacing w:after="0"/>
            </w:pPr>
            <w:r/>
            <w:r>
              <w:rPr>
                <w:rFonts w:ascii="Aptos" w:hAnsi="Aptos"/>
                <w:b w:val="0"/>
                <w:sz w:val="14"/>
              </w:rPr>
              <w:t>MRI005</w:t>
            </w:r>
          </w:p>
        </w:tc>
        <w:tc>
          <w:tcPr>
            <w:tcW w:type="dxa" w:w="2541"/>
            <w:vAlign w:val="top"/>
          </w:tcPr>
          <w:p>
            <w:pPr>
              <w:spacing w:after="0"/>
            </w:pPr>
            <w:r/>
            <w:r>
              <w:rPr>
                <w:rFonts w:ascii="Aptos" w:hAnsi="Aptos"/>
                <w:b w:val="0"/>
                <w:sz w:val="14"/>
              </w:rPr>
              <w:t>mri_laterality</w:t>
            </w:r>
          </w:p>
        </w:tc>
        <w:tc>
          <w:tcPr>
            <w:tcW w:type="dxa" w:w="2541"/>
            <w:vAlign w:val="top"/>
          </w:tcPr>
          <w:p>
            <w:pPr>
              <w:spacing w:after="0"/>
            </w:pPr>
            <w:r/>
            <w:r>
              <w:rPr>
                <w:rFonts w:ascii="Aptos" w:hAnsi="Aptos"/>
                <w:b w:val="0"/>
                <w:sz w:val="14"/>
              </w:rPr>
              <w:t>Laterality of the relevant imaging finding.</w:t>
            </w:r>
          </w:p>
        </w:tc>
        <w:tc>
          <w:tcPr>
            <w:tcW w:type="dxa" w:w="2541"/>
            <w:vAlign w:val="top"/>
          </w:tcPr>
          <w:p>
            <w:pPr>
              <w:spacing w:after="0"/>
            </w:pPr>
            <w:r/>
            <w:r>
              <w:rPr>
                <w:rFonts w:ascii="Aptos" w:hAnsi="Aptos"/>
                <w:b w:val="0"/>
                <w:sz w:val="14"/>
              </w:rPr>
              <w:t>MEDAI-PROPOSED</w:t>
            </w:r>
          </w:p>
        </w:tc>
      </w:tr>
      <w:tr>
        <w:trPr>
          <w:cantSplit/>
        </w:trPr>
        <w:tc>
          <w:tcPr>
            <w:tcW w:type="dxa" w:w="2541"/>
            <w:vAlign w:val="top"/>
          </w:tcPr>
          <w:p>
            <w:pPr>
              <w:spacing w:after="0"/>
            </w:pPr>
            <w:r/>
            <w:r>
              <w:rPr>
                <w:rFonts w:ascii="Aptos" w:hAnsi="Aptos"/>
                <w:b w:val="0"/>
                <w:sz w:val="14"/>
              </w:rPr>
              <w:t>EEG003</w:t>
            </w:r>
          </w:p>
        </w:tc>
        <w:tc>
          <w:tcPr>
            <w:tcW w:type="dxa" w:w="2541"/>
            <w:vAlign w:val="top"/>
          </w:tcPr>
          <w:p>
            <w:pPr>
              <w:spacing w:after="0"/>
            </w:pPr>
            <w:r/>
            <w:r>
              <w:rPr>
                <w:rFonts w:ascii="Aptos" w:hAnsi="Aptos"/>
                <w:b w:val="0"/>
                <w:sz w:val="14"/>
              </w:rPr>
              <w:t>ied_present</w:t>
            </w:r>
          </w:p>
        </w:tc>
        <w:tc>
          <w:tcPr>
            <w:tcW w:type="dxa" w:w="2541"/>
            <w:vAlign w:val="top"/>
          </w:tcPr>
          <w:p>
            <w:pPr>
              <w:spacing w:after="0"/>
            </w:pPr>
            <w:r/>
            <w:r>
              <w:rPr>
                <w:rFonts w:ascii="Aptos" w:hAnsi="Aptos"/>
                <w:b w:val="0"/>
                <w:sz w:val="14"/>
              </w:rPr>
              <w:t>Presence/absence/unknown of interictal epileptiform discharges in the report.</w:t>
            </w:r>
          </w:p>
        </w:tc>
        <w:tc>
          <w:tcPr>
            <w:tcW w:type="dxa" w:w="2541"/>
            <w:vAlign w:val="top"/>
          </w:tcPr>
          <w:p>
            <w:pPr>
              <w:spacing w:after="0"/>
            </w:pPr>
            <w:r/>
            <w:r>
              <w:rPr>
                <w:rFonts w:ascii="Aptos" w:hAnsi="Aptos"/>
                <w:b w:val="0"/>
                <w:sz w:val="14"/>
              </w:rPr>
              <w:t>SCORE-informed</w:t>
            </w:r>
          </w:p>
        </w:tc>
      </w:tr>
      <w:tr>
        <w:trPr>
          <w:cantSplit/>
        </w:trPr>
        <w:tc>
          <w:tcPr>
            <w:tcW w:type="dxa" w:w="2541"/>
            <w:vAlign w:val="top"/>
          </w:tcPr>
          <w:p>
            <w:pPr>
              <w:spacing w:after="0"/>
            </w:pPr>
            <w:r/>
            <w:r>
              <w:rPr>
                <w:rFonts w:ascii="Aptos" w:hAnsi="Aptos"/>
                <w:b w:val="0"/>
                <w:sz w:val="14"/>
              </w:rPr>
              <w:t>EEG005</w:t>
            </w:r>
          </w:p>
        </w:tc>
        <w:tc>
          <w:tcPr>
            <w:tcW w:type="dxa" w:w="2541"/>
            <w:vAlign w:val="top"/>
          </w:tcPr>
          <w:p>
            <w:pPr>
              <w:spacing w:after="0"/>
            </w:pPr>
            <w:r/>
            <w:r>
              <w:rPr>
                <w:rFonts w:ascii="Aptos" w:hAnsi="Aptos"/>
                <w:b w:val="0"/>
                <w:sz w:val="14"/>
              </w:rPr>
              <w:t>ied_laterality</w:t>
            </w:r>
          </w:p>
        </w:tc>
        <w:tc>
          <w:tcPr>
            <w:tcW w:type="dxa" w:w="2541"/>
            <w:vAlign w:val="top"/>
          </w:tcPr>
          <w:p>
            <w:pPr>
              <w:spacing w:after="0"/>
            </w:pPr>
            <w:r/>
            <w:r>
              <w:rPr>
                <w:rFonts w:ascii="Aptos" w:hAnsi="Aptos"/>
                <w:b w:val="0"/>
                <w:sz w:val="14"/>
              </w:rPr>
              <w:t>Laterality/distribution of IEDs.</w:t>
            </w:r>
          </w:p>
        </w:tc>
        <w:tc>
          <w:tcPr>
            <w:tcW w:type="dxa" w:w="2541"/>
            <w:vAlign w:val="top"/>
          </w:tcPr>
          <w:p>
            <w:pPr>
              <w:spacing w:after="0"/>
            </w:pPr>
            <w:r/>
            <w:r>
              <w:rPr>
                <w:rFonts w:ascii="Aptos" w:hAnsi="Aptos"/>
                <w:b w:val="0"/>
                <w:sz w:val="14"/>
              </w:rPr>
              <w:t>MEDAI-PROPOSED value set; SCORE mapping</w:t>
            </w:r>
          </w:p>
        </w:tc>
      </w:tr>
      <w:tr>
        <w:trPr>
          <w:cantSplit/>
        </w:trPr>
        <w:tc>
          <w:tcPr>
            <w:tcW w:type="dxa" w:w="2541"/>
            <w:vAlign w:val="top"/>
          </w:tcPr>
          <w:p>
            <w:pPr>
              <w:spacing w:after="0"/>
            </w:pPr>
            <w:r/>
            <w:r>
              <w:rPr>
                <w:rFonts w:ascii="Aptos" w:hAnsi="Aptos"/>
                <w:b w:val="0"/>
                <w:sz w:val="14"/>
              </w:rPr>
              <w:t>EEG008</w:t>
            </w:r>
          </w:p>
        </w:tc>
        <w:tc>
          <w:tcPr>
            <w:tcW w:type="dxa" w:w="2541"/>
            <w:vAlign w:val="top"/>
          </w:tcPr>
          <w:p>
            <w:pPr>
              <w:spacing w:after="0"/>
            </w:pPr>
            <w:r/>
            <w:r>
              <w:rPr>
                <w:rFonts w:ascii="Aptos" w:hAnsi="Aptos"/>
                <w:b w:val="0"/>
                <w:sz w:val="14"/>
              </w:rPr>
              <w:t>ictal_laterality</w:t>
            </w:r>
          </w:p>
        </w:tc>
        <w:tc>
          <w:tcPr>
            <w:tcW w:type="dxa" w:w="2541"/>
            <w:vAlign w:val="top"/>
          </w:tcPr>
          <w:p>
            <w:pPr>
              <w:spacing w:after="0"/>
            </w:pPr>
            <w:r/>
            <w:r>
              <w:rPr>
                <w:rFonts w:ascii="Aptos" w:hAnsi="Aptos"/>
                <w:b w:val="0"/>
                <w:sz w:val="14"/>
              </w:rPr>
              <w:t>Laterality/distribution of ictal EEG localization.</w:t>
            </w:r>
          </w:p>
        </w:tc>
        <w:tc>
          <w:tcPr>
            <w:tcW w:type="dxa" w:w="2541"/>
            <w:vAlign w:val="top"/>
          </w:tcPr>
          <w:p>
            <w:pPr>
              <w:spacing w:after="0"/>
            </w:pPr>
            <w:r/>
            <w:r>
              <w:rPr>
                <w:rFonts w:ascii="Aptos" w:hAnsi="Aptos"/>
                <w:b w:val="0"/>
                <w:sz w:val="14"/>
              </w:rPr>
              <w:t>MEDAI-PROPOSED value set; SCORE mapping</w:t>
            </w:r>
          </w:p>
        </w:tc>
      </w:tr>
      <w:tr>
        <w:trPr>
          <w:cantSplit/>
        </w:trPr>
        <w:tc>
          <w:tcPr>
            <w:tcW w:type="dxa" w:w="2541"/>
            <w:vAlign w:val="top"/>
          </w:tcPr>
          <w:p>
            <w:pPr>
              <w:spacing w:after="0"/>
            </w:pPr>
            <w:r/>
            <w:r>
              <w:rPr>
                <w:rFonts w:ascii="Aptos" w:hAnsi="Aptos"/>
                <w:b w:val="0"/>
                <w:sz w:val="14"/>
              </w:rPr>
              <w:t>TX001</w:t>
            </w:r>
          </w:p>
        </w:tc>
        <w:tc>
          <w:tcPr>
            <w:tcW w:type="dxa" w:w="2541"/>
            <w:vAlign w:val="top"/>
          </w:tcPr>
          <w:p>
            <w:pPr>
              <w:spacing w:after="0"/>
            </w:pPr>
            <w:r/>
            <w:r>
              <w:rPr>
                <w:rFonts w:ascii="Aptos" w:hAnsi="Aptos"/>
                <w:b w:val="0"/>
                <w:sz w:val="14"/>
              </w:rPr>
              <w:t>asm_exposure</w:t>
            </w:r>
          </w:p>
        </w:tc>
        <w:tc>
          <w:tcPr>
            <w:tcW w:type="dxa" w:w="2541"/>
            <w:vAlign w:val="top"/>
          </w:tcPr>
          <w:p>
            <w:pPr>
              <w:spacing w:after="0"/>
            </w:pPr>
            <w:r/>
            <w:r>
              <w:rPr>
                <w:rFonts w:ascii="Aptos" w:hAnsi="Aptos"/>
                <w:b w:val="0"/>
                <w:sz w:val="14"/>
              </w:rPr>
              <w:t>Time-indexed antiseizure medication exposure.</w:t>
            </w:r>
          </w:p>
        </w:tc>
        <w:tc>
          <w:tcPr>
            <w:tcW w:type="dxa" w:w="2541"/>
            <w:vAlign w:val="top"/>
          </w:tcPr>
          <w:p>
            <w:pPr>
              <w:spacing w:after="0"/>
            </w:pPr>
            <w:r/>
            <w:r>
              <w:rPr>
                <w:rFonts w:ascii="Aptos" w:hAnsi="Aptos"/>
                <w:b w:val="0"/>
                <w:sz w:val="14"/>
              </w:rPr>
              <w:t>RxNorm normalization + MedAI episode model</w:t>
            </w:r>
          </w:p>
        </w:tc>
      </w:tr>
      <w:tr>
        <w:trPr>
          <w:cantSplit/>
        </w:trPr>
        <w:tc>
          <w:tcPr>
            <w:tcW w:type="dxa" w:w="2541"/>
            <w:vAlign w:val="top"/>
          </w:tcPr>
          <w:p>
            <w:pPr>
              <w:spacing w:after="0"/>
            </w:pPr>
            <w:r/>
            <w:r>
              <w:rPr>
                <w:rFonts w:ascii="Aptos" w:hAnsi="Aptos"/>
                <w:b w:val="0"/>
                <w:sz w:val="14"/>
              </w:rPr>
              <w:t>TX004</w:t>
            </w:r>
          </w:p>
        </w:tc>
        <w:tc>
          <w:tcPr>
            <w:tcW w:type="dxa" w:w="2541"/>
            <w:vAlign w:val="top"/>
          </w:tcPr>
          <w:p>
            <w:pPr>
              <w:spacing w:after="0"/>
            </w:pPr>
            <w:r/>
            <w:r>
              <w:rPr>
                <w:rFonts w:ascii="Aptos" w:hAnsi="Aptos"/>
                <w:b w:val="0"/>
                <w:sz w:val="14"/>
              </w:rPr>
              <w:t>drug_resistant_epilepsy</w:t>
            </w:r>
          </w:p>
        </w:tc>
        <w:tc>
          <w:tcPr>
            <w:tcW w:type="dxa" w:w="2541"/>
            <w:vAlign w:val="top"/>
          </w:tcPr>
          <w:p>
            <w:pPr>
              <w:spacing w:after="0"/>
            </w:pPr>
            <w:r/>
            <w:r>
              <w:rPr>
                <w:rFonts w:ascii="Aptos" w:hAnsi="Aptos"/>
                <w:b w:val="0"/>
                <w:sz w:val="14"/>
              </w:rPr>
              <w:t>DRE status derived only with sufficient evidence for the ILAE consensus definition.</w:t>
            </w:r>
          </w:p>
        </w:tc>
        <w:tc>
          <w:tcPr>
            <w:tcW w:type="dxa" w:w="2541"/>
            <w:vAlign w:val="top"/>
          </w:tcPr>
          <w:p>
            <w:pPr>
              <w:spacing w:after="0"/>
            </w:pPr>
            <w:r/>
            <w:r>
              <w:rPr>
                <w:rFonts w:ascii="Aptos" w:hAnsi="Aptos"/>
                <w:b w:val="0"/>
                <w:sz w:val="14"/>
              </w:rPr>
              <w:t>ILAE DRE + MedAI conservative operationalization</w:t>
            </w:r>
          </w:p>
        </w:tc>
      </w:tr>
      <w:tr>
        <w:trPr>
          <w:cantSplit/>
        </w:trPr>
        <w:tc>
          <w:tcPr>
            <w:tcW w:type="dxa" w:w="2541"/>
            <w:vAlign w:val="top"/>
          </w:tcPr>
          <w:p>
            <w:pPr>
              <w:spacing w:after="0"/>
            </w:pPr>
            <w:r/>
            <w:r>
              <w:rPr>
                <w:rFonts w:ascii="Aptos" w:hAnsi="Aptos"/>
                <w:b w:val="0"/>
                <w:sz w:val="14"/>
              </w:rPr>
              <w:t>OUT001</w:t>
            </w:r>
          </w:p>
        </w:tc>
        <w:tc>
          <w:tcPr>
            <w:tcW w:type="dxa" w:w="2541"/>
            <w:vAlign w:val="top"/>
          </w:tcPr>
          <w:p>
            <w:pPr>
              <w:spacing w:after="0"/>
            </w:pPr>
            <w:r/>
            <w:r>
              <w:rPr>
                <w:rFonts w:ascii="Aptos" w:hAnsi="Aptos"/>
                <w:b w:val="0"/>
                <w:sz w:val="14"/>
              </w:rPr>
              <w:t>seizure_freedom</w:t>
            </w:r>
          </w:p>
        </w:tc>
        <w:tc>
          <w:tcPr>
            <w:tcW w:type="dxa" w:w="2541"/>
            <w:vAlign w:val="top"/>
          </w:tcPr>
          <w:p>
            <w:pPr>
              <w:spacing w:after="0"/>
            </w:pPr>
            <w:r/>
            <w:r>
              <w:rPr>
                <w:rFonts w:ascii="Aptos" w:hAnsi="Aptos"/>
                <w:b w:val="0"/>
                <w:sz w:val="14"/>
              </w:rPr>
              <w:t>Time-indexed documented seizure-free state.</w:t>
            </w:r>
          </w:p>
        </w:tc>
        <w:tc>
          <w:tcPr>
            <w:tcW w:type="dxa" w:w="2541"/>
            <w:vAlign w:val="top"/>
          </w:tcPr>
          <w:p>
            <w:pPr>
              <w:spacing w:after="0"/>
            </w:pPr>
            <w:r/>
            <w:r>
              <w:rPr>
                <w:rFonts w:ascii="Aptos" w:hAnsi="Aptos"/>
                <w:b w:val="0"/>
                <w:sz w:val="14"/>
              </w:rPr>
              <w:t>MEDAI-PROPOSED</w:t>
            </w:r>
          </w:p>
        </w:tc>
      </w:tr>
      <w:tr>
        <w:trPr>
          <w:cantSplit/>
        </w:trPr>
        <w:tc>
          <w:tcPr>
            <w:tcW w:type="dxa" w:w="2541"/>
            <w:vAlign w:val="top"/>
          </w:tcPr>
          <w:p>
            <w:pPr>
              <w:spacing w:after="0"/>
            </w:pPr>
            <w:r/>
            <w:r>
              <w:rPr>
                <w:rFonts w:ascii="Aptos" w:hAnsi="Aptos"/>
                <w:b w:val="0"/>
                <w:sz w:val="14"/>
              </w:rPr>
              <w:t>SYN002</w:t>
            </w:r>
          </w:p>
        </w:tc>
        <w:tc>
          <w:tcPr>
            <w:tcW w:type="dxa" w:w="2541"/>
            <w:vAlign w:val="top"/>
          </w:tcPr>
          <w:p>
            <w:pPr>
              <w:spacing w:after="0"/>
            </w:pPr>
            <w:r/>
            <w:r>
              <w:rPr>
                <w:rFonts w:ascii="Aptos" w:hAnsi="Aptos"/>
                <w:b w:val="0"/>
                <w:sz w:val="14"/>
              </w:rPr>
              <w:t>multimodal_concordance</w:t>
            </w:r>
          </w:p>
        </w:tc>
        <w:tc>
          <w:tcPr>
            <w:tcW w:type="dxa" w:w="2541"/>
            <w:vAlign w:val="top"/>
          </w:tcPr>
          <w:p>
            <w:pPr>
              <w:spacing w:after="0"/>
            </w:pPr>
            <w:r/>
            <w:r>
              <w:rPr>
                <w:rFonts w:ascii="Aptos" w:hAnsi="Aptos"/>
                <w:b w:val="0"/>
                <w:sz w:val="14"/>
              </w:rPr>
              <w:t>Versioned derived synthesis of selected modality assertions.</w:t>
            </w:r>
          </w:p>
        </w:tc>
        <w:tc>
          <w:tcPr>
            <w:tcW w:type="dxa" w:w="2541"/>
            <w:vAlign w:val="top"/>
          </w:tcPr>
          <w:p>
            <w:pPr>
              <w:spacing w:after="0"/>
            </w:pPr>
            <w:r/>
            <w:r>
              <w:rPr>
                <w:rFonts w:ascii="Aptos" w:hAnsi="Aptos"/>
                <w:b w:val="0"/>
                <w:sz w:val="14"/>
              </w:rPr>
              <w:t>MEDAI-PROPOSED</w:t>
            </w:r>
          </w:p>
        </w:tc>
      </w:tr>
    </w:tbl>
    <w:p/>
    <w:p>
      <w:pPr>
        <w:pStyle w:val="Heading1"/>
      </w:pPr>
      <w:r>
        <w:t>8. MPAM - MedAI Phenotype Assertion Model</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D9EAF7"/>
          </w:tcPr>
          <w:p>
            <w:pPr>
              <w:spacing w:after="0"/>
            </w:pPr>
            <w:r/>
            <w:r>
              <w:rPr>
                <w:rFonts w:ascii="Aptos" w:hAnsi="Aptos"/>
                <w:b/>
                <w:sz w:val="15"/>
              </w:rPr>
              <w:t>Field</w:t>
            </w:r>
          </w:p>
        </w:tc>
        <w:tc>
          <w:tcPr>
            <w:tcW w:type="dxa" w:w="5083"/>
            <w:shd w:fill="D9EAF7"/>
          </w:tcPr>
          <w:p>
            <w:pPr>
              <w:spacing w:after="0"/>
            </w:pPr>
            <w:r/>
            <w:r>
              <w:rPr>
                <w:rFonts w:ascii="Aptos" w:hAnsi="Aptos"/>
                <w:b/>
                <w:sz w:val="15"/>
              </w:rPr>
              <w:t>Required representation</w:t>
            </w:r>
          </w:p>
        </w:tc>
      </w:tr>
      <w:tr>
        <w:trPr>
          <w:cantSplit/>
        </w:trPr>
        <w:tc>
          <w:tcPr>
            <w:tcW w:type="dxa" w:w="5083"/>
            <w:vAlign w:val="top"/>
          </w:tcPr>
          <w:p>
            <w:pPr>
              <w:spacing w:after="0"/>
            </w:pPr>
            <w:r/>
            <w:r>
              <w:rPr>
                <w:rFonts w:ascii="Aptos" w:hAnsi="Aptos"/>
                <w:b w:val="0"/>
                <w:sz w:val="14"/>
              </w:rPr>
              <w:t>assertion_id</w:t>
            </w:r>
          </w:p>
        </w:tc>
        <w:tc>
          <w:tcPr>
            <w:tcW w:type="dxa" w:w="5083"/>
            <w:vAlign w:val="top"/>
          </w:tcPr>
          <w:p>
            <w:pPr>
              <w:spacing w:after="0"/>
            </w:pPr>
            <w:r/>
            <w:r>
              <w:rPr>
                <w:rFonts w:ascii="Aptos" w:hAnsi="Aptos"/>
                <w:b w:val="0"/>
                <w:sz w:val="14"/>
              </w:rPr>
              <w:t>Stable unique assertion identifier.</w:t>
            </w:r>
          </w:p>
        </w:tc>
      </w:tr>
      <w:tr>
        <w:trPr>
          <w:cantSplit/>
        </w:trPr>
        <w:tc>
          <w:tcPr>
            <w:tcW w:type="dxa" w:w="5083"/>
            <w:vAlign w:val="top"/>
          </w:tcPr>
          <w:p>
            <w:pPr>
              <w:spacing w:after="0"/>
            </w:pPr>
            <w:r/>
            <w:r>
              <w:rPr>
                <w:rFonts w:ascii="Aptos" w:hAnsi="Aptos"/>
                <w:b w:val="0"/>
                <w:sz w:val="14"/>
              </w:rPr>
              <w:t>patient_id</w:t>
            </w:r>
          </w:p>
        </w:tc>
        <w:tc>
          <w:tcPr>
            <w:tcW w:type="dxa" w:w="5083"/>
            <w:vAlign w:val="top"/>
          </w:tcPr>
          <w:p>
            <w:pPr>
              <w:spacing w:after="0"/>
            </w:pPr>
            <w:r/>
            <w:r>
              <w:rPr>
                <w:rFonts w:ascii="Aptos" w:hAnsi="Aptos"/>
                <w:b w:val="0"/>
                <w:sz w:val="14"/>
              </w:rPr>
              <w:t>Synthetic or pseudonymous patient identifier.</w:t>
            </w:r>
          </w:p>
        </w:tc>
      </w:tr>
      <w:tr>
        <w:trPr>
          <w:cantSplit/>
        </w:trPr>
        <w:tc>
          <w:tcPr>
            <w:tcW w:type="dxa" w:w="5083"/>
            <w:vAlign w:val="top"/>
          </w:tcPr>
          <w:p>
            <w:pPr>
              <w:spacing w:after="0"/>
            </w:pPr>
            <w:r/>
            <w:r>
              <w:rPr>
                <w:rFonts w:ascii="Aptos" w:hAnsi="Aptos"/>
                <w:b w:val="0"/>
                <w:sz w:val="14"/>
              </w:rPr>
              <w:t>concept</w:t>
            </w:r>
          </w:p>
        </w:tc>
        <w:tc>
          <w:tcPr>
            <w:tcW w:type="dxa" w:w="5083"/>
            <w:vAlign w:val="top"/>
          </w:tcPr>
          <w:p>
            <w:pPr>
              <w:spacing w:after="0"/>
            </w:pPr>
            <w:r/>
            <w:r>
              <w:rPr>
                <w:rFonts w:ascii="Aptos" w:hAnsi="Aptos"/>
                <w:b w:val="0"/>
                <w:sz w:val="14"/>
              </w:rPr>
              <w:t>MedAI concept ID + verified external mappings.</w:t>
            </w:r>
          </w:p>
        </w:tc>
      </w:tr>
      <w:tr>
        <w:trPr>
          <w:cantSplit/>
        </w:trPr>
        <w:tc>
          <w:tcPr>
            <w:tcW w:type="dxa" w:w="5083"/>
            <w:vAlign w:val="top"/>
          </w:tcPr>
          <w:p>
            <w:pPr>
              <w:spacing w:after="0"/>
            </w:pPr>
            <w:r/>
            <w:r>
              <w:rPr>
                <w:rFonts w:ascii="Aptos" w:hAnsi="Aptos"/>
                <w:b w:val="0"/>
                <w:sz w:val="14"/>
              </w:rPr>
              <w:t>value</w:t>
            </w:r>
          </w:p>
        </w:tc>
        <w:tc>
          <w:tcPr>
            <w:tcW w:type="dxa" w:w="5083"/>
            <w:vAlign w:val="top"/>
          </w:tcPr>
          <w:p>
            <w:pPr>
              <w:spacing w:after="0"/>
            </w:pPr>
            <w:r/>
            <w:r>
              <w:rPr>
                <w:rFonts w:ascii="Aptos" w:hAnsi="Aptos"/>
                <w:b w:val="0"/>
                <w:sz w:val="14"/>
              </w:rPr>
              <w:t>Typed value.</w:t>
            </w:r>
          </w:p>
        </w:tc>
      </w:tr>
      <w:tr>
        <w:trPr>
          <w:cantSplit/>
        </w:trPr>
        <w:tc>
          <w:tcPr>
            <w:tcW w:type="dxa" w:w="5083"/>
            <w:vAlign w:val="top"/>
          </w:tcPr>
          <w:p>
            <w:pPr>
              <w:spacing w:after="0"/>
            </w:pPr>
            <w:r/>
            <w:r>
              <w:rPr>
                <w:rFonts w:ascii="Aptos" w:hAnsi="Aptos"/>
                <w:b w:val="0"/>
                <w:sz w:val="14"/>
              </w:rPr>
              <w:t>assertion_status</w:t>
            </w:r>
          </w:p>
        </w:tc>
        <w:tc>
          <w:tcPr>
            <w:tcW w:type="dxa" w:w="5083"/>
            <w:vAlign w:val="top"/>
          </w:tcPr>
          <w:p>
            <w:pPr>
              <w:spacing w:after="0"/>
            </w:pPr>
            <w:r/>
            <w:r>
              <w:rPr>
                <w:rFonts w:ascii="Aptos" w:hAnsi="Aptos"/>
                <w:b w:val="0"/>
                <w:sz w:val="14"/>
              </w:rPr>
              <w:t>present / absent / unknown / not_assessed.</w:t>
            </w:r>
          </w:p>
        </w:tc>
      </w:tr>
      <w:tr>
        <w:trPr>
          <w:cantSplit/>
        </w:trPr>
        <w:tc>
          <w:tcPr>
            <w:tcW w:type="dxa" w:w="5083"/>
            <w:vAlign w:val="top"/>
          </w:tcPr>
          <w:p>
            <w:pPr>
              <w:spacing w:after="0"/>
            </w:pPr>
            <w:r/>
            <w:r>
              <w:rPr>
                <w:rFonts w:ascii="Aptos" w:hAnsi="Aptos"/>
                <w:b w:val="0"/>
                <w:sz w:val="14"/>
              </w:rPr>
              <w:t>certainty</w:t>
            </w:r>
          </w:p>
        </w:tc>
        <w:tc>
          <w:tcPr>
            <w:tcW w:type="dxa" w:w="5083"/>
            <w:vAlign w:val="top"/>
          </w:tcPr>
          <w:p>
            <w:pPr>
              <w:spacing w:after="0"/>
            </w:pPr>
            <w:r/>
            <w:r>
              <w:rPr>
                <w:rFonts w:ascii="Aptos" w:hAnsi="Aptos"/>
                <w:b w:val="0"/>
                <w:sz w:val="14"/>
              </w:rPr>
              <w:t>Versioned MedAI certainty value set.</w:t>
            </w:r>
          </w:p>
        </w:tc>
      </w:tr>
      <w:tr>
        <w:trPr>
          <w:cantSplit/>
        </w:trPr>
        <w:tc>
          <w:tcPr>
            <w:tcW w:type="dxa" w:w="5083"/>
            <w:vAlign w:val="top"/>
          </w:tcPr>
          <w:p>
            <w:pPr>
              <w:spacing w:after="0"/>
            </w:pPr>
            <w:r/>
            <w:r>
              <w:rPr>
                <w:rFonts w:ascii="Aptos" w:hAnsi="Aptos"/>
                <w:b w:val="0"/>
                <w:sz w:val="14"/>
              </w:rPr>
              <w:t>temporality</w:t>
            </w:r>
          </w:p>
        </w:tc>
        <w:tc>
          <w:tcPr>
            <w:tcW w:type="dxa" w:w="5083"/>
            <w:vAlign w:val="top"/>
          </w:tcPr>
          <w:p>
            <w:pPr>
              <w:spacing w:after="0"/>
            </w:pPr>
            <w:r/>
            <w:r>
              <w:rPr>
                <w:rFonts w:ascii="Aptos" w:hAnsi="Aptos"/>
                <w:b w:val="0"/>
                <w:sz w:val="14"/>
              </w:rPr>
              <w:t>status + start/end or event date.</w:t>
            </w:r>
          </w:p>
        </w:tc>
      </w:tr>
      <w:tr>
        <w:trPr>
          <w:cantSplit/>
        </w:trPr>
        <w:tc>
          <w:tcPr>
            <w:tcW w:type="dxa" w:w="5083"/>
            <w:vAlign w:val="top"/>
          </w:tcPr>
          <w:p>
            <w:pPr>
              <w:spacing w:after="0"/>
            </w:pPr>
            <w:r/>
            <w:r>
              <w:rPr>
                <w:rFonts w:ascii="Aptos" w:hAnsi="Aptos"/>
                <w:b w:val="0"/>
                <w:sz w:val="14"/>
              </w:rPr>
              <w:t>laterality</w:t>
            </w:r>
          </w:p>
        </w:tc>
        <w:tc>
          <w:tcPr>
            <w:tcW w:type="dxa" w:w="5083"/>
            <w:vAlign w:val="top"/>
          </w:tcPr>
          <w:p>
            <w:pPr>
              <w:spacing w:after="0"/>
            </w:pPr>
            <w:r/>
            <w:r>
              <w:rPr>
                <w:rFonts w:ascii="Aptos" w:hAnsi="Aptos"/>
                <w:b w:val="0"/>
                <w:sz w:val="14"/>
              </w:rPr>
              <w:t>When applicable.</w:t>
            </w:r>
          </w:p>
        </w:tc>
      </w:tr>
      <w:tr>
        <w:trPr>
          <w:cantSplit/>
        </w:trPr>
        <w:tc>
          <w:tcPr>
            <w:tcW w:type="dxa" w:w="5083"/>
            <w:vAlign w:val="top"/>
          </w:tcPr>
          <w:p>
            <w:pPr>
              <w:spacing w:after="0"/>
            </w:pPr>
            <w:r/>
            <w:r>
              <w:rPr>
                <w:rFonts w:ascii="Aptos" w:hAnsi="Aptos"/>
                <w:b w:val="0"/>
                <w:sz w:val="14"/>
              </w:rPr>
              <w:t>anatomy</w:t>
            </w:r>
          </w:p>
        </w:tc>
        <w:tc>
          <w:tcPr>
            <w:tcW w:type="dxa" w:w="5083"/>
            <w:vAlign w:val="top"/>
          </w:tcPr>
          <w:p>
            <w:pPr>
              <w:spacing w:after="0"/>
            </w:pPr>
            <w:r/>
            <w:r>
              <w:rPr>
                <w:rFonts w:ascii="Aptos" w:hAnsi="Aptos"/>
                <w:b w:val="0"/>
                <w:sz w:val="14"/>
              </w:rPr>
              <w:t>Normalized anatomy + source text.</w:t>
            </w:r>
          </w:p>
        </w:tc>
      </w:tr>
      <w:tr>
        <w:trPr>
          <w:cantSplit/>
        </w:trPr>
        <w:tc>
          <w:tcPr>
            <w:tcW w:type="dxa" w:w="5083"/>
            <w:vAlign w:val="top"/>
          </w:tcPr>
          <w:p>
            <w:pPr>
              <w:spacing w:after="0"/>
            </w:pPr>
            <w:r/>
            <w:r>
              <w:rPr>
                <w:rFonts w:ascii="Aptos" w:hAnsi="Aptos"/>
                <w:b w:val="0"/>
                <w:sz w:val="14"/>
              </w:rPr>
              <w:t>source_document</w:t>
            </w:r>
          </w:p>
        </w:tc>
        <w:tc>
          <w:tcPr>
            <w:tcW w:type="dxa" w:w="5083"/>
            <w:vAlign w:val="top"/>
          </w:tcPr>
          <w:p>
            <w:pPr>
              <w:spacing w:after="0"/>
            </w:pPr>
            <w:r/>
            <w:r>
              <w:rPr>
                <w:rFonts w:ascii="Aptos" w:hAnsi="Aptos"/>
                <w:b w:val="0"/>
                <w:sz w:val="14"/>
              </w:rPr>
              <w:t>Document ID/type/date.</w:t>
            </w:r>
          </w:p>
        </w:tc>
      </w:tr>
      <w:tr>
        <w:trPr>
          <w:cantSplit/>
        </w:trPr>
        <w:tc>
          <w:tcPr>
            <w:tcW w:type="dxa" w:w="5083"/>
            <w:vAlign w:val="top"/>
          </w:tcPr>
          <w:p>
            <w:pPr>
              <w:spacing w:after="0"/>
            </w:pPr>
            <w:r/>
            <w:r>
              <w:rPr>
                <w:rFonts w:ascii="Aptos" w:hAnsi="Aptos"/>
                <w:b w:val="0"/>
                <w:sz w:val="14"/>
              </w:rPr>
              <w:t>evidence</w:t>
            </w:r>
          </w:p>
        </w:tc>
        <w:tc>
          <w:tcPr>
            <w:tcW w:type="dxa" w:w="5083"/>
            <w:vAlign w:val="top"/>
          </w:tcPr>
          <w:p>
            <w:pPr>
              <w:spacing w:after="0"/>
            </w:pPr>
            <w:r/>
            <w:r>
              <w:rPr>
                <w:rFonts w:ascii="Aptos" w:hAnsi="Aptos"/>
                <w:b w:val="0"/>
                <w:sz w:val="14"/>
              </w:rPr>
              <w:t>Minimal supporting text span + offsets where available.</w:t>
            </w:r>
          </w:p>
        </w:tc>
      </w:tr>
      <w:tr>
        <w:trPr>
          <w:cantSplit/>
        </w:trPr>
        <w:tc>
          <w:tcPr>
            <w:tcW w:type="dxa" w:w="5083"/>
            <w:vAlign w:val="top"/>
          </w:tcPr>
          <w:p>
            <w:pPr>
              <w:spacing w:after="0"/>
            </w:pPr>
            <w:r/>
            <w:r>
              <w:rPr>
                <w:rFonts w:ascii="Aptos" w:hAnsi="Aptos"/>
                <w:b w:val="0"/>
                <w:sz w:val="14"/>
              </w:rPr>
              <w:t>mapping_provenance</w:t>
            </w:r>
          </w:p>
        </w:tc>
        <w:tc>
          <w:tcPr>
            <w:tcW w:type="dxa" w:w="5083"/>
            <w:vAlign w:val="top"/>
          </w:tcPr>
          <w:p>
            <w:pPr>
              <w:spacing w:after="0"/>
            </w:pPr>
            <w:r/>
            <w:r>
              <w:rPr>
                <w:rFonts w:ascii="Aptos" w:hAnsi="Aptos"/>
                <w:b w:val="0"/>
                <w:sz w:val="14"/>
              </w:rPr>
              <w:t>Terminology source/version/mapping relation.</w:t>
            </w:r>
          </w:p>
        </w:tc>
      </w:tr>
      <w:tr>
        <w:trPr>
          <w:cantSplit/>
        </w:trPr>
        <w:tc>
          <w:tcPr>
            <w:tcW w:type="dxa" w:w="5083"/>
            <w:vAlign w:val="top"/>
          </w:tcPr>
          <w:p>
            <w:pPr>
              <w:spacing w:after="0"/>
            </w:pPr>
            <w:r/>
            <w:r>
              <w:rPr>
                <w:rFonts w:ascii="Aptos" w:hAnsi="Aptos"/>
                <w:b w:val="0"/>
                <w:sz w:val="14"/>
              </w:rPr>
              <w:t>generation_provenance</w:t>
            </w:r>
          </w:p>
        </w:tc>
        <w:tc>
          <w:tcPr>
            <w:tcW w:type="dxa" w:w="5083"/>
            <w:vAlign w:val="top"/>
          </w:tcPr>
          <w:p>
            <w:pPr>
              <w:spacing w:after="0"/>
            </w:pPr>
            <w:r/>
            <w:r>
              <w:rPr>
                <w:rFonts w:ascii="Aptos" w:hAnsi="Aptos"/>
                <w:b w:val="0"/>
                <w:sz w:val="14"/>
              </w:rPr>
              <w:t>Scenario/rule/schema/generator versions for synthetic truth.</w:t>
            </w:r>
          </w:p>
        </w:tc>
      </w:tr>
      <w:tr>
        <w:trPr>
          <w:cantSplit/>
        </w:trPr>
        <w:tc>
          <w:tcPr>
            <w:tcW w:type="dxa" w:w="5083"/>
            <w:vAlign w:val="top"/>
          </w:tcPr>
          <w:p>
            <w:pPr>
              <w:spacing w:after="0"/>
            </w:pPr>
            <w:r/>
            <w:r>
              <w:rPr>
                <w:rFonts w:ascii="Aptos" w:hAnsi="Aptos"/>
                <w:b w:val="0"/>
                <w:sz w:val="14"/>
              </w:rPr>
              <w:t>model_provenance</w:t>
            </w:r>
          </w:p>
        </w:tc>
        <w:tc>
          <w:tcPr>
            <w:tcW w:type="dxa" w:w="5083"/>
            <w:vAlign w:val="top"/>
          </w:tcPr>
          <w:p>
            <w:pPr>
              <w:spacing w:after="0"/>
            </w:pPr>
            <w:r/>
            <w:r>
              <w:rPr>
                <w:rFonts w:ascii="Aptos" w:hAnsi="Aptos"/>
                <w:b w:val="0"/>
                <w:sz w:val="14"/>
              </w:rPr>
              <w:t>Model/hash/prompt/decoder for extracted assertions.</w:t>
            </w:r>
          </w:p>
        </w:tc>
      </w:tr>
      <w:tr>
        <w:trPr>
          <w:cantSplit/>
        </w:trPr>
        <w:tc>
          <w:tcPr>
            <w:tcW w:type="dxa" w:w="5083"/>
            <w:vAlign w:val="top"/>
          </w:tcPr>
          <w:p>
            <w:pPr>
              <w:spacing w:after="0"/>
            </w:pPr>
            <w:r/>
            <w:r>
              <w:rPr>
                <w:rFonts w:ascii="Aptos" w:hAnsi="Aptos"/>
                <w:b w:val="0"/>
                <w:sz w:val="14"/>
              </w:rPr>
              <w:t>verification</w:t>
            </w:r>
          </w:p>
        </w:tc>
        <w:tc>
          <w:tcPr>
            <w:tcW w:type="dxa" w:w="5083"/>
            <w:vAlign w:val="top"/>
          </w:tcPr>
          <w:p>
            <w:pPr>
              <w:spacing w:after="0"/>
            </w:pPr>
            <w:r/>
            <w:r>
              <w:rPr>
                <w:rFonts w:ascii="Aptos" w:hAnsi="Aptos"/>
                <w:b w:val="0"/>
                <w:sz w:val="14"/>
              </w:rPr>
              <w:t>supported / conflicted / rejected / unverified.</w:t>
            </w:r>
          </w:p>
        </w:tc>
      </w:tr>
      <w:tr>
        <w:trPr>
          <w:cantSplit/>
        </w:trPr>
        <w:tc>
          <w:tcPr>
            <w:tcW w:type="dxa" w:w="5083"/>
            <w:vAlign w:val="top"/>
          </w:tcPr>
          <w:p>
            <w:pPr>
              <w:spacing w:after="0"/>
            </w:pPr>
            <w:r/>
            <w:r>
              <w:rPr>
                <w:rFonts w:ascii="Aptos" w:hAnsi="Aptos"/>
                <w:b w:val="0"/>
                <w:sz w:val="14"/>
              </w:rPr>
              <w:t>human_review</w:t>
            </w:r>
          </w:p>
        </w:tc>
        <w:tc>
          <w:tcPr>
            <w:tcW w:type="dxa" w:w="5083"/>
            <w:vAlign w:val="top"/>
          </w:tcPr>
          <w:p>
            <w:pPr>
              <w:spacing w:after="0"/>
            </w:pPr>
            <w:r/>
            <w:r>
              <w:rPr>
                <w:rFonts w:ascii="Aptos" w:hAnsi="Aptos"/>
                <w:b w:val="0"/>
                <w:sz w:val="14"/>
              </w:rPr>
              <w:t>not_reviewed / accepted / modified / rejected.</w:t>
            </w:r>
          </w:p>
        </w:tc>
      </w:tr>
    </w:tbl>
    <w:p/>
    <w:p>
      <w:pPr>
        <w:pStyle w:val="Heading1"/>
      </w:pPr>
      <w:r>
        <w:t>9. Canonical long-format data model</w:t>
      </w:r>
    </w:p>
    <w:p>
      <w:r>
        <w:t>The canonical analytical representation is long format: one row per phenotype assertion/event-level observation. Wide patient tables are derived views.</w:t>
      </w:r>
    </w:p>
    <w:p>
      <w:pPr>
        <w:pStyle w:val="CodeBlock"/>
      </w:pPr>
      <w:r>
        <w:t>phenotypes_long.csv</w:t>
        <w:br/>
        <w:t>patient_id</w:t>
        <w:br/>
        <w:t>assertion_id</w:t>
        <w:br/>
        <w:t>event_id</w:t>
        <w:br/>
        <w:t>event_date</w:t>
        <w:br/>
        <w:t>domain</w:t>
        <w:br/>
        <w:t>variable_id</w:t>
        <w:br/>
        <w:t>variable_name</w:t>
        <w:br/>
        <w:t>value</w:t>
        <w:br/>
        <w:t>unit</w:t>
        <w:br/>
        <w:t>assertion_status</w:t>
        <w:br/>
        <w:t>certainty</w:t>
        <w:br/>
        <w:t>temporality</w:t>
        <w:br/>
        <w:t>laterality</w:t>
        <w:br/>
        <w:t>anatomical_site</w:t>
        <w:br/>
        <w:t>source_standard</w:t>
        <w:br/>
        <w:t>source_concept_id</w:t>
        <w:br/>
        <w:t>mapping_status</w:t>
        <w:br/>
        <w:t>scenario_id</w:t>
        <w:br/>
        <w:t>difficulty_tier</w:t>
        <w:br/>
        <w:t>schema_version</w:t>
        <w:br/>
        <w:t>rule_version</w:t>
        <w:br/>
        <w:t>review_status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D9EAF7"/>
          </w:tcPr>
          <w:p>
            <w:pPr>
              <w:spacing w:after="0"/>
            </w:pPr>
            <w:r/>
            <w:r>
              <w:rPr>
                <w:rFonts w:ascii="Aptos" w:hAnsi="Aptos"/>
                <w:b/>
                <w:sz w:val="15"/>
              </w:rPr>
              <w:t>Linked table</w:t>
            </w:r>
          </w:p>
        </w:tc>
        <w:tc>
          <w:tcPr>
            <w:tcW w:type="dxa" w:w="5083"/>
            <w:shd w:fill="D9EAF7"/>
          </w:tcPr>
          <w:p>
            <w:pPr>
              <w:spacing w:after="0"/>
            </w:pPr>
            <w:r/>
            <w:r>
              <w:rPr>
                <w:rFonts w:ascii="Aptos" w:hAnsi="Aptos"/>
                <w:b/>
                <w:sz w:val="15"/>
              </w:rPr>
              <w:t>Purpose</w:t>
            </w:r>
          </w:p>
        </w:tc>
      </w:tr>
      <w:tr>
        <w:trPr>
          <w:cantSplit/>
        </w:trPr>
        <w:tc>
          <w:tcPr>
            <w:tcW w:type="dxa" w:w="5083"/>
            <w:vAlign w:val="top"/>
          </w:tcPr>
          <w:p>
            <w:pPr>
              <w:spacing w:after="0"/>
            </w:pPr>
            <w:r/>
            <w:r>
              <w:rPr>
                <w:rFonts w:ascii="Aptos" w:hAnsi="Aptos"/>
                <w:b w:val="0"/>
                <w:sz w:val="14"/>
              </w:rPr>
              <w:t>patients.csv</w:t>
            </w:r>
          </w:p>
        </w:tc>
        <w:tc>
          <w:tcPr>
            <w:tcW w:type="dxa" w:w="5083"/>
            <w:vAlign w:val="top"/>
          </w:tcPr>
          <w:p>
            <w:pPr>
              <w:spacing w:after="0"/>
            </w:pPr>
            <w:r/>
            <w:r>
              <w:rPr>
                <w:rFonts w:ascii="Aptos" w:hAnsi="Aptos"/>
                <w:b w:val="0"/>
                <w:sz w:val="14"/>
              </w:rPr>
              <w:t>One row per synthetic patient; non-phenotype metadata.</w:t>
            </w:r>
          </w:p>
        </w:tc>
      </w:tr>
      <w:tr>
        <w:trPr>
          <w:cantSplit/>
        </w:trPr>
        <w:tc>
          <w:tcPr>
            <w:tcW w:type="dxa" w:w="5083"/>
            <w:vAlign w:val="top"/>
          </w:tcPr>
          <w:p>
            <w:pPr>
              <w:spacing w:after="0"/>
            </w:pPr>
            <w:r/>
            <w:r>
              <w:rPr>
                <w:rFonts w:ascii="Aptos" w:hAnsi="Aptos"/>
                <w:b w:val="0"/>
                <w:sz w:val="14"/>
              </w:rPr>
              <w:t>events.csv</w:t>
            </w:r>
          </w:p>
        </w:tc>
        <w:tc>
          <w:tcPr>
            <w:tcW w:type="dxa" w:w="5083"/>
            <w:vAlign w:val="top"/>
          </w:tcPr>
          <w:p>
            <w:pPr>
              <w:spacing w:after="0"/>
            </w:pPr>
            <w:r/>
            <w:r>
              <w:rPr>
                <w:rFonts w:ascii="Aptos" w:hAnsi="Aptos"/>
                <w:b w:val="0"/>
                <w:sz w:val="14"/>
              </w:rPr>
              <w:t>Clinical timeline and event graph.</w:t>
            </w:r>
          </w:p>
        </w:tc>
      </w:tr>
      <w:tr>
        <w:trPr>
          <w:cantSplit/>
        </w:trPr>
        <w:tc>
          <w:tcPr>
            <w:tcW w:type="dxa" w:w="5083"/>
            <w:vAlign w:val="top"/>
          </w:tcPr>
          <w:p>
            <w:pPr>
              <w:spacing w:after="0"/>
            </w:pPr>
            <w:r/>
            <w:r>
              <w:rPr>
                <w:rFonts w:ascii="Aptos" w:hAnsi="Aptos"/>
                <w:b w:val="0"/>
                <w:sz w:val="14"/>
              </w:rPr>
              <w:t>phenotypes_long.csv</w:t>
            </w:r>
          </w:p>
        </w:tc>
        <w:tc>
          <w:tcPr>
            <w:tcW w:type="dxa" w:w="5083"/>
            <w:vAlign w:val="top"/>
          </w:tcPr>
          <w:p>
            <w:pPr>
              <w:spacing w:after="0"/>
            </w:pPr>
            <w:r/>
            <w:r>
              <w:rPr>
                <w:rFonts w:ascii="Aptos" w:hAnsi="Aptos"/>
                <w:b w:val="0"/>
                <w:sz w:val="14"/>
              </w:rPr>
              <w:t>Canonical latent/predicted assertions.</w:t>
            </w:r>
          </w:p>
        </w:tc>
      </w:tr>
      <w:tr>
        <w:trPr>
          <w:cantSplit/>
        </w:trPr>
        <w:tc>
          <w:tcPr>
            <w:tcW w:type="dxa" w:w="5083"/>
            <w:vAlign w:val="top"/>
          </w:tcPr>
          <w:p>
            <w:pPr>
              <w:spacing w:after="0"/>
            </w:pPr>
            <w:r/>
            <w:r>
              <w:rPr>
                <w:rFonts w:ascii="Aptos" w:hAnsi="Aptos"/>
                <w:b w:val="0"/>
                <w:sz w:val="14"/>
              </w:rPr>
              <w:t>medications.csv</w:t>
            </w:r>
          </w:p>
        </w:tc>
        <w:tc>
          <w:tcPr>
            <w:tcW w:type="dxa" w:w="5083"/>
            <w:vAlign w:val="top"/>
          </w:tcPr>
          <w:p>
            <w:pPr>
              <w:spacing w:after="0"/>
            </w:pPr>
            <w:r/>
            <w:r>
              <w:rPr>
                <w:rFonts w:ascii="Aptos" w:hAnsi="Aptos"/>
                <w:b w:val="0"/>
                <w:sz w:val="14"/>
              </w:rPr>
              <w:t>Medication exposure/trial episodes.</w:t>
            </w:r>
          </w:p>
        </w:tc>
      </w:tr>
      <w:tr>
        <w:trPr>
          <w:cantSplit/>
        </w:trPr>
        <w:tc>
          <w:tcPr>
            <w:tcW w:type="dxa" w:w="5083"/>
            <w:vAlign w:val="top"/>
          </w:tcPr>
          <w:p>
            <w:pPr>
              <w:spacing w:after="0"/>
            </w:pPr>
            <w:r/>
            <w:r>
              <w:rPr>
                <w:rFonts w:ascii="Aptos" w:hAnsi="Aptos"/>
                <w:b w:val="0"/>
                <w:sz w:val="14"/>
              </w:rPr>
              <w:t>documents.csv</w:t>
            </w:r>
          </w:p>
        </w:tc>
        <w:tc>
          <w:tcPr>
            <w:tcW w:type="dxa" w:w="5083"/>
            <w:vAlign w:val="top"/>
          </w:tcPr>
          <w:p>
            <w:pPr>
              <w:spacing w:after="0"/>
            </w:pPr>
            <w:r/>
            <w:r>
              <w:rPr>
                <w:rFonts w:ascii="Aptos" w:hAnsi="Aptos"/>
                <w:b w:val="0"/>
                <w:sz w:val="14"/>
              </w:rPr>
              <w:t>Document metadata and generation provenance.</w:t>
            </w:r>
          </w:p>
        </w:tc>
      </w:tr>
      <w:tr>
        <w:trPr>
          <w:cantSplit/>
        </w:trPr>
        <w:tc>
          <w:tcPr>
            <w:tcW w:type="dxa" w:w="5083"/>
            <w:vAlign w:val="top"/>
          </w:tcPr>
          <w:p>
            <w:pPr>
              <w:spacing w:after="0"/>
            </w:pPr>
            <w:r/>
            <w:r>
              <w:rPr>
                <w:rFonts w:ascii="Aptos" w:hAnsi="Aptos"/>
                <w:b w:val="0"/>
                <w:sz w:val="14"/>
              </w:rPr>
              <w:t>evidence.csv</w:t>
            </w:r>
          </w:p>
        </w:tc>
        <w:tc>
          <w:tcPr>
            <w:tcW w:type="dxa" w:w="5083"/>
            <w:vAlign w:val="top"/>
          </w:tcPr>
          <w:p>
            <w:pPr>
              <w:spacing w:after="0"/>
            </w:pPr>
            <w:r/>
            <w:r>
              <w:rPr>
                <w:rFonts w:ascii="Aptos" w:hAnsi="Aptos"/>
                <w:b w:val="0"/>
                <w:sz w:val="14"/>
              </w:rPr>
              <w:t>Assertion-to-document evidence spans.</w:t>
            </w:r>
          </w:p>
        </w:tc>
      </w:tr>
      <w:tr>
        <w:trPr>
          <w:cantSplit/>
        </w:trPr>
        <w:tc>
          <w:tcPr>
            <w:tcW w:type="dxa" w:w="5083"/>
            <w:vAlign w:val="top"/>
          </w:tcPr>
          <w:p>
            <w:pPr>
              <w:spacing w:after="0"/>
            </w:pPr>
            <w:r/>
            <w:r>
              <w:rPr>
                <w:rFonts w:ascii="Aptos" w:hAnsi="Aptos"/>
                <w:b w:val="0"/>
                <w:sz w:val="14"/>
              </w:rPr>
              <w:t>mappings.csv</w:t>
            </w:r>
          </w:p>
        </w:tc>
        <w:tc>
          <w:tcPr>
            <w:tcW w:type="dxa" w:w="5083"/>
            <w:vAlign w:val="top"/>
          </w:tcPr>
          <w:p>
            <w:pPr>
              <w:spacing w:after="0"/>
            </w:pPr>
            <w:r/>
            <w:r>
              <w:rPr>
                <w:rFonts w:ascii="Aptos" w:hAnsi="Aptos"/>
                <w:b w:val="0"/>
                <w:sz w:val="14"/>
              </w:rPr>
              <w:t>MedAI-to-external terminology crosswalk.</w:t>
            </w:r>
          </w:p>
        </w:tc>
      </w:tr>
      <w:tr>
        <w:trPr>
          <w:cantSplit/>
        </w:trPr>
        <w:tc>
          <w:tcPr>
            <w:tcW w:type="dxa" w:w="5083"/>
            <w:vAlign w:val="top"/>
          </w:tcPr>
          <w:p>
            <w:pPr>
              <w:spacing w:after="0"/>
            </w:pPr>
            <w:r/>
            <w:r>
              <w:rPr>
                <w:rFonts w:ascii="Aptos" w:hAnsi="Aptos"/>
                <w:b w:val="0"/>
                <w:sz w:val="14"/>
              </w:rPr>
              <w:t>rules.csv</w:t>
            </w:r>
          </w:p>
        </w:tc>
        <w:tc>
          <w:tcPr>
            <w:tcW w:type="dxa" w:w="5083"/>
            <w:vAlign w:val="top"/>
          </w:tcPr>
          <w:p>
            <w:pPr>
              <w:spacing w:after="0"/>
            </w:pPr>
            <w:r/>
            <w:r>
              <w:rPr>
                <w:rFonts w:ascii="Aptos" w:hAnsi="Aptos"/>
                <w:b w:val="0"/>
                <w:sz w:val="14"/>
              </w:rPr>
              <w:t>Machine-readable sourced/project rules.</w:t>
            </w:r>
          </w:p>
        </w:tc>
      </w:tr>
      <w:tr>
        <w:trPr>
          <w:cantSplit/>
        </w:trPr>
        <w:tc>
          <w:tcPr>
            <w:tcW w:type="dxa" w:w="5083"/>
            <w:vAlign w:val="top"/>
          </w:tcPr>
          <w:p>
            <w:pPr>
              <w:spacing w:after="0"/>
            </w:pPr>
            <w:r/>
            <w:r>
              <w:rPr>
                <w:rFonts w:ascii="Aptos" w:hAnsi="Aptos"/>
                <w:b w:val="0"/>
                <w:sz w:val="14"/>
              </w:rPr>
              <w:t>value_sets.csv</w:t>
            </w:r>
          </w:p>
        </w:tc>
        <w:tc>
          <w:tcPr>
            <w:tcW w:type="dxa" w:w="5083"/>
            <w:vAlign w:val="top"/>
          </w:tcPr>
          <w:p>
            <w:pPr>
              <w:spacing w:after="0"/>
            </w:pPr>
            <w:r/>
            <w:r>
              <w:rPr>
                <w:rFonts w:ascii="Aptos" w:hAnsi="Aptos"/>
                <w:b w:val="0"/>
                <w:sz w:val="14"/>
              </w:rPr>
              <w:t>Definitions of allowed values.</w:t>
            </w:r>
          </w:p>
        </w:tc>
      </w:tr>
      <w:tr>
        <w:trPr>
          <w:cantSplit/>
        </w:trPr>
        <w:tc>
          <w:tcPr>
            <w:tcW w:type="dxa" w:w="5083"/>
            <w:vAlign w:val="top"/>
          </w:tcPr>
          <w:p>
            <w:pPr>
              <w:spacing w:after="0"/>
            </w:pPr>
            <w:r/>
            <w:r>
              <w:rPr>
                <w:rFonts w:ascii="Aptos" w:hAnsi="Aptos"/>
                <w:b w:val="0"/>
                <w:sz w:val="14"/>
              </w:rPr>
              <w:t>wide_research_view.csv</w:t>
            </w:r>
          </w:p>
        </w:tc>
        <w:tc>
          <w:tcPr>
            <w:tcW w:type="dxa" w:w="5083"/>
            <w:vAlign w:val="top"/>
          </w:tcPr>
          <w:p>
            <w:pPr>
              <w:spacing w:after="0"/>
            </w:pPr>
            <w:r/>
            <w:r>
              <w:rPr>
                <w:rFonts w:ascii="Aptos" w:hAnsi="Aptos"/>
                <w:b w:val="0"/>
                <w:sz w:val="14"/>
              </w:rPr>
              <w:t>Derived one-row-per-patient research view.</w:t>
            </w:r>
          </w:p>
        </w:tc>
      </w:tr>
    </w:tbl>
    <w:p/>
    <w:p>
      <w:pPr>
        <w:pStyle w:val="Heading1"/>
      </w:pPr>
      <w:r>
        <w:t>10. NINDS CDE crosswalk policy</w:t>
      </w:r>
    </w:p>
    <w:p>
      <w:r>
        <w:t>A field may not be labeled as a direct NINDS CDE mapping until the exact CDE name, identifier, category, response set, revision/version and source URL have been verified. Conceptual similarity is insufficient.</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D9EAF7"/>
          </w:tcPr>
          <w:p>
            <w:pPr>
              <w:spacing w:after="0"/>
            </w:pPr>
            <w:r/>
            <w:r>
              <w:rPr>
                <w:rFonts w:ascii="Aptos" w:hAnsi="Aptos"/>
                <w:b/>
                <w:sz w:val="15"/>
              </w:rPr>
              <w:t>Mapping status</w:t>
            </w:r>
          </w:p>
        </w:tc>
        <w:tc>
          <w:tcPr>
            <w:tcW w:type="dxa" w:w="5083"/>
            <w:shd w:fill="D9EAF7"/>
          </w:tcPr>
          <w:p>
            <w:pPr>
              <w:spacing w:after="0"/>
            </w:pPr>
            <w:r/>
            <w:r>
              <w:rPr>
                <w:rFonts w:ascii="Aptos" w:hAnsi="Aptos"/>
                <w:b/>
                <w:sz w:val="15"/>
              </w:rPr>
              <w:t>Meaning</w:t>
            </w:r>
          </w:p>
        </w:tc>
      </w:tr>
      <w:tr>
        <w:trPr>
          <w:cantSplit/>
        </w:trPr>
        <w:tc>
          <w:tcPr>
            <w:tcW w:type="dxa" w:w="5083"/>
            <w:vAlign w:val="top"/>
          </w:tcPr>
          <w:p>
            <w:pPr>
              <w:spacing w:after="0"/>
            </w:pPr>
            <w:r/>
            <w:r>
              <w:rPr>
                <w:rFonts w:ascii="Aptos" w:hAnsi="Aptos"/>
                <w:b w:val="0"/>
                <w:sz w:val="14"/>
              </w:rPr>
              <w:t>verified_exact</w:t>
            </w:r>
          </w:p>
        </w:tc>
        <w:tc>
          <w:tcPr>
            <w:tcW w:type="dxa" w:w="5083"/>
            <w:vAlign w:val="top"/>
          </w:tcPr>
          <w:p>
            <w:pPr>
              <w:spacing w:after="0"/>
            </w:pPr>
            <w:r/>
            <w:r>
              <w:rPr>
                <w:rFonts w:ascii="Aptos" w:hAnsi="Aptos"/>
                <w:b w:val="0"/>
                <w:sz w:val="14"/>
              </w:rPr>
              <w:t>Exact CDE and response semantics verified.</w:t>
            </w:r>
          </w:p>
        </w:tc>
      </w:tr>
      <w:tr>
        <w:trPr>
          <w:cantSplit/>
        </w:trPr>
        <w:tc>
          <w:tcPr>
            <w:tcW w:type="dxa" w:w="5083"/>
            <w:vAlign w:val="top"/>
          </w:tcPr>
          <w:p>
            <w:pPr>
              <w:spacing w:after="0"/>
            </w:pPr>
            <w:r/>
            <w:r>
              <w:rPr>
                <w:rFonts w:ascii="Aptos" w:hAnsi="Aptos"/>
                <w:b w:val="0"/>
                <w:sz w:val="14"/>
              </w:rPr>
              <w:t>verified_related</w:t>
            </w:r>
          </w:p>
        </w:tc>
        <w:tc>
          <w:tcPr>
            <w:tcW w:type="dxa" w:w="5083"/>
            <w:vAlign w:val="top"/>
          </w:tcPr>
          <w:p>
            <w:pPr>
              <w:spacing w:after="0"/>
            </w:pPr>
            <w:r/>
            <w:r>
              <w:rPr>
                <w:rFonts w:ascii="Aptos" w:hAnsi="Aptos"/>
                <w:b w:val="0"/>
                <w:sz w:val="14"/>
              </w:rPr>
              <w:t>Related NINDS CDE but MedAI representation is not identical.</w:t>
            </w:r>
          </w:p>
        </w:tc>
      </w:tr>
      <w:tr>
        <w:trPr>
          <w:cantSplit/>
        </w:trPr>
        <w:tc>
          <w:tcPr>
            <w:tcW w:type="dxa" w:w="5083"/>
            <w:vAlign w:val="top"/>
          </w:tcPr>
          <w:p>
            <w:pPr>
              <w:spacing w:after="0"/>
            </w:pPr>
            <w:r/>
            <w:r>
              <w:rPr>
                <w:rFonts w:ascii="Aptos" w:hAnsi="Aptos"/>
                <w:b w:val="0"/>
                <w:sz w:val="14"/>
              </w:rPr>
              <w:t>pending_verification</w:t>
            </w:r>
          </w:p>
        </w:tc>
        <w:tc>
          <w:tcPr>
            <w:tcW w:type="dxa" w:w="5083"/>
            <w:vAlign w:val="top"/>
          </w:tcPr>
          <w:p>
            <w:pPr>
              <w:spacing w:after="0"/>
            </w:pPr>
            <w:r/>
            <w:r>
              <w:rPr>
                <w:rFonts w:ascii="Aptos" w:hAnsi="Aptos"/>
                <w:b w:val="0"/>
                <w:sz w:val="14"/>
              </w:rPr>
              <w:t>Likely overlap; exact CDE not yet extracted.</w:t>
            </w:r>
          </w:p>
        </w:tc>
      </w:tr>
      <w:tr>
        <w:trPr>
          <w:cantSplit/>
        </w:trPr>
        <w:tc>
          <w:tcPr>
            <w:tcW w:type="dxa" w:w="5083"/>
            <w:vAlign w:val="top"/>
          </w:tcPr>
          <w:p>
            <w:pPr>
              <w:spacing w:after="0"/>
            </w:pPr>
            <w:r/>
            <w:r>
              <w:rPr>
                <w:rFonts w:ascii="Aptos" w:hAnsi="Aptos"/>
                <w:b w:val="0"/>
                <w:sz w:val="14"/>
              </w:rPr>
              <w:t>no_direct_mapping</w:t>
            </w:r>
          </w:p>
        </w:tc>
        <w:tc>
          <w:tcPr>
            <w:tcW w:type="dxa" w:w="5083"/>
            <w:vAlign w:val="top"/>
          </w:tcPr>
          <w:p>
            <w:pPr>
              <w:spacing w:after="0"/>
            </w:pPr>
            <w:r/>
            <w:r>
              <w:rPr>
                <w:rFonts w:ascii="Aptos" w:hAnsi="Aptos"/>
                <w:b w:val="0"/>
                <w:sz w:val="14"/>
              </w:rPr>
              <w:t>MedAI-specific field with no verified direct CDE.</w:t>
            </w:r>
          </w:p>
        </w:tc>
      </w:tr>
      <w:tr>
        <w:trPr>
          <w:cantSplit/>
        </w:trPr>
        <w:tc>
          <w:tcPr>
            <w:tcW w:type="dxa" w:w="5083"/>
            <w:vAlign w:val="top"/>
          </w:tcPr>
          <w:p>
            <w:pPr>
              <w:spacing w:after="0"/>
            </w:pPr>
            <w:r/>
            <w:r>
              <w:rPr>
                <w:rFonts w:ascii="Aptos" w:hAnsi="Aptos"/>
                <w:b w:val="0"/>
                <w:sz w:val="14"/>
              </w:rPr>
              <w:t>derived</w:t>
            </w:r>
          </w:p>
        </w:tc>
        <w:tc>
          <w:tcPr>
            <w:tcW w:type="dxa" w:w="5083"/>
            <w:vAlign w:val="top"/>
          </w:tcPr>
          <w:p>
            <w:pPr>
              <w:spacing w:after="0"/>
            </w:pPr>
            <w:r/>
            <w:r>
              <w:rPr>
                <w:rFonts w:ascii="Aptos" w:hAnsi="Aptos"/>
                <w:b w:val="0"/>
                <w:sz w:val="14"/>
              </w:rPr>
              <w:t>Computed from multiple fields/rules rather than a direct CDE.</w:t>
            </w:r>
          </w:p>
        </w:tc>
      </w:tr>
    </w:tbl>
    <w:p/>
    <w:p>
      <w:pPr>
        <w:pStyle w:val="Heading1"/>
      </w:pPr>
      <w:r>
        <w:t>11. EpSO v3.1 crosswalk policy</w:t>
      </w:r>
    </w:p>
    <w:p>
      <w:r>
        <w:t>EpSO v3.1 is verified as a public BioPortal release dated 29 May 2025. Crosswalk construction is blocked until the actual v3.1 OWL/CSV artifact is inspected and the exact identifiers/predicates used by MedAI are extracted. BioPortal metadata alone is not sufficient to approve individual mappings.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D9EAF7"/>
          </w:tcPr>
          <w:p>
            <w:pPr>
              <w:spacing w:after="0"/>
            </w:pPr>
            <w:r/>
            <w:r>
              <w:rPr>
                <w:rFonts w:ascii="Aptos" w:hAnsi="Aptos"/>
                <w:b/>
                <w:sz w:val="15"/>
              </w:rPr>
              <w:t>Required crosswalk column</w:t>
            </w:r>
          </w:p>
        </w:tc>
        <w:tc>
          <w:tcPr>
            <w:tcW w:type="dxa" w:w="5083"/>
            <w:shd w:fill="D9EAF7"/>
          </w:tcPr>
          <w:p>
            <w:pPr>
              <w:spacing w:after="0"/>
            </w:pPr>
            <w:r/>
            <w:r>
              <w:rPr>
                <w:rFonts w:ascii="Aptos" w:hAnsi="Aptos"/>
                <w:b/>
                <w:sz w:val="15"/>
              </w:rPr>
              <w:t>Requirement</w:t>
            </w:r>
          </w:p>
        </w:tc>
      </w:tr>
      <w:tr>
        <w:trPr>
          <w:cantSplit/>
        </w:trPr>
        <w:tc>
          <w:tcPr>
            <w:tcW w:type="dxa" w:w="5083"/>
            <w:vAlign w:val="top"/>
          </w:tcPr>
          <w:p>
            <w:pPr>
              <w:spacing w:after="0"/>
            </w:pPr>
            <w:r/>
            <w:r>
              <w:rPr>
                <w:rFonts w:ascii="Aptos" w:hAnsi="Aptos"/>
                <w:b w:val="0"/>
                <w:sz w:val="14"/>
              </w:rPr>
              <w:t>medai_concept_id</w:t>
            </w:r>
          </w:p>
        </w:tc>
        <w:tc>
          <w:tcPr>
            <w:tcW w:type="dxa" w:w="5083"/>
            <w:vAlign w:val="top"/>
          </w:tcPr>
          <w:p>
            <w:pPr>
              <w:spacing w:after="0"/>
            </w:pPr>
            <w:r/>
            <w:r>
              <w:rPr>
                <w:rFonts w:ascii="Aptos" w:hAnsi="Aptos"/>
                <w:b w:val="0"/>
                <w:sz w:val="14"/>
              </w:rPr>
              <w:t>Stable local ID.</w:t>
            </w:r>
          </w:p>
        </w:tc>
      </w:tr>
      <w:tr>
        <w:trPr>
          <w:cantSplit/>
        </w:trPr>
        <w:tc>
          <w:tcPr>
            <w:tcW w:type="dxa" w:w="5083"/>
            <w:vAlign w:val="top"/>
          </w:tcPr>
          <w:p>
            <w:pPr>
              <w:spacing w:after="0"/>
            </w:pPr>
            <w:r/>
            <w:r>
              <w:rPr>
                <w:rFonts w:ascii="Aptos" w:hAnsi="Aptos"/>
                <w:b w:val="0"/>
                <w:sz w:val="14"/>
              </w:rPr>
              <w:t>epso_id</w:t>
            </w:r>
          </w:p>
        </w:tc>
        <w:tc>
          <w:tcPr>
            <w:tcW w:type="dxa" w:w="5083"/>
            <w:vAlign w:val="top"/>
          </w:tcPr>
          <w:p>
            <w:pPr>
              <w:spacing w:after="0"/>
            </w:pPr>
            <w:r/>
            <w:r>
              <w:rPr>
                <w:rFonts w:ascii="Aptos" w:hAnsi="Aptos"/>
                <w:b w:val="0"/>
                <w:sz w:val="14"/>
              </w:rPr>
              <w:t>Exact URI/class ID from v3.1 artifact.</w:t>
            </w:r>
          </w:p>
        </w:tc>
      </w:tr>
      <w:tr>
        <w:trPr>
          <w:cantSplit/>
        </w:trPr>
        <w:tc>
          <w:tcPr>
            <w:tcW w:type="dxa" w:w="5083"/>
            <w:vAlign w:val="top"/>
          </w:tcPr>
          <w:p>
            <w:pPr>
              <w:spacing w:after="0"/>
            </w:pPr>
            <w:r/>
            <w:r>
              <w:rPr>
                <w:rFonts w:ascii="Aptos" w:hAnsi="Aptos"/>
                <w:b w:val="0"/>
                <w:sz w:val="14"/>
              </w:rPr>
              <w:t>epso_pref_label</w:t>
            </w:r>
          </w:p>
        </w:tc>
        <w:tc>
          <w:tcPr>
            <w:tcW w:type="dxa" w:w="5083"/>
            <w:vAlign w:val="top"/>
          </w:tcPr>
          <w:p>
            <w:pPr>
              <w:spacing w:after="0"/>
            </w:pPr>
            <w:r/>
            <w:r>
              <w:rPr>
                <w:rFonts w:ascii="Aptos" w:hAnsi="Aptos"/>
                <w:b w:val="0"/>
                <w:sz w:val="14"/>
              </w:rPr>
              <w:t>Exact preferred label.</w:t>
            </w:r>
          </w:p>
        </w:tc>
      </w:tr>
      <w:tr>
        <w:trPr>
          <w:cantSplit/>
        </w:trPr>
        <w:tc>
          <w:tcPr>
            <w:tcW w:type="dxa" w:w="5083"/>
            <w:vAlign w:val="top"/>
          </w:tcPr>
          <w:p>
            <w:pPr>
              <w:spacing w:after="0"/>
            </w:pPr>
            <w:r/>
            <w:r>
              <w:rPr>
                <w:rFonts w:ascii="Aptos" w:hAnsi="Aptos"/>
                <w:b w:val="0"/>
                <w:sz w:val="14"/>
              </w:rPr>
              <w:t>mapping_relation</w:t>
            </w:r>
          </w:p>
        </w:tc>
        <w:tc>
          <w:tcPr>
            <w:tcW w:type="dxa" w:w="5083"/>
            <w:vAlign w:val="top"/>
          </w:tcPr>
          <w:p>
            <w:pPr>
              <w:spacing w:after="0"/>
            </w:pPr>
            <w:r/>
            <w:r>
              <w:rPr>
                <w:rFonts w:ascii="Aptos" w:hAnsi="Aptos"/>
                <w:b w:val="0"/>
                <w:sz w:val="14"/>
              </w:rPr>
              <w:t>exact/narrower/broader/related/local-extension/unresolved.</w:t>
            </w:r>
          </w:p>
        </w:tc>
      </w:tr>
      <w:tr>
        <w:trPr>
          <w:cantSplit/>
        </w:trPr>
        <w:tc>
          <w:tcPr>
            <w:tcW w:type="dxa" w:w="5083"/>
            <w:vAlign w:val="top"/>
          </w:tcPr>
          <w:p>
            <w:pPr>
              <w:spacing w:after="0"/>
            </w:pPr>
            <w:r/>
            <w:r>
              <w:rPr>
                <w:rFonts w:ascii="Aptos" w:hAnsi="Aptos"/>
                <w:b w:val="0"/>
                <w:sz w:val="14"/>
              </w:rPr>
              <w:t>predicate/relation</w:t>
            </w:r>
          </w:p>
        </w:tc>
        <w:tc>
          <w:tcPr>
            <w:tcW w:type="dxa" w:w="5083"/>
            <w:vAlign w:val="top"/>
          </w:tcPr>
          <w:p>
            <w:pPr>
              <w:spacing w:after="0"/>
            </w:pPr>
            <w:r/>
            <w:r>
              <w:rPr>
                <w:rFonts w:ascii="Aptos" w:hAnsi="Aptos"/>
                <w:b w:val="0"/>
                <w:sz w:val="14"/>
              </w:rPr>
              <w:t>Exact EpSO predicate where a relationship mapping is asserted.</w:t>
            </w:r>
          </w:p>
        </w:tc>
      </w:tr>
      <w:tr>
        <w:trPr>
          <w:cantSplit/>
        </w:trPr>
        <w:tc>
          <w:tcPr>
            <w:tcW w:type="dxa" w:w="5083"/>
            <w:vAlign w:val="top"/>
          </w:tcPr>
          <w:p>
            <w:pPr>
              <w:spacing w:after="0"/>
            </w:pPr>
            <w:r/>
            <w:r>
              <w:rPr>
                <w:rFonts w:ascii="Aptos" w:hAnsi="Aptos"/>
                <w:b w:val="0"/>
                <w:sz w:val="14"/>
              </w:rPr>
              <w:t>source_version</w:t>
            </w:r>
          </w:p>
        </w:tc>
        <w:tc>
          <w:tcPr>
            <w:tcW w:type="dxa" w:w="5083"/>
            <w:vAlign w:val="top"/>
          </w:tcPr>
          <w:p>
            <w:pPr>
              <w:spacing w:after="0"/>
            </w:pPr>
            <w:r/>
            <w:r>
              <w:rPr>
                <w:rFonts w:ascii="Aptos" w:hAnsi="Aptos"/>
                <w:b w:val="0"/>
                <w:sz w:val="14"/>
              </w:rPr>
              <w:t>3.1.</w:t>
            </w:r>
          </w:p>
        </w:tc>
      </w:tr>
      <w:tr>
        <w:trPr>
          <w:cantSplit/>
        </w:trPr>
        <w:tc>
          <w:tcPr>
            <w:tcW w:type="dxa" w:w="5083"/>
            <w:vAlign w:val="top"/>
          </w:tcPr>
          <w:p>
            <w:pPr>
              <w:spacing w:after="0"/>
            </w:pPr>
            <w:r/>
            <w:r>
              <w:rPr>
                <w:rFonts w:ascii="Aptos" w:hAnsi="Aptos"/>
                <w:b w:val="0"/>
                <w:sz w:val="14"/>
              </w:rPr>
              <w:t>review_status</w:t>
            </w:r>
          </w:p>
        </w:tc>
        <w:tc>
          <w:tcPr>
            <w:tcW w:type="dxa" w:w="5083"/>
            <w:vAlign w:val="top"/>
          </w:tcPr>
          <w:p>
            <w:pPr>
              <w:spacing w:after="0"/>
            </w:pPr>
            <w:r/>
            <w:r>
              <w:rPr>
                <w:rFonts w:ascii="Aptos" w:hAnsi="Aptos"/>
                <w:b w:val="0"/>
                <w:sz w:val="14"/>
              </w:rPr>
              <w:t>At minimum informatics-reviewed; clinically important mappings clinician-reviewed.</w:t>
            </w:r>
          </w:p>
        </w:tc>
      </w:tr>
      <w:tr>
        <w:trPr>
          <w:cantSplit/>
        </w:trPr>
        <w:tc>
          <w:tcPr>
            <w:tcW w:type="dxa" w:w="5083"/>
            <w:vAlign w:val="top"/>
          </w:tcPr>
          <w:p>
            <w:pPr>
              <w:spacing w:after="0"/>
            </w:pPr>
            <w:r/>
            <w:r>
              <w:rPr>
                <w:rFonts w:ascii="Aptos" w:hAnsi="Aptos"/>
                <w:b w:val="0"/>
                <w:sz w:val="14"/>
              </w:rPr>
              <w:t>evidence_note</w:t>
            </w:r>
          </w:p>
        </w:tc>
        <w:tc>
          <w:tcPr>
            <w:tcW w:type="dxa" w:w="5083"/>
            <w:vAlign w:val="top"/>
          </w:tcPr>
          <w:p>
            <w:pPr>
              <w:spacing w:after="0"/>
            </w:pPr>
            <w:r/>
            <w:r>
              <w:rPr>
                <w:rFonts w:ascii="Aptos" w:hAnsi="Aptos"/>
                <w:b w:val="0"/>
                <w:sz w:val="14"/>
              </w:rPr>
              <w:t>Why the mapping is valid.</w:t>
            </w:r>
          </w:p>
        </w:tc>
      </w:tr>
    </w:tbl>
    <w:p/>
    <w:p>
      <w:pPr>
        <w:pStyle w:val="Heading1"/>
      </w:pPr>
      <w:r>
        <w:t>12. Drug-resistant epilepsy rule</w:t>
      </w:r>
    </w:p>
    <w:p>
      <w:r>
        <w:t>DRE uses the ILAE consensus definition: failure of adequate trials of two tolerated, appropriately chosen and used antiseizure medication schedules to achieve sustained seizure freedom. MedAI must not equate two medication mentions or two discontinuations with DRE.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D9EAF7"/>
          </w:tcPr>
          <w:p>
            <w:pPr>
              <w:spacing w:after="0"/>
            </w:pPr>
            <w:r/>
            <w:r>
              <w:rPr>
                <w:rFonts w:ascii="Aptos" w:hAnsi="Aptos"/>
                <w:b/>
                <w:sz w:val="15"/>
              </w:rPr>
              <w:t>DRE state</w:t>
            </w:r>
          </w:p>
        </w:tc>
        <w:tc>
          <w:tcPr>
            <w:tcW w:type="dxa" w:w="5083"/>
            <w:shd w:fill="D9EAF7"/>
          </w:tcPr>
          <w:p>
            <w:pPr>
              <w:spacing w:after="0"/>
            </w:pPr>
            <w:r/>
            <w:r>
              <w:rPr>
                <w:rFonts w:ascii="Aptos" w:hAnsi="Aptos"/>
                <w:b/>
                <w:sz w:val="15"/>
              </w:rPr>
              <w:t>Operational rule</w:t>
            </w:r>
          </w:p>
        </w:tc>
      </w:tr>
      <w:tr>
        <w:trPr>
          <w:cantSplit/>
        </w:trPr>
        <w:tc>
          <w:tcPr>
            <w:tcW w:type="dxa" w:w="5083"/>
            <w:vAlign w:val="top"/>
          </w:tcPr>
          <w:p>
            <w:pPr>
              <w:spacing w:after="0"/>
            </w:pPr>
            <w:r/>
            <w:r>
              <w:rPr>
                <w:rFonts w:ascii="Aptos" w:hAnsi="Aptos"/>
                <w:b w:val="0"/>
                <w:sz w:val="14"/>
              </w:rPr>
              <w:t>yes</w:t>
            </w:r>
          </w:p>
        </w:tc>
        <w:tc>
          <w:tcPr>
            <w:tcW w:type="dxa" w:w="5083"/>
            <w:vAlign w:val="top"/>
          </w:tcPr>
          <w:p>
            <w:pPr>
              <w:spacing w:after="0"/>
            </w:pPr>
            <w:r/>
            <w:r>
              <w:rPr>
                <w:rFonts w:ascii="Aptos" w:hAnsi="Aptos"/>
                <w:b w:val="0"/>
                <w:sz w:val="14"/>
              </w:rPr>
              <w:t>At least two qualifying failed trials are explicitly represented in latent truth or sufficiently documented in extracted evidence.</w:t>
            </w:r>
          </w:p>
        </w:tc>
      </w:tr>
      <w:tr>
        <w:trPr>
          <w:cantSplit/>
        </w:trPr>
        <w:tc>
          <w:tcPr>
            <w:tcW w:type="dxa" w:w="5083"/>
            <w:vAlign w:val="top"/>
          </w:tcPr>
          <w:p>
            <w:pPr>
              <w:spacing w:after="0"/>
            </w:pPr>
            <w:r/>
            <w:r>
              <w:rPr>
                <w:rFonts w:ascii="Aptos" w:hAnsi="Aptos"/>
                <w:b w:val="0"/>
                <w:sz w:val="14"/>
              </w:rPr>
              <w:t>no</w:t>
            </w:r>
          </w:p>
        </w:tc>
        <w:tc>
          <w:tcPr>
            <w:tcW w:type="dxa" w:w="5083"/>
            <w:vAlign w:val="top"/>
          </w:tcPr>
          <w:p>
            <w:pPr>
              <w:spacing w:after="0"/>
            </w:pPr>
            <w:r/>
            <w:r>
              <w:rPr>
                <w:rFonts w:ascii="Aptos" w:hAnsi="Aptos"/>
                <w:b w:val="0"/>
                <w:sz w:val="14"/>
              </w:rPr>
              <w:t>Evidence supports that DRE criteria are not met at the represented time.</w:t>
            </w:r>
          </w:p>
        </w:tc>
      </w:tr>
      <w:tr>
        <w:trPr>
          <w:cantSplit/>
        </w:trPr>
        <w:tc>
          <w:tcPr>
            <w:tcW w:type="dxa" w:w="5083"/>
            <w:vAlign w:val="top"/>
          </w:tcPr>
          <w:p>
            <w:pPr>
              <w:spacing w:after="0"/>
            </w:pPr>
            <w:r/>
            <w:r>
              <w:rPr>
                <w:rFonts w:ascii="Aptos" w:hAnsi="Aptos"/>
                <w:b w:val="0"/>
                <w:sz w:val="14"/>
              </w:rPr>
              <w:t>indeterminate</w:t>
            </w:r>
          </w:p>
        </w:tc>
        <w:tc>
          <w:tcPr>
            <w:tcW w:type="dxa" w:w="5083"/>
            <w:vAlign w:val="top"/>
          </w:tcPr>
          <w:p>
            <w:pPr>
              <w:spacing w:after="0"/>
            </w:pPr>
            <w:r/>
            <w:r>
              <w:rPr>
                <w:rFonts w:ascii="Aptos" w:hAnsi="Aptos"/>
                <w:b w:val="0"/>
                <w:sz w:val="14"/>
              </w:rPr>
              <w:t>Documentation is insufficient to establish adequacy, appropriateness, tolerability, outcome, or qualifying count.</w:t>
            </w:r>
          </w:p>
        </w:tc>
      </w:tr>
    </w:tbl>
    <w:p/>
    <w:p>
      <w:pPr>
        <w:pStyle w:val="Heading1"/>
      </w:pPr>
      <w:r>
        <w:t>13. Synthetic scenario sampling design</w:t>
      </w:r>
    </w:p>
    <w:p>
      <w:r>
        <w:t>The corpus is a benchmark, not an epidemiologic prevalence sample. v1.1 therefore uses explicit benchmark weights that intentionally include difficult/rare scenarios. These weights are MEDAI-PROPOSED and must be clinician-reviewed before corpus freeze.</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shd w:fill="D9EAF7"/>
          </w:tcPr>
          <w:p>
            <w:pPr>
              <w:spacing w:after="0"/>
            </w:pPr>
            <w:r/>
            <w:r>
              <w:rPr>
                <w:rFonts w:ascii="Aptos" w:hAnsi="Aptos"/>
                <w:b/>
                <w:sz w:val="15"/>
              </w:rPr>
              <w:t>Scenario</w:t>
            </w:r>
          </w:p>
        </w:tc>
        <w:tc>
          <w:tcPr>
            <w:tcW w:type="dxa" w:w="3389"/>
            <w:shd w:fill="D9EAF7"/>
          </w:tcPr>
          <w:p>
            <w:pPr>
              <w:spacing w:after="0"/>
            </w:pPr>
            <w:r/>
            <w:r>
              <w:rPr>
                <w:rFonts w:ascii="Aptos" w:hAnsi="Aptos"/>
                <w:b/>
                <w:sz w:val="15"/>
              </w:rPr>
              <w:t>Proposed benchmark weight</w:t>
            </w:r>
          </w:p>
        </w:tc>
        <w:tc>
          <w:tcPr>
            <w:tcW w:type="dxa" w:w="3389"/>
            <w:shd w:fill="D9EAF7"/>
          </w:tcPr>
          <w:p>
            <w:pPr>
              <w:spacing w:after="0"/>
            </w:pPr>
            <w:r/>
            <w:r>
              <w:rPr>
                <w:rFonts w:ascii="Aptos" w:hAnsi="Aptos"/>
                <w:b/>
                <w:sz w:val="15"/>
              </w:rPr>
              <w:t>Purpose</w:t>
            </w:r>
          </w:p>
        </w:tc>
      </w:tr>
      <w:tr>
        <w:trPr>
          <w:cantSplit/>
        </w:trPr>
        <w:tc>
          <w:tcPr>
            <w:tcW w:type="dxa" w:w="3389"/>
            <w:vAlign w:val="top"/>
          </w:tcPr>
          <w:p>
            <w:pPr>
              <w:spacing w:after="0"/>
            </w:pPr>
            <w:r/>
            <w:r>
              <w:rPr>
                <w:rFonts w:ascii="Aptos" w:hAnsi="Aptos"/>
                <w:b w:val="0"/>
                <w:sz w:val="14"/>
              </w:rPr>
              <w:t>SC01 Focal structural - HS</w:t>
            </w:r>
          </w:p>
        </w:tc>
        <w:tc>
          <w:tcPr>
            <w:tcW w:type="dxa" w:w="3389"/>
            <w:vAlign w:val="top"/>
          </w:tcPr>
          <w:p>
            <w:pPr>
              <w:spacing w:after="0"/>
            </w:pPr>
            <w:r/>
            <w:r>
              <w:rPr>
                <w:rFonts w:ascii="Aptos" w:hAnsi="Aptos"/>
                <w:b w:val="0"/>
                <w:sz w:val="14"/>
              </w:rPr>
              <w:t>15%</w:t>
            </w:r>
          </w:p>
        </w:tc>
        <w:tc>
          <w:tcPr>
            <w:tcW w:type="dxa" w:w="3389"/>
            <w:vAlign w:val="top"/>
          </w:tcPr>
          <w:p>
            <w:pPr>
              <w:spacing w:after="0"/>
            </w:pPr>
            <w:r/>
            <w:r>
              <w:rPr>
                <w:rFonts w:ascii="Aptos" w:hAnsi="Aptos"/>
                <w:b w:val="0"/>
                <w:sz w:val="14"/>
              </w:rPr>
              <w:t>Common structural focal case.</w:t>
            </w:r>
          </w:p>
        </w:tc>
      </w:tr>
      <w:tr>
        <w:trPr>
          <w:cantSplit/>
        </w:trPr>
        <w:tc>
          <w:tcPr>
            <w:tcW w:type="dxa" w:w="3389"/>
            <w:vAlign w:val="top"/>
          </w:tcPr>
          <w:p>
            <w:pPr>
              <w:spacing w:after="0"/>
            </w:pPr>
            <w:r/>
            <w:r>
              <w:rPr>
                <w:rFonts w:ascii="Aptos" w:hAnsi="Aptos"/>
                <w:b w:val="0"/>
                <w:sz w:val="14"/>
              </w:rPr>
              <w:t>SC02 Focal structural - FCD</w:t>
            </w:r>
          </w:p>
        </w:tc>
        <w:tc>
          <w:tcPr>
            <w:tcW w:type="dxa" w:w="3389"/>
            <w:vAlign w:val="top"/>
          </w:tcPr>
          <w:p>
            <w:pPr>
              <w:spacing w:after="0"/>
            </w:pPr>
            <w:r/>
            <w:r>
              <w:rPr>
                <w:rFonts w:ascii="Aptos" w:hAnsi="Aptos"/>
                <w:b w:val="0"/>
                <w:sz w:val="14"/>
              </w:rPr>
              <w:t>10%</w:t>
            </w:r>
          </w:p>
        </w:tc>
        <w:tc>
          <w:tcPr>
            <w:tcW w:type="dxa" w:w="3389"/>
            <w:vAlign w:val="top"/>
          </w:tcPr>
          <w:p>
            <w:pPr>
              <w:spacing w:after="0"/>
            </w:pPr>
            <w:r/>
            <w:r>
              <w:rPr>
                <w:rFonts w:ascii="Aptos" w:hAnsi="Aptos"/>
                <w:b w:val="0"/>
                <w:sz w:val="14"/>
              </w:rPr>
              <w:t>Structural lesion terminology/uncertainty.</w:t>
            </w:r>
          </w:p>
        </w:tc>
      </w:tr>
      <w:tr>
        <w:trPr>
          <w:cantSplit/>
        </w:trPr>
        <w:tc>
          <w:tcPr>
            <w:tcW w:type="dxa" w:w="3389"/>
            <w:vAlign w:val="top"/>
          </w:tcPr>
          <w:p>
            <w:pPr>
              <w:spacing w:after="0"/>
            </w:pPr>
            <w:r/>
            <w:r>
              <w:rPr>
                <w:rFonts w:ascii="Aptos" w:hAnsi="Aptos"/>
                <w:b w:val="0"/>
                <w:sz w:val="14"/>
              </w:rPr>
              <w:t>SC03 MRI-negative focal</w:t>
            </w:r>
          </w:p>
        </w:tc>
        <w:tc>
          <w:tcPr>
            <w:tcW w:type="dxa" w:w="3389"/>
            <w:vAlign w:val="top"/>
          </w:tcPr>
          <w:p>
            <w:pPr>
              <w:spacing w:after="0"/>
            </w:pPr>
            <w:r/>
            <w:r>
              <w:rPr>
                <w:rFonts w:ascii="Aptos" w:hAnsi="Aptos"/>
                <w:b w:val="0"/>
                <w:sz w:val="14"/>
              </w:rPr>
              <w:t>15%</w:t>
            </w:r>
          </w:p>
        </w:tc>
        <w:tc>
          <w:tcPr>
            <w:tcW w:type="dxa" w:w="3389"/>
            <w:vAlign w:val="top"/>
          </w:tcPr>
          <w:p>
            <w:pPr>
              <w:spacing w:after="0"/>
            </w:pPr>
            <w:r/>
            <w:r>
              <w:rPr>
                <w:rFonts w:ascii="Aptos" w:hAnsi="Aptos"/>
                <w:b w:val="0"/>
                <w:sz w:val="14"/>
              </w:rPr>
              <w:t>Prevents normal-MRI shortcut.</w:t>
            </w:r>
          </w:p>
        </w:tc>
      </w:tr>
      <w:tr>
        <w:trPr>
          <w:cantSplit/>
        </w:trPr>
        <w:tc>
          <w:tcPr>
            <w:tcW w:type="dxa" w:w="3389"/>
            <w:vAlign w:val="top"/>
          </w:tcPr>
          <w:p>
            <w:pPr>
              <w:spacing w:after="0"/>
            </w:pPr>
            <w:r/>
            <w:r>
              <w:rPr>
                <w:rFonts w:ascii="Aptos" w:hAnsi="Aptos"/>
                <w:b w:val="0"/>
                <w:sz w:val="14"/>
              </w:rPr>
              <w:t>SC04 Generalized epilepsy</w:t>
            </w:r>
          </w:p>
        </w:tc>
        <w:tc>
          <w:tcPr>
            <w:tcW w:type="dxa" w:w="3389"/>
            <w:vAlign w:val="top"/>
          </w:tcPr>
          <w:p>
            <w:pPr>
              <w:spacing w:after="0"/>
            </w:pPr>
            <w:r/>
            <w:r>
              <w:rPr>
                <w:rFonts w:ascii="Aptos" w:hAnsi="Aptos"/>
                <w:b w:val="0"/>
                <w:sz w:val="14"/>
              </w:rPr>
              <w:t>15%</w:t>
            </w:r>
          </w:p>
        </w:tc>
        <w:tc>
          <w:tcPr>
            <w:tcW w:type="dxa" w:w="3389"/>
            <w:vAlign w:val="top"/>
          </w:tcPr>
          <w:p>
            <w:pPr>
              <w:spacing w:after="0"/>
            </w:pPr>
            <w:r/>
            <w:r>
              <w:rPr>
                <w:rFonts w:ascii="Aptos" w:hAnsi="Aptos"/>
                <w:b w:val="0"/>
                <w:sz w:val="14"/>
              </w:rPr>
              <w:t>Non-focal contrast.</w:t>
            </w:r>
          </w:p>
        </w:tc>
      </w:tr>
      <w:tr>
        <w:trPr>
          <w:cantSplit/>
        </w:trPr>
        <w:tc>
          <w:tcPr>
            <w:tcW w:type="dxa" w:w="3389"/>
            <w:vAlign w:val="top"/>
          </w:tcPr>
          <w:p>
            <w:pPr>
              <w:spacing w:after="0"/>
            </w:pPr>
            <w:r/>
            <w:r>
              <w:rPr>
                <w:rFonts w:ascii="Aptos" w:hAnsi="Aptos"/>
                <w:b w:val="0"/>
                <w:sz w:val="14"/>
              </w:rPr>
              <w:t>SC05 Unknown/uncertain classification</w:t>
            </w:r>
          </w:p>
        </w:tc>
        <w:tc>
          <w:tcPr>
            <w:tcW w:type="dxa" w:w="3389"/>
            <w:vAlign w:val="top"/>
          </w:tcPr>
          <w:p>
            <w:pPr>
              <w:spacing w:after="0"/>
            </w:pPr>
            <w:r/>
            <w:r>
              <w:rPr>
                <w:rFonts w:ascii="Aptos" w:hAnsi="Aptos"/>
                <w:b w:val="0"/>
                <w:sz w:val="14"/>
              </w:rPr>
              <w:t>10%</w:t>
            </w:r>
          </w:p>
        </w:tc>
        <w:tc>
          <w:tcPr>
            <w:tcW w:type="dxa" w:w="3389"/>
            <w:vAlign w:val="top"/>
          </w:tcPr>
          <w:p>
            <w:pPr>
              <w:spacing w:after="0"/>
            </w:pPr>
            <w:r/>
            <w:r>
              <w:rPr>
                <w:rFonts w:ascii="Aptos" w:hAnsi="Aptos"/>
                <w:b w:val="0"/>
                <w:sz w:val="14"/>
              </w:rPr>
              <w:t>Abstention/uncertainty.</w:t>
            </w:r>
          </w:p>
        </w:tc>
      </w:tr>
      <w:tr>
        <w:trPr>
          <w:cantSplit/>
        </w:trPr>
        <w:tc>
          <w:tcPr>
            <w:tcW w:type="dxa" w:w="3389"/>
            <w:vAlign w:val="top"/>
          </w:tcPr>
          <w:p>
            <w:pPr>
              <w:spacing w:after="0"/>
            </w:pPr>
            <w:r/>
            <w:r>
              <w:rPr>
                <w:rFonts w:ascii="Aptos" w:hAnsi="Aptos"/>
                <w:b w:val="0"/>
                <w:sz w:val="14"/>
              </w:rPr>
              <w:t>SC06 Drug-responsive</w:t>
            </w:r>
          </w:p>
        </w:tc>
        <w:tc>
          <w:tcPr>
            <w:tcW w:type="dxa" w:w="3389"/>
            <w:vAlign w:val="top"/>
          </w:tcPr>
          <w:p>
            <w:pPr>
              <w:spacing w:after="0"/>
            </w:pPr>
            <w:r/>
            <w:r>
              <w:rPr>
                <w:rFonts w:ascii="Aptos" w:hAnsi="Aptos"/>
                <w:b w:val="0"/>
                <w:sz w:val="14"/>
              </w:rPr>
              <w:t>8%</w:t>
            </w:r>
          </w:p>
        </w:tc>
        <w:tc>
          <w:tcPr>
            <w:tcW w:type="dxa" w:w="3389"/>
            <w:vAlign w:val="top"/>
          </w:tcPr>
          <w:p>
            <w:pPr>
              <w:spacing w:after="0"/>
            </w:pPr>
            <w:r/>
            <w:r>
              <w:rPr>
                <w:rFonts w:ascii="Aptos" w:hAnsi="Aptos"/>
                <w:b w:val="0"/>
                <w:sz w:val="14"/>
              </w:rPr>
              <w:t>Treatment response.</w:t>
            </w:r>
          </w:p>
        </w:tc>
      </w:tr>
      <w:tr>
        <w:trPr>
          <w:cantSplit/>
        </w:trPr>
        <w:tc>
          <w:tcPr>
            <w:tcW w:type="dxa" w:w="3389"/>
            <w:vAlign w:val="top"/>
          </w:tcPr>
          <w:p>
            <w:pPr>
              <w:spacing w:after="0"/>
            </w:pPr>
            <w:r/>
            <w:r>
              <w:rPr>
                <w:rFonts w:ascii="Aptos" w:hAnsi="Aptos"/>
                <w:b w:val="0"/>
                <w:sz w:val="14"/>
              </w:rPr>
              <w:t>SC07 Drug-resistant</w:t>
            </w:r>
          </w:p>
        </w:tc>
        <w:tc>
          <w:tcPr>
            <w:tcW w:type="dxa" w:w="3389"/>
            <w:vAlign w:val="top"/>
          </w:tcPr>
          <w:p>
            <w:pPr>
              <w:spacing w:after="0"/>
            </w:pPr>
            <w:r/>
            <w:r>
              <w:rPr>
                <w:rFonts w:ascii="Aptos" w:hAnsi="Aptos"/>
                <w:b w:val="0"/>
                <w:sz w:val="14"/>
              </w:rPr>
              <w:t>8%</w:t>
            </w:r>
          </w:p>
        </w:tc>
        <w:tc>
          <w:tcPr>
            <w:tcW w:type="dxa" w:w="3389"/>
            <w:vAlign w:val="top"/>
          </w:tcPr>
          <w:p>
            <w:pPr>
              <w:spacing w:after="0"/>
            </w:pPr>
            <w:r/>
            <w:r>
              <w:rPr>
                <w:rFonts w:ascii="Aptos" w:hAnsi="Aptos"/>
                <w:b w:val="0"/>
                <w:sz w:val="14"/>
              </w:rPr>
              <w:t>DRE rule.</w:t>
            </w:r>
          </w:p>
        </w:tc>
      </w:tr>
      <w:tr>
        <w:trPr>
          <w:cantSplit/>
        </w:trPr>
        <w:tc>
          <w:tcPr>
            <w:tcW w:type="dxa" w:w="3389"/>
            <w:vAlign w:val="top"/>
          </w:tcPr>
          <w:p>
            <w:pPr>
              <w:spacing w:after="0"/>
            </w:pPr>
            <w:r/>
            <w:r>
              <w:rPr>
                <w:rFonts w:ascii="Aptos" w:hAnsi="Aptos"/>
                <w:b w:val="0"/>
                <w:sz w:val="14"/>
              </w:rPr>
              <w:t>SC08 Medication intolerance</w:t>
            </w:r>
          </w:p>
        </w:tc>
        <w:tc>
          <w:tcPr>
            <w:tcW w:type="dxa" w:w="3389"/>
            <w:vAlign w:val="top"/>
          </w:tcPr>
          <w:p>
            <w:pPr>
              <w:spacing w:after="0"/>
            </w:pPr>
            <w:r/>
            <w:r>
              <w:rPr>
                <w:rFonts w:ascii="Aptos" w:hAnsi="Aptos"/>
                <w:b w:val="0"/>
                <w:sz w:val="14"/>
              </w:rPr>
              <w:t>5%</w:t>
            </w:r>
          </w:p>
        </w:tc>
        <w:tc>
          <w:tcPr>
            <w:tcW w:type="dxa" w:w="3389"/>
            <w:vAlign w:val="top"/>
          </w:tcPr>
          <w:p>
            <w:pPr>
              <w:spacing w:after="0"/>
            </w:pPr>
            <w:r/>
            <w:r>
              <w:rPr>
                <w:rFonts w:ascii="Aptos" w:hAnsi="Aptos"/>
                <w:b w:val="0"/>
                <w:sz w:val="14"/>
              </w:rPr>
              <w:t>Avoid false DRE counting.</w:t>
            </w:r>
          </w:p>
        </w:tc>
      </w:tr>
      <w:tr>
        <w:trPr>
          <w:cantSplit/>
        </w:trPr>
        <w:tc>
          <w:tcPr>
            <w:tcW w:type="dxa" w:w="3389"/>
            <w:vAlign w:val="top"/>
          </w:tcPr>
          <w:p>
            <w:pPr>
              <w:spacing w:after="0"/>
            </w:pPr>
            <w:r/>
            <w:r>
              <w:rPr>
                <w:rFonts w:ascii="Aptos" w:hAnsi="Aptos"/>
                <w:b w:val="0"/>
                <w:sz w:val="14"/>
              </w:rPr>
              <w:t>SC09 Discordant presurgical localization</w:t>
            </w:r>
          </w:p>
        </w:tc>
        <w:tc>
          <w:tcPr>
            <w:tcW w:type="dxa" w:w="3389"/>
            <w:vAlign w:val="top"/>
          </w:tcPr>
          <w:p>
            <w:pPr>
              <w:spacing w:after="0"/>
            </w:pPr>
            <w:r/>
            <w:r>
              <w:rPr>
                <w:rFonts w:ascii="Aptos" w:hAnsi="Aptos"/>
                <w:b w:val="0"/>
                <w:sz w:val="14"/>
              </w:rPr>
              <w:t>5%</w:t>
            </w:r>
          </w:p>
        </w:tc>
        <w:tc>
          <w:tcPr>
            <w:tcW w:type="dxa" w:w="3389"/>
            <w:vAlign w:val="top"/>
          </w:tcPr>
          <w:p>
            <w:pPr>
              <w:spacing w:after="0"/>
            </w:pPr>
            <w:r/>
            <w:r>
              <w:rPr>
                <w:rFonts w:ascii="Aptos" w:hAnsi="Aptos"/>
                <w:b w:val="0"/>
                <w:sz w:val="14"/>
              </w:rPr>
              <w:t>Conflict handling.</w:t>
            </w:r>
          </w:p>
        </w:tc>
      </w:tr>
      <w:tr>
        <w:trPr>
          <w:cantSplit/>
        </w:trPr>
        <w:tc>
          <w:tcPr>
            <w:tcW w:type="dxa" w:w="3389"/>
            <w:vAlign w:val="top"/>
          </w:tcPr>
          <w:p>
            <w:pPr>
              <w:spacing w:after="0"/>
            </w:pPr>
            <w:r/>
            <w:r>
              <w:rPr>
                <w:rFonts w:ascii="Aptos" w:hAnsi="Aptos"/>
                <w:b w:val="0"/>
                <w:sz w:val="14"/>
              </w:rPr>
              <w:t>SC10 Longitudinal improvement</w:t>
            </w:r>
          </w:p>
        </w:tc>
        <w:tc>
          <w:tcPr>
            <w:tcW w:type="dxa" w:w="3389"/>
            <w:vAlign w:val="top"/>
          </w:tcPr>
          <w:p>
            <w:pPr>
              <w:spacing w:after="0"/>
            </w:pPr>
            <w:r/>
            <w:r>
              <w:rPr>
                <w:rFonts w:ascii="Aptos" w:hAnsi="Aptos"/>
                <w:b w:val="0"/>
                <w:sz w:val="14"/>
              </w:rPr>
              <w:t>4%</w:t>
            </w:r>
          </w:p>
        </w:tc>
        <w:tc>
          <w:tcPr>
            <w:tcW w:type="dxa" w:w="3389"/>
            <w:vAlign w:val="top"/>
          </w:tcPr>
          <w:p>
            <w:pPr>
              <w:spacing w:after="0"/>
            </w:pPr>
            <w:r/>
            <w:r>
              <w:rPr>
                <w:rFonts w:ascii="Aptos" w:hAnsi="Aptos"/>
                <w:b w:val="0"/>
                <w:sz w:val="14"/>
              </w:rPr>
              <w:t>Temporal reconstruction.</w:t>
            </w:r>
          </w:p>
        </w:tc>
      </w:tr>
      <w:tr>
        <w:trPr>
          <w:cantSplit/>
        </w:trPr>
        <w:tc>
          <w:tcPr>
            <w:tcW w:type="dxa" w:w="3389"/>
            <w:vAlign w:val="top"/>
          </w:tcPr>
          <w:p>
            <w:pPr>
              <w:spacing w:after="0"/>
            </w:pPr>
            <w:r/>
            <w:r>
              <w:rPr>
                <w:rFonts w:ascii="Aptos" w:hAnsi="Aptos"/>
                <w:b w:val="0"/>
                <w:sz w:val="14"/>
              </w:rPr>
              <w:t>SC11 Post-surgical follow-up</w:t>
            </w:r>
          </w:p>
        </w:tc>
        <w:tc>
          <w:tcPr>
            <w:tcW w:type="dxa" w:w="3389"/>
            <w:vAlign w:val="top"/>
          </w:tcPr>
          <w:p>
            <w:pPr>
              <w:spacing w:after="0"/>
            </w:pPr>
            <w:r/>
            <w:r>
              <w:rPr>
                <w:rFonts w:ascii="Aptos" w:hAnsi="Aptos"/>
                <w:b w:val="0"/>
                <w:sz w:val="14"/>
              </w:rPr>
              <w:t>3%</w:t>
            </w:r>
          </w:p>
        </w:tc>
        <w:tc>
          <w:tcPr>
            <w:tcW w:type="dxa" w:w="3389"/>
            <w:vAlign w:val="top"/>
          </w:tcPr>
          <w:p>
            <w:pPr>
              <w:spacing w:after="0"/>
            </w:pPr>
            <w:r/>
            <w:r>
              <w:rPr>
                <w:rFonts w:ascii="Aptos" w:hAnsi="Aptos"/>
                <w:b w:val="0"/>
                <w:sz w:val="14"/>
              </w:rPr>
              <w:t>Procedure/outcome timing.</w:t>
            </w:r>
          </w:p>
        </w:tc>
      </w:tr>
      <w:tr>
        <w:trPr>
          <w:cantSplit/>
        </w:trPr>
        <w:tc>
          <w:tcPr>
            <w:tcW w:type="dxa" w:w="3389"/>
            <w:vAlign w:val="top"/>
          </w:tcPr>
          <w:p>
            <w:pPr>
              <w:spacing w:after="0"/>
            </w:pPr>
            <w:r/>
            <w:r>
              <w:rPr>
                <w:rFonts w:ascii="Aptos" w:hAnsi="Aptos"/>
                <w:b w:val="0"/>
                <w:sz w:val="14"/>
              </w:rPr>
              <w:t>SC12 Complex/rare mixed evidence</w:t>
            </w:r>
          </w:p>
        </w:tc>
        <w:tc>
          <w:tcPr>
            <w:tcW w:type="dxa" w:w="3389"/>
            <w:vAlign w:val="top"/>
          </w:tcPr>
          <w:p>
            <w:pPr>
              <w:spacing w:after="0"/>
            </w:pPr>
            <w:r/>
            <w:r>
              <w:rPr>
                <w:rFonts w:ascii="Aptos" w:hAnsi="Aptos"/>
                <w:b w:val="0"/>
                <w:sz w:val="14"/>
              </w:rPr>
              <w:t>2%</w:t>
            </w:r>
          </w:p>
        </w:tc>
        <w:tc>
          <w:tcPr>
            <w:tcW w:type="dxa" w:w="3389"/>
            <w:vAlign w:val="top"/>
          </w:tcPr>
          <w:p>
            <w:pPr>
              <w:spacing w:after="0"/>
            </w:pPr>
            <w:r/>
            <w:r>
              <w:rPr>
                <w:rFonts w:ascii="Aptos" w:hAnsi="Aptos"/>
                <w:b w:val="0"/>
                <w:sz w:val="14"/>
              </w:rPr>
              <w:t>Stress testing.</w:t>
            </w:r>
          </w:p>
        </w:tc>
      </w:tr>
    </w:tbl>
    <w:p/>
    <w:tbl>
      <w:tblPr>
        <w:tblStyle w:val="TableGrid"/>
        <w:tblW w:type="auto" w:w="0"/>
        <w:tblLook w:firstColumn="1" w:firstRow="1" w:lastColumn="0" w:lastRow="0" w:noHBand="0" w:noVBand="1" w:val="04A0"/>
      </w:tblPr>
      <w:tblGrid>
        <w:gridCol w:w="10166"/>
      </w:tblGrid>
      <w:tr>
        <w:trPr>
          <w:cantSplit/>
          <w:tblHeader w:val="true"/>
        </w:trPr>
        <w:tc>
          <w:tcPr>
            <w:tcW w:type="dxa" w:w="10166"/>
            <w:shd w:fill="EEF4FB"/>
          </w:tcPr>
          <w:p>
            <w:r>
              <w:rPr>
                <w:b/>
                <w:color w:val="17365D"/>
                <w:sz w:val="18"/>
              </w:rPr>
              <w:t>Sampling caveat</w:t>
              <w:br/>
            </w:r>
            <w:r>
              <w:rPr>
                <w:sz w:val="17"/>
              </w:rPr>
              <w:t>These percentages are proposed benchmark allocation only. They must not be described as clinical prevalence. A separate prevalence-informed corpus may be created later using externally sourced epidemiologic distributions.</w:t>
            </w:r>
          </w:p>
        </w:tc>
      </w:tr>
    </w:tbl>
    <w:p/>
    <w:p>
      <w:pPr>
        <w:pStyle w:val="Heading1"/>
      </w:pPr>
      <w:r>
        <w:t>14. Frozen primary benchmark endpoint</w:t>
      </w:r>
    </w:p>
    <w:p>
      <w:r>
        <w:t>To avoid post-hoc endpoint selection, v1.1 proposes a five-field primary benchmark set. It must be frozen before the locked test set is evaluated.</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D9EAF7"/>
          </w:tcPr>
          <w:p>
            <w:pPr>
              <w:spacing w:after="0"/>
            </w:pPr>
            <w:r/>
            <w:r>
              <w:rPr>
                <w:rFonts w:ascii="Aptos" w:hAnsi="Aptos"/>
                <w:b/>
                <w:sz w:val="15"/>
              </w:rPr>
              <w:t>Primary field</w:t>
            </w:r>
          </w:p>
        </w:tc>
        <w:tc>
          <w:tcPr>
            <w:tcW w:type="dxa" w:w="5083"/>
            <w:shd w:fill="D9EAF7"/>
          </w:tcPr>
          <w:p>
            <w:pPr>
              <w:spacing w:after="0"/>
            </w:pPr>
            <w:r/>
            <w:r>
              <w:rPr>
                <w:rFonts w:ascii="Aptos" w:hAnsi="Aptos"/>
                <w:b/>
                <w:sz w:val="15"/>
              </w:rPr>
              <w:t>Reason</w:t>
            </w:r>
          </w:p>
        </w:tc>
      </w:tr>
      <w:tr>
        <w:trPr>
          <w:cantSplit/>
        </w:trPr>
        <w:tc>
          <w:tcPr>
            <w:tcW w:type="dxa" w:w="5083"/>
            <w:vAlign w:val="top"/>
          </w:tcPr>
          <w:p>
            <w:pPr>
              <w:spacing w:after="0"/>
            </w:pPr>
            <w:r/>
            <w:r>
              <w:rPr>
                <w:rFonts w:ascii="Aptos" w:hAnsi="Aptos"/>
                <w:b w:val="0"/>
                <w:sz w:val="14"/>
              </w:rPr>
              <w:t>epilepsy_type</w:t>
            </w:r>
          </w:p>
        </w:tc>
        <w:tc>
          <w:tcPr>
            <w:tcW w:type="dxa" w:w="5083"/>
            <w:vAlign w:val="top"/>
          </w:tcPr>
          <w:p>
            <w:pPr>
              <w:spacing w:after="0"/>
            </w:pPr>
            <w:r/>
            <w:r>
              <w:rPr>
                <w:rFonts w:ascii="Aptos" w:hAnsi="Aptos"/>
                <w:b w:val="0"/>
                <w:sz w:val="14"/>
              </w:rPr>
              <w:t>High-level patient classification.</w:t>
            </w:r>
          </w:p>
        </w:tc>
      </w:tr>
      <w:tr>
        <w:trPr>
          <w:cantSplit/>
        </w:trPr>
        <w:tc>
          <w:tcPr>
            <w:tcW w:type="dxa" w:w="5083"/>
            <w:vAlign w:val="top"/>
          </w:tcPr>
          <w:p>
            <w:pPr>
              <w:spacing w:after="0"/>
            </w:pPr>
            <w:r/>
            <w:r>
              <w:rPr>
                <w:rFonts w:ascii="Aptos" w:hAnsi="Aptos"/>
                <w:b w:val="0"/>
                <w:sz w:val="14"/>
              </w:rPr>
              <w:t>seizure_main_class</w:t>
            </w:r>
          </w:p>
        </w:tc>
        <w:tc>
          <w:tcPr>
            <w:tcW w:type="dxa" w:w="5083"/>
            <w:vAlign w:val="top"/>
          </w:tcPr>
          <w:p>
            <w:pPr>
              <w:spacing w:after="0"/>
            </w:pPr>
            <w:r/>
            <w:r>
              <w:rPr>
                <w:rFonts w:ascii="Aptos" w:hAnsi="Aptos"/>
                <w:b w:val="0"/>
                <w:sz w:val="14"/>
              </w:rPr>
              <w:t>Direct ILAE 2025 seizure-classification target.</w:t>
            </w:r>
          </w:p>
        </w:tc>
      </w:tr>
      <w:tr>
        <w:trPr>
          <w:cantSplit/>
        </w:trPr>
        <w:tc>
          <w:tcPr>
            <w:tcW w:type="dxa" w:w="5083"/>
            <w:vAlign w:val="top"/>
          </w:tcPr>
          <w:p>
            <w:pPr>
              <w:spacing w:after="0"/>
            </w:pPr>
            <w:r/>
            <w:r>
              <w:rPr>
                <w:rFonts w:ascii="Aptos" w:hAnsi="Aptos"/>
                <w:b w:val="0"/>
                <w:sz w:val="14"/>
              </w:rPr>
              <w:t>ied_laterality</w:t>
            </w:r>
          </w:p>
        </w:tc>
        <w:tc>
          <w:tcPr>
            <w:tcW w:type="dxa" w:w="5083"/>
            <w:vAlign w:val="top"/>
          </w:tcPr>
          <w:p>
            <w:pPr>
              <w:spacing w:after="0"/>
            </w:pPr>
            <w:r/>
            <w:r>
              <w:rPr>
                <w:rFonts w:ascii="Aptos" w:hAnsi="Aptos"/>
                <w:b w:val="0"/>
                <w:sz w:val="14"/>
              </w:rPr>
              <w:t>Core EEG localization target.</w:t>
            </w:r>
          </w:p>
        </w:tc>
      </w:tr>
      <w:tr>
        <w:trPr>
          <w:cantSplit/>
        </w:trPr>
        <w:tc>
          <w:tcPr>
            <w:tcW w:type="dxa" w:w="5083"/>
            <w:vAlign w:val="top"/>
          </w:tcPr>
          <w:p>
            <w:pPr>
              <w:spacing w:after="0"/>
            </w:pPr>
            <w:r/>
            <w:r>
              <w:rPr>
                <w:rFonts w:ascii="Aptos" w:hAnsi="Aptos"/>
                <w:b w:val="0"/>
                <w:sz w:val="14"/>
              </w:rPr>
              <w:t>mri_lesion_type</w:t>
            </w:r>
          </w:p>
        </w:tc>
        <w:tc>
          <w:tcPr>
            <w:tcW w:type="dxa" w:w="5083"/>
            <w:vAlign w:val="top"/>
          </w:tcPr>
          <w:p>
            <w:pPr>
              <w:spacing w:after="0"/>
            </w:pPr>
            <w:r/>
            <w:r>
              <w:rPr>
                <w:rFonts w:ascii="Aptos" w:hAnsi="Aptos"/>
                <w:b w:val="0"/>
                <w:sz w:val="14"/>
              </w:rPr>
              <w:t>Core imaging phenotype target.</w:t>
            </w:r>
          </w:p>
        </w:tc>
      </w:tr>
      <w:tr>
        <w:trPr>
          <w:cantSplit/>
        </w:trPr>
        <w:tc>
          <w:tcPr>
            <w:tcW w:type="dxa" w:w="5083"/>
            <w:vAlign w:val="top"/>
          </w:tcPr>
          <w:p>
            <w:pPr>
              <w:spacing w:after="0"/>
            </w:pPr>
            <w:r/>
            <w:r>
              <w:rPr>
                <w:rFonts w:ascii="Aptos" w:hAnsi="Aptos"/>
                <w:b w:val="0"/>
                <w:sz w:val="14"/>
              </w:rPr>
              <w:t>drug_resistant_epilepsy</w:t>
            </w:r>
          </w:p>
        </w:tc>
        <w:tc>
          <w:tcPr>
            <w:tcW w:type="dxa" w:w="5083"/>
            <w:vAlign w:val="top"/>
          </w:tcPr>
          <w:p>
            <w:pPr>
              <w:spacing w:after="0"/>
            </w:pPr>
            <w:r/>
            <w:r>
              <w:rPr>
                <w:rFonts w:ascii="Aptos" w:hAnsi="Aptos"/>
                <w:b w:val="0"/>
                <w:sz w:val="14"/>
              </w:rPr>
              <w:t>Clinically important derived treatment phenotype.</w:t>
            </w:r>
          </w:p>
        </w:tc>
      </w:tr>
    </w:tbl>
    <w:p/>
    <w:tbl>
      <w:tblPr>
        <w:tblStyle w:val="TableGrid"/>
        <w:tblW w:type="auto" w:w="0"/>
        <w:tblLook w:firstColumn="1" w:firstRow="1" w:lastColumn="0" w:lastRow="0" w:noHBand="0" w:noVBand="1" w:val="04A0"/>
      </w:tblPr>
      <w:tblGrid>
        <w:gridCol w:w="10166"/>
      </w:tblGrid>
      <w:tr>
        <w:trPr>
          <w:cantSplit/>
          <w:tblHeader w:val="true"/>
        </w:trPr>
        <w:tc>
          <w:tcPr>
            <w:tcW w:type="dxa" w:w="10166"/>
            <w:shd w:fill="EEF4FB"/>
          </w:tcPr>
          <w:p>
            <w:r>
              <w:rPr>
                <w:b/>
                <w:color w:val="17365D"/>
                <w:sz w:val="18"/>
              </w:rPr>
              <w:t>Proposed primary endpoint</w:t>
              <w:br/>
            </w:r>
            <w:r>
              <w:rPr>
                <w:sz w:val="17"/>
              </w:rPr>
              <w:t>Macro-F1 across the five frozen primary fields, with field-level F1 and confidence intervals also reported. This is MEDAI-PROPOSED and should be finalized with the statistician before test-set lock.</w:t>
            </w:r>
          </w:p>
        </w:tc>
      </w:tr>
    </w:tbl>
    <w:p/>
    <w:p>
      <w:pPr>
        <w:pStyle w:val="Heading1"/>
      </w:pPr>
      <w:r>
        <w:t>15. Document-generation requirements</w:t>
      </w:r>
    </w:p>
    <w:p>
      <w:pPr>
        <w:pStyle w:val="ListBullet"/>
        <w:ind w:left="403" w:hanging="202"/>
      </w:pPr>
      <w:r>
        <w:t>At least three clinician-reviewed stylistic templates per core document type before large-scale generation.</w:t>
      </w:r>
    </w:p>
    <w:p>
      <w:pPr>
        <w:pStyle w:val="ListBullet"/>
        <w:ind w:left="403" w:hanging="202"/>
      </w:pPr>
      <w:r>
        <w:t>Core document types: MRI report, routine/ambulatory EEG, EMU/video-EEG report, epilepsy progress note, initial consultation, presurgical evaluation; procedure/discharge/conference notes may be added by scenario.</w:t>
      </w:r>
    </w:p>
    <w:p>
      <w:pPr>
        <w:pStyle w:val="ListBullet"/>
        <w:ind w:left="403" w:hanging="202"/>
      </w:pPr>
      <w:r>
        <w:t>Each document receives an explicit visibility set derived from latent truth.</w:t>
      </w:r>
    </w:p>
    <w:p>
      <w:pPr>
        <w:pStyle w:val="ListBullet"/>
        <w:ind w:left="403" w:hanging="202"/>
      </w:pPr>
      <w:r>
        <w:t>Generated prose may paraphrase assigned facts but may not add unsupported phenotype assertions.</w:t>
      </w:r>
    </w:p>
    <w:p>
      <w:pPr>
        <w:pStyle w:val="ListBullet"/>
        <w:ind w:left="403" w:hanging="202"/>
      </w:pPr>
      <w:r>
        <w:t>At least two independent generator families or mechanisms should be used for benchmark robustness when feasible.</w:t>
      </w:r>
    </w:p>
    <w:p>
      <w:pPr>
        <w:pStyle w:val="ListBullet"/>
        <w:ind w:left="403" w:hanging="202"/>
      </w:pPr>
      <w:r>
        <w:t>Generator identity/version is stored in documents.csv.</w:t>
      </w:r>
    </w:p>
    <w:p>
      <w:pPr>
        <w:pStyle w:val="Heading1"/>
      </w:pPr>
      <w:r>
        <w:t>16. Benchmark robustness across generators</w:t>
      </w:r>
    </w:p>
    <w:p>
      <w:r>
        <w:t>Every extraction arm should be evaluated across at least two independent document-generation families when feasible. Report overall performance and the performance delta across generators. A system whose F1 collapses on a second generator has learned style-specific artifacts rather than robust phenotype extraction.</w:t>
      </w:r>
    </w:p>
    <w:p>
      <w:pPr>
        <w:pStyle w:val="Heading1"/>
      </w:pPr>
      <w:r>
        <w:t>17. Leakage controls</w:t>
      </w:r>
    </w:p>
    <w:p>
      <w:pPr>
        <w:pStyle w:val="ListBullet"/>
        <w:ind w:left="403" w:hanging="202"/>
      </w:pPr>
      <w:r>
        <w:t>Split by patient, never by document.</w:t>
      </w:r>
    </w:p>
    <w:p>
      <w:pPr>
        <w:pStyle w:val="ListBullet"/>
        <w:ind w:left="403" w:hanging="202"/>
      </w:pPr>
      <w:r>
        <w:t>All longitudinal notes and paraphrases for one patient stay in one partition.</w:t>
      </w:r>
    </w:p>
    <w:p>
      <w:pPr>
        <w:pStyle w:val="ListBullet"/>
        <w:ind w:left="403" w:hanging="202"/>
      </w:pPr>
      <w:r>
        <w:t>No test-set patient's document may appear as a few-shot exemplar in any extraction arm.</w:t>
      </w:r>
    </w:p>
    <w:p>
      <w:pPr>
        <w:pStyle w:val="ListBullet"/>
        <w:ind w:left="403" w:hanging="202"/>
      </w:pPr>
      <w:r>
        <w:t>Few-shot examples are selected only from the development partition and frozen before test evaluation.</w:t>
      </w:r>
    </w:p>
    <w:p>
      <w:pPr>
        <w:pStyle w:val="ListBullet"/>
        <w:ind w:left="403" w:hanging="202"/>
      </w:pPr>
      <w:r>
        <w:t>Near-duplicate document detection is run before release.</w:t>
      </w:r>
    </w:p>
    <w:p>
      <w:pPr>
        <w:pStyle w:val="ListBullet"/>
        <w:ind w:left="403" w:hanging="202"/>
      </w:pPr>
      <w:r>
        <w:t>Extraction models never create benchmark labels.</w:t>
      </w:r>
    </w:p>
    <w:p>
      <w:pPr>
        <w:pStyle w:val="ListBullet"/>
        <w:ind w:left="403" w:hanging="202"/>
      </w:pPr>
      <w:r>
        <w:t>Latent truth is created before prose generation.</w:t>
      </w:r>
    </w:p>
    <w:p>
      <w:pPr>
        <w:pStyle w:val="Heading1"/>
      </w:pPr>
      <w:r>
        <w:t>18. Annotation Manual companion deliverable</w:t>
      </w:r>
    </w:p>
    <w:p>
      <w:r>
        <w:t>v1.1 requires docs/ANNOTATION_MANUAL_v1.0.md before Release Gate G7. The manual must include a definition card for every high-priority phenotype and explicit examples/counterexamples.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D9EAF7"/>
          </w:tcPr>
          <w:p>
            <w:pPr>
              <w:spacing w:after="0"/>
            </w:pPr>
            <w:r/>
            <w:r>
              <w:rPr>
                <w:rFonts w:ascii="Aptos" w:hAnsi="Aptos"/>
                <w:b/>
                <w:sz w:val="15"/>
              </w:rPr>
              <w:t>Manual entry section</w:t>
            </w:r>
          </w:p>
        </w:tc>
        <w:tc>
          <w:tcPr>
            <w:tcW w:type="dxa" w:w="5083"/>
            <w:shd w:fill="D9EAF7"/>
          </w:tcPr>
          <w:p>
            <w:pPr>
              <w:spacing w:after="0"/>
            </w:pPr>
            <w:r/>
            <w:r>
              <w:rPr>
                <w:rFonts w:ascii="Aptos" w:hAnsi="Aptos"/>
                <w:b/>
                <w:sz w:val="15"/>
              </w:rPr>
              <w:t>Required content</w:t>
            </w:r>
          </w:p>
        </w:tc>
      </w:tr>
      <w:tr>
        <w:trPr>
          <w:cantSplit/>
        </w:trPr>
        <w:tc>
          <w:tcPr>
            <w:tcW w:type="dxa" w:w="5083"/>
            <w:vAlign w:val="top"/>
          </w:tcPr>
          <w:p>
            <w:pPr>
              <w:spacing w:after="0"/>
            </w:pPr>
            <w:r/>
            <w:r>
              <w:rPr>
                <w:rFonts w:ascii="Aptos" w:hAnsi="Aptos"/>
                <w:b w:val="0"/>
                <w:sz w:val="14"/>
              </w:rPr>
              <w:t>Concept</w:t>
            </w:r>
          </w:p>
        </w:tc>
        <w:tc>
          <w:tcPr>
            <w:tcW w:type="dxa" w:w="5083"/>
            <w:vAlign w:val="top"/>
          </w:tcPr>
          <w:p>
            <w:pPr>
              <w:spacing w:after="0"/>
            </w:pPr>
            <w:r/>
            <w:r>
              <w:rPr>
                <w:rFonts w:ascii="Aptos" w:hAnsi="Aptos"/>
                <w:b w:val="0"/>
                <w:sz w:val="14"/>
              </w:rPr>
              <w:t>Variable ID, label, definition, authority/citation.</w:t>
            </w:r>
          </w:p>
        </w:tc>
      </w:tr>
      <w:tr>
        <w:trPr>
          <w:cantSplit/>
        </w:trPr>
        <w:tc>
          <w:tcPr>
            <w:tcW w:type="dxa" w:w="5083"/>
            <w:vAlign w:val="top"/>
          </w:tcPr>
          <w:p>
            <w:pPr>
              <w:spacing w:after="0"/>
            </w:pPr>
            <w:r/>
            <w:r>
              <w:rPr>
                <w:rFonts w:ascii="Aptos" w:hAnsi="Aptos"/>
                <w:b w:val="0"/>
                <w:sz w:val="14"/>
              </w:rPr>
              <w:t>Allowed values</w:t>
            </w:r>
          </w:p>
        </w:tc>
        <w:tc>
          <w:tcPr>
            <w:tcW w:type="dxa" w:w="5083"/>
            <w:vAlign w:val="top"/>
          </w:tcPr>
          <w:p>
            <w:pPr>
              <w:spacing w:after="0"/>
            </w:pPr>
            <w:r/>
            <w:r>
              <w:rPr>
                <w:rFonts w:ascii="Aptos" w:hAnsi="Aptos"/>
                <w:b w:val="0"/>
                <w:sz w:val="14"/>
              </w:rPr>
              <w:t>Definition of every category.</w:t>
            </w:r>
          </w:p>
        </w:tc>
      </w:tr>
      <w:tr>
        <w:trPr>
          <w:cantSplit/>
        </w:trPr>
        <w:tc>
          <w:tcPr>
            <w:tcW w:type="dxa" w:w="5083"/>
            <w:vAlign w:val="top"/>
          </w:tcPr>
          <w:p>
            <w:pPr>
              <w:spacing w:after="0"/>
            </w:pPr>
            <w:r/>
            <w:r>
              <w:rPr>
                <w:rFonts w:ascii="Aptos" w:hAnsi="Aptos"/>
                <w:b w:val="0"/>
                <w:sz w:val="14"/>
              </w:rPr>
              <w:t>Include</w:t>
            </w:r>
          </w:p>
        </w:tc>
        <w:tc>
          <w:tcPr>
            <w:tcW w:type="dxa" w:w="5083"/>
            <w:vAlign w:val="top"/>
          </w:tcPr>
          <w:p>
            <w:pPr>
              <w:spacing w:after="0"/>
            </w:pPr>
            <w:r/>
            <w:r>
              <w:rPr>
                <w:rFonts w:ascii="Aptos" w:hAnsi="Aptos"/>
                <w:b w:val="0"/>
                <w:sz w:val="14"/>
              </w:rPr>
              <w:t>What counts.</w:t>
            </w:r>
          </w:p>
        </w:tc>
      </w:tr>
      <w:tr>
        <w:trPr>
          <w:cantSplit/>
        </w:trPr>
        <w:tc>
          <w:tcPr>
            <w:tcW w:type="dxa" w:w="5083"/>
            <w:vAlign w:val="top"/>
          </w:tcPr>
          <w:p>
            <w:pPr>
              <w:spacing w:after="0"/>
            </w:pPr>
            <w:r/>
            <w:r>
              <w:rPr>
                <w:rFonts w:ascii="Aptos" w:hAnsi="Aptos"/>
                <w:b w:val="0"/>
                <w:sz w:val="14"/>
              </w:rPr>
              <w:t>Exclude</w:t>
            </w:r>
          </w:p>
        </w:tc>
        <w:tc>
          <w:tcPr>
            <w:tcW w:type="dxa" w:w="5083"/>
            <w:vAlign w:val="top"/>
          </w:tcPr>
          <w:p>
            <w:pPr>
              <w:spacing w:after="0"/>
            </w:pPr>
            <w:r/>
            <w:r>
              <w:rPr>
                <w:rFonts w:ascii="Aptos" w:hAnsi="Aptos"/>
                <w:b w:val="0"/>
                <w:sz w:val="14"/>
              </w:rPr>
              <w:t>What does not count.</w:t>
            </w:r>
          </w:p>
        </w:tc>
      </w:tr>
      <w:tr>
        <w:trPr>
          <w:cantSplit/>
        </w:trPr>
        <w:tc>
          <w:tcPr>
            <w:tcW w:type="dxa" w:w="5083"/>
            <w:vAlign w:val="top"/>
          </w:tcPr>
          <w:p>
            <w:pPr>
              <w:spacing w:after="0"/>
            </w:pPr>
            <w:r/>
            <w:r>
              <w:rPr>
                <w:rFonts w:ascii="Aptos" w:hAnsi="Aptos"/>
                <w:b w:val="0"/>
                <w:sz w:val="14"/>
              </w:rPr>
              <w:t>Evidence span</w:t>
            </w:r>
          </w:p>
        </w:tc>
        <w:tc>
          <w:tcPr>
            <w:tcW w:type="dxa" w:w="5083"/>
            <w:vAlign w:val="top"/>
          </w:tcPr>
          <w:p>
            <w:pPr>
              <w:spacing w:after="0"/>
            </w:pPr>
            <w:r/>
            <w:r>
              <w:rPr>
                <w:rFonts w:ascii="Aptos" w:hAnsi="Aptos"/>
                <w:b w:val="0"/>
                <w:sz w:val="14"/>
              </w:rPr>
              <w:t>Minimum/maximum evidence-selection guidance.</w:t>
            </w:r>
          </w:p>
        </w:tc>
      </w:tr>
      <w:tr>
        <w:trPr>
          <w:cantSplit/>
        </w:trPr>
        <w:tc>
          <w:tcPr>
            <w:tcW w:type="dxa" w:w="5083"/>
            <w:vAlign w:val="top"/>
          </w:tcPr>
          <w:p>
            <w:pPr>
              <w:spacing w:after="0"/>
            </w:pPr>
            <w:r/>
            <w:r>
              <w:rPr>
                <w:rFonts w:ascii="Aptos" w:hAnsi="Aptos"/>
                <w:b w:val="0"/>
                <w:sz w:val="14"/>
              </w:rPr>
              <w:t>Negation</w:t>
            </w:r>
          </w:p>
        </w:tc>
        <w:tc>
          <w:tcPr>
            <w:tcW w:type="dxa" w:w="5083"/>
            <w:vAlign w:val="top"/>
          </w:tcPr>
          <w:p>
            <w:pPr>
              <w:spacing w:after="0"/>
            </w:pPr>
            <w:r/>
            <w:r>
              <w:rPr>
                <w:rFonts w:ascii="Aptos" w:hAnsi="Aptos"/>
                <w:b w:val="0"/>
                <w:sz w:val="14"/>
              </w:rPr>
              <w:t>How absence is annotated.</w:t>
            </w:r>
          </w:p>
        </w:tc>
      </w:tr>
      <w:tr>
        <w:trPr>
          <w:cantSplit/>
        </w:trPr>
        <w:tc>
          <w:tcPr>
            <w:tcW w:type="dxa" w:w="5083"/>
            <w:vAlign w:val="top"/>
          </w:tcPr>
          <w:p>
            <w:pPr>
              <w:spacing w:after="0"/>
            </w:pPr>
            <w:r/>
            <w:r>
              <w:rPr>
                <w:rFonts w:ascii="Aptos" w:hAnsi="Aptos"/>
                <w:b w:val="0"/>
                <w:sz w:val="14"/>
              </w:rPr>
              <w:t>Uncertainty</w:t>
            </w:r>
          </w:p>
        </w:tc>
        <w:tc>
          <w:tcPr>
            <w:tcW w:type="dxa" w:w="5083"/>
            <w:vAlign w:val="top"/>
          </w:tcPr>
          <w:p>
            <w:pPr>
              <w:spacing w:after="0"/>
            </w:pPr>
            <w:r/>
            <w:r>
              <w:rPr>
                <w:rFonts w:ascii="Aptos" w:hAnsi="Aptos"/>
                <w:b w:val="0"/>
                <w:sz w:val="14"/>
              </w:rPr>
              <w:t>Possible/probable/indeterminate handling.</w:t>
            </w:r>
          </w:p>
        </w:tc>
      </w:tr>
      <w:tr>
        <w:trPr>
          <w:cantSplit/>
        </w:trPr>
        <w:tc>
          <w:tcPr>
            <w:tcW w:type="dxa" w:w="5083"/>
            <w:vAlign w:val="top"/>
          </w:tcPr>
          <w:p>
            <w:pPr>
              <w:spacing w:after="0"/>
            </w:pPr>
            <w:r/>
            <w:r>
              <w:rPr>
                <w:rFonts w:ascii="Aptos" w:hAnsi="Aptos"/>
                <w:b w:val="0"/>
                <w:sz w:val="14"/>
              </w:rPr>
              <w:t>Temporality</w:t>
            </w:r>
          </w:p>
        </w:tc>
        <w:tc>
          <w:tcPr>
            <w:tcW w:type="dxa" w:w="5083"/>
            <w:vAlign w:val="top"/>
          </w:tcPr>
          <w:p>
            <w:pPr>
              <w:spacing w:after="0"/>
            </w:pPr>
            <w:r/>
            <w:r>
              <w:rPr>
                <w:rFonts w:ascii="Aptos" w:hAnsi="Aptos"/>
                <w:b w:val="0"/>
                <w:sz w:val="14"/>
              </w:rPr>
              <w:t>Historical/current/planned/resolved rules.</w:t>
            </w:r>
          </w:p>
        </w:tc>
      </w:tr>
      <w:tr>
        <w:trPr>
          <w:cantSplit/>
        </w:trPr>
        <w:tc>
          <w:tcPr>
            <w:tcW w:type="dxa" w:w="5083"/>
            <w:vAlign w:val="top"/>
          </w:tcPr>
          <w:p>
            <w:pPr>
              <w:spacing w:after="0"/>
            </w:pPr>
            <w:r/>
            <w:r>
              <w:rPr>
                <w:rFonts w:ascii="Aptos" w:hAnsi="Aptos"/>
                <w:b w:val="0"/>
                <w:sz w:val="14"/>
              </w:rPr>
              <w:t>Laterality</w:t>
            </w:r>
          </w:p>
        </w:tc>
        <w:tc>
          <w:tcPr>
            <w:tcW w:type="dxa" w:w="5083"/>
            <w:vAlign w:val="top"/>
          </w:tcPr>
          <w:p>
            <w:pPr>
              <w:spacing w:after="0"/>
            </w:pPr>
            <w:r/>
            <w:r>
              <w:rPr>
                <w:rFonts w:ascii="Aptos" w:hAnsi="Aptos"/>
                <w:b w:val="0"/>
                <w:sz w:val="14"/>
              </w:rPr>
              <w:t>Normalization rules.</w:t>
            </w:r>
          </w:p>
        </w:tc>
      </w:tr>
      <w:tr>
        <w:trPr>
          <w:cantSplit/>
        </w:trPr>
        <w:tc>
          <w:tcPr>
            <w:tcW w:type="dxa" w:w="5083"/>
            <w:vAlign w:val="top"/>
          </w:tcPr>
          <w:p>
            <w:pPr>
              <w:spacing w:after="0"/>
            </w:pPr>
            <w:r/>
            <w:r>
              <w:rPr>
                <w:rFonts w:ascii="Aptos" w:hAnsi="Aptos"/>
                <w:b w:val="0"/>
                <w:sz w:val="14"/>
              </w:rPr>
              <w:t>Multiple values</w:t>
            </w:r>
          </w:p>
        </w:tc>
        <w:tc>
          <w:tcPr>
            <w:tcW w:type="dxa" w:w="5083"/>
            <w:vAlign w:val="top"/>
          </w:tcPr>
          <w:p>
            <w:pPr>
              <w:spacing w:after="0"/>
            </w:pPr>
            <w:r/>
            <w:r>
              <w:rPr>
                <w:rFonts w:ascii="Aptos" w:hAnsi="Aptos"/>
                <w:b w:val="0"/>
                <w:sz w:val="14"/>
              </w:rPr>
              <w:t>When repeated/multi-label assertions are allowed.</w:t>
            </w:r>
          </w:p>
        </w:tc>
      </w:tr>
      <w:tr>
        <w:trPr>
          <w:cantSplit/>
        </w:trPr>
        <w:tc>
          <w:tcPr>
            <w:tcW w:type="dxa" w:w="5083"/>
            <w:vAlign w:val="top"/>
          </w:tcPr>
          <w:p>
            <w:pPr>
              <w:spacing w:after="0"/>
            </w:pPr>
            <w:r/>
            <w:r>
              <w:rPr>
                <w:rFonts w:ascii="Aptos" w:hAnsi="Aptos"/>
                <w:b w:val="0"/>
                <w:sz w:val="14"/>
              </w:rPr>
              <w:t>Examples</w:t>
            </w:r>
          </w:p>
        </w:tc>
        <w:tc>
          <w:tcPr>
            <w:tcW w:type="dxa" w:w="5083"/>
            <w:vAlign w:val="top"/>
          </w:tcPr>
          <w:p>
            <w:pPr>
              <w:spacing w:after="0"/>
            </w:pPr>
            <w:r/>
            <w:r>
              <w:rPr>
                <w:rFonts w:ascii="Aptos" w:hAnsi="Aptos"/>
                <w:b w:val="0"/>
                <w:sz w:val="14"/>
              </w:rPr>
              <w:t>At least 3 positive examples for priority fields.</w:t>
            </w:r>
          </w:p>
        </w:tc>
      </w:tr>
      <w:tr>
        <w:trPr>
          <w:cantSplit/>
        </w:trPr>
        <w:tc>
          <w:tcPr>
            <w:tcW w:type="dxa" w:w="5083"/>
            <w:vAlign w:val="top"/>
          </w:tcPr>
          <w:p>
            <w:pPr>
              <w:spacing w:after="0"/>
            </w:pPr>
            <w:r/>
            <w:r>
              <w:rPr>
                <w:rFonts w:ascii="Aptos" w:hAnsi="Aptos"/>
                <w:b w:val="0"/>
                <w:sz w:val="14"/>
              </w:rPr>
              <w:t>Counterexamples</w:t>
            </w:r>
          </w:p>
        </w:tc>
        <w:tc>
          <w:tcPr>
            <w:tcW w:type="dxa" w:w="5083"/>
            <w:vAlign w:val="top"/>
          </w:tcPr>
          <w:p>
            <w:pPr>
              <w:spacing w:after="0"/>
            </w:pPr>
            <w:r/>
            <w:r>
              <w:rPr>
                <w:rFonts w:ascii="Aptos" w:hAnsi="Aptos"/>
                <w:b w:val="0"/>
                <w:sz w:val="14"/>
              </w:rPr>
              <w:t>At least 2 confusing non-examples.</w:t>
            </w:r>
          </w:p>
        </w:tc>
      </w:tr>
      <w:tr>
        <w:trPr>
          <w:cantSplit/>
        </w:trPr>
        <w:tc>
          <w:tcPr>
            <w:tcW w:type="dxa" w:w="5083"/>
            <w:vAlign w:val="top"/>
          </w:tcPr>
          <w:p>
            <w:pPr>
              <w:spacing w:after="0"/>
            </w:pPr>
            <w:r/>
            <w:r>
              <w:rPr>
                <w:rFonts w:ascii="Aptos" w:hAnsi="Aptos"/>
                <w:b w:val="0"/>
                <w:sz w:val="14"/>
              </w:rPr>
              <w:t>Adjudication</w:t>
            </w:r>
          </w:p>
        </w:tc>
        <w:tc>
          <w:tcPr>
            <w:tcW w:type="dxa" w:w="5083"/>
            <w:vAlign w:val="top"/>
          </w:tcPr>
          <w:p>
            <w:pPr>
              <w:spacing w:after="0"/>
            </w:pPr>
            <w:r/>
            <w:r>
              <w:rPr>
                <w:rFonts w:ascii="Aptos" w:hAnsi="Aptos"/>
                <w:b w:val="0"/>
                <w:sz w:val="14"/>
              </w:rPr>
              <w:t>Escalation rule for disagreement.</w:t>
            </w:r>
          </w:p>
        </w:tc>
      </w:tr>
    </w:tbl>
    <w:p/>
    <w:p>
      <w:pPr>
        <w:pStyle w:val="Heading1"/>
      </w:pPr>
      <w:r>
        <w:t>19. Clinician validation</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D9EAF7"/>
          </w:tcPr>
          <w:p>
            <w:pPr>
              <w:spacing w:after="0"/>
            </w:pPr>
            <w:r/>
            <w:r>
              <w:rPr>
                <w:rFonts w:ascii="Aptos" w:hAnsi="Aptos"/>
                <w:b/>
                <w:sz w:val="15"/>
              </w:rPr>
              <w:t>Stage</w:t>
            </w:r>
          </w:p>
        </w:tc>
        <w:tc>
          <w:tcPr>
            <w:tcW w:type="dxa" w:w="5083"/>
            <w:shd w:fill="D9EAF7"/>
          </w:tcPr>
          <w:p>
            <w:pPr>
              <w:spacing w:after="0"/>
            </w:pPr>
            <w:r/>
            <w:r>
              <w:rPr>
                <w:rFonts w:ascii="Aptos" w:hAnsi="Aptos"/>
                <w:b/>
                <w:sz w:val="15"/>
              </w:rPr>
              <w:t>Minimum v1.1 requirement</w:t>
            </w:r>
          </w:p>
        </w:tc>
      </w:tr>
      <w:tr>
        <w:trPr>
          <w:cantSplit/>
        </w:trPr>
        <w:tc>
          <w:tcPr>
            <w:tcW w:type="dxa" w:w="5083"/>
            <w:vAlign w:val="top"/>
          </w:tcPr>
          <w:p>
            <w:pPr>
              <w:spacing w:after="0"/>
            </w:pPr>
            <w:r/>
            <w:r>
              <w:rPr>
                <w:rFonts w:ascii="Aptos" w:hAnsi="Aptos"/>
                <w:b w:val="0"/>
                <w:sz w:val="14"/>
              </w:rPr>
              <w:t>Semantic review</w:t>
            </w:r>
          </w:p>
        </w:tc>
        <w:tc>
          <w:tcPr>
            <w:tcW w:type="dxa" w:w="5083"/>
            <w:vAlign w:val="top"/>
          </w:tcPr>
          <w:p>
            <w:pPr>
              <w:spacing w:after="0"/>
            </w:pPr>
            <w:r/>
            <w:r>
              <w:rPr>
                <w:rFonts w:ascii="Aptos" w:hAnsi="Aptos"/>
                <w:b w:val="0"/>
                <w:sz w:val="14"/>
              </w:rPr>
              <w:t>Epileptologist review of high-priority variable definitions/value sets.</w:t>
            </w:r>
          </w:p>
        </w:tc>
      </w:tr>
      <w:tr>
        <w:trPr>
          <w:cantSplit/>
        </w:trPr>
        <w:tc>
          <w:tcPr>
            <w:tcW w:type="dxa" w:w="5083"/>
            <w:vAlign w:val="top"/>
          </w:tcPr>
          <w:p>
            <w:pPr>
              <w:spacing w:after="0"/>
            </w:pPr>
            <w:r/>
            <w:r>
              <w:rPr>
                <w:rFonts w:ascii="Aptos" w:hAnsi="Aptos"/>
                <w:b w:val="0"/>
                <w:sz w:val="14"/>
              </w:rPr>
              <w:t>EEG review</w:t>
            </w:r>
          </w:p>
        </w:tc>
        <w:tc>
          <w:tcPr>
            <w:tcW w:type="dxa" w:w="5083"/>
            <w:vAlign w:val="top"/>
          </w:tcPr>
          <w:p>
            <w:pPr>
              <w:spacing w:after="0"/>
            </w:pPr>
            <w:r/>
            <w:r>
              <w:rPr>
                <w:rFonts w:ascii="Aptos" w:hAnsi="Aptos"/>
                <w:b w:val="0"/>
                <w:sz w:val="14"/>
              </w:rPr>
              <w:t>EEG/epilepsy expert review of EEG subset and templates.</w:t>
            </w:r>
          </w:p>
        </w:tc>
      </w:tr>
      <w:tr>
        <w:trPr>
          <w:cantSplit/>
        </w:trPr>
        <w:tc>
          <w:tcPr>
            <w:tcW w:type="dxa" w:w="5083"/>
            <w:vAlign w:val="top"/>
          </w:tcPr>
          <w:p>
            <w:pPr>
              <w:spacing w:after="0"/>
            </w:pPr>
            <w:r/>
            <w:r>
              <w:rPr>
                <w:rFonts w:ascii="Aptos" w:hAnsi="Aptos"/>
                <w:b w:val="0"/>
                <w:sz w:val="14"/>
              </w:rPr>
              <w:t>MRI review</w:t>
            </w:r>
          </w:p>
        </w:tc>
        <w:tc>
          <w:tcPr>
            <w:tcW w:type="dxa" w:w="5083"/>
            <w:vAlign w:val="top"/>
          </w:tcPr>
          <w:p>
            <w:pPr>
              <w:spacing w:after="0"/>
            </w:pPr>
            <w:r/>
            <w:r>
              <w:rPr>
                <w:rFonts w:ascii="Aptos" w:hAnsi="Aptos"/>
                <w:b w:val="0"/>
                <w:sz w:val="14"/>
              </w:rPr>
              <w:t>Epilepsy imaging/neuro-radiology review of MRI subset and templates.</w:t>
            </w:r>
          </w:p>
        </w:tc>
      </w:tr>
      <w:tr>
        <w:trPr>
          <w:cantSplit/>
        </w:trPr>
        <w:tc>
          <w:tcPr>
            <w:tcW w:type="dxa" w:w="5083"/>
            <w:vAlign w:val="top"/>
          </w:tcPr>
          <w:p>
            <w:pPr>
              <w:spacing w:after="0"/>
            </w:pPr>
            <w:r/>
            <w:r>
              <w:rPr>
                <w:rFonts w:ascii="Aptos" w:hAnsi="Aptos"/>
                <w:b w:val="0"/>
                <w:sz w:val="14"/>
              </w:rPr>
              <w:t>Pilot realism</w:t>
            </w:r>
          </w:p>
        </w:tc>
        <w:tc>
          <w:tcPr>
            <w:tcW w:type="dxa" w:w="5083"/>
            <w:vAlign w:val="top"/>
          </w:tcPr>
          <w:p>
            <w:pPr>
              <w:spacing w:after="0"/>
            </w:pPr>
            <w:r/>
            <w:r>
              <w:rPr>
                <w:rFonts w:ascii="Aptos" w:hAnsi="Aptos"/>
                <w:b w:val="0"/>
                <w:sz w:val="14"/>
              </w:rPr>
              <w:t>Blinded review of a stratified pilot corpus.</w:t>
            </w:r>
          </w:p>
        </w:tc>
      </w:tr>
      <w:tr>
        <w:trPr>
          <w:cantSplit/>
        </w:trPr>
        <w:tc>
          <w:tcPr>
            <w:tcW w:type="dxa" w:w="5083"/>
            <w:vAlign w:val="top"/>
          </w:tcPr>
          <w:p>
            <w:pPr>
              <w:spacing w:after="0"/>
            </w:pPr>
            <w:r/>
            <w:r>
              <w:rPr>
                <w:rFonts w:ascii="Aptos" w:hAnsi="Aptos"/>
                <w:b w:val="0"/>
                <w:sz w:val="14"/>
              </w:rPr>
              <w:t>Gold subset</w:t>
            </w:r>
          </w:p>
        </w:tc>
        <w:tc>
          <w:tcPr>
            <w:tcW w:type="dxa" w:w="5083"/>
            <w:vAlign w:val="top"/>
          </w:tcPr>
          <w:p>
            <w:pPr>
              <w:spacing w:after="0"/>
            </w:pPr>
            <w:r/>
            <w:r>
              <w:rPr>
                <w:rFonts w:ascii="Aptos" w:hAnsi="Aptos"/>
                <w:b w:val="0"/>
                <w:sz w:val="14"/>
              </w:rPr>
              <w:t>At least 30 documents, stratified by scenario family, independently reviewed by 2 reviewers plus adjudication; larger sample encouraged.</w:t>
            </w:r>
          </w:p>
        </w:tc>
      </w:tr>
      <w:tr>
        <w:trPr>
          <w:cantSplit/>
        </w:trPr>
        <w:tc>
          <w:tcPr>
            <w:tcW w:type="dxa" w:w="5083"/>
            <w:vAlign w:val="top"/>
          </w:tcPr>
          <w:p>
            <w:pPr>
              <w:spacing w:after="0"/>
            </w:pPr>
            <w:r/>
            <w:r>
              <w:rPr>
                <w:rFonts w:ascii="Aptos" w:hAnsi="Aptos"/>
                <w:b w:val="0"/>
                <w:sz w:val="14"/>
              </w:rPr>
              <w:t>Real-world validation</w:t>
            </w:r>
          </w:p>
        </w:tc>
        <w:tc>
          <w:tcPr>
            <w:tcW w:type="dxa" w:w="5083"/>
            <w:vAlign w:val="top"/>
          </w:tcPr>
          <w:p>
            <w:pPr>
              <w:spacing w:after="0"/>
            </w:pPr>
            <w:r/>
            <w:r>
              <w:rPr>
                <w:rFonts w:ascii="Aptos" w:hAnsi="Aptos"/>
                <w:b w:val="0"/>
                <w:sz w:val="14"/>
              </w:rPr>
              <w:t>Separate IRB-governed clinician-adjudicated evaluation before claims about real clinical performance.</w:t>
            </w:r>
          </w:p>
        </w:tc>
      </w:tr>
    </w:tbl>
    <w:p/>
    <w:p>
      <w:pPr>
        <w:pStyle w:val="Heading1"/>
      </w:pPr>
      <w:r>
        <w:t>20. Release gates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D9EAF7"/>
          </w:tcPr>
          <w:p>
            <w:pPr>
              <w:spacing w:after="0"/>
            </w:pPr>
            <w:r/>
            <w:r>
              <w:rPr>
                <w:rFonts w:ascii="Aptos" w:hAnsi="Aptos"/>
                <w:b/>
                <w:sz w:val="15"/>
              </w:rPr>
              <w:t>Gate</w:t>
            </w:r>
          </w:p>
        </w:tc>
        <w:tc>
          <w:tcPr>
            <w:tcW w:type="dxa" w:w="5083"/>
            <w:shd w:fill="D9EAF7"/>
          </w:tcPr>
          <w:p>
            <w:pPr>
              <w:spacing w:after="0"/>
            </w:pPr>
            <w:r/>
            <w:r>
              <w:rPr>
                <w:rFonts w:ascii="Aptos" w:hAnsi="Aptos"/>
                <w:b/>
                <w:sz w:val="15"/>
              </w:rPr>
              <w:t>Pass condition</w:t>
            </w:r>
          </w:p>
        </w:tc>
      </w:tr>
      <w:tr>
        <w:trPr>
          <w:cantSplit/>
        </w:trPr>
        <w:tc>
          <w:tcPr>
            <w:tcW w:type="dxa" w:w="5083"/>
            <w:vAlign w:val="top"/>
          </w:tcPr>
          <w:p>
            <w:pPr>
              <w:spacing w:after="0"/>
            </w:pPr>
            <w:r/>
            <w:r>
              <w:rPr>
                <w:rFonts w:ascii="Aptos" w:hAnsi="Aptos"/>
                <w:b w:val="0"/>
                <w:sz w:val="14"/>
              </w:rPr>
              <w:t>G1 Source freeze</w:t>
            </w:r>
          </w:p>
        </w:tc>
        <w:tc>
          <w:tcPr>
            <w:tcW w:type="dxa" w:w="5083"/>
            <w:vAlign w:val="top"/>
          </w:tcPr>
          <w:p>
            <w:pPr>
              <w:spacing w:after="0"/>
            </w:pPr>
            <w:r/>
            <w:r>
              <w:rPr>
                <w:rFonts w:ascii="Aptos" w:hAnsi="Aptos"/>
                <w:b w:val="0"/>
                <w:sz w:val="14"/>
              </w:rPr>
              <w:t>Every external source has version/date/citation/license note.</w:t>
            </w:r>
          </w:p>
        </w:tc>
      </w:tr>
      <w:tr>
        <w:trPr>
          <w:cantSplit/>
        </w:trPr>
        <w:tc>
          <w:tcPr>
            <w:tcW w:type="dxa" w:w="5083"/>
            <w:vAlign w:val="top"/>
          </w:tcPr>
          <w:p>
            <w:pPr>
              <w:spacing w:after="0"/>
            </w:pPr>
            <w:r/>
            <w:r>
              <w:rPr>
                <w:rFonts w:ascii="Aptos" w:hAnsi="Aptos"/>
                <w:b w:val="0"/>
                <w:sz w:val="14"/>
              </w:rPr>
              <w:t>G2 Semantic dictionary freeze</w:t>
            </w:r>
          </w:p>
        </w:tc>
        <w:tc>
          <w:tcPr>
            <w:tcW w:type="dxa" w:w="5083"/>
            <w:vAlign w:val="top"/>
          </w:tcPr>
          <w:p>
            <w:pPr>
              <w:spacing w:after="0"/>
            </w:pPr>
            <w:r/>
            <w:r>
              <w:rPr>
                <w:rFonts w:ascii="Aptos" w:hAnsi="Aptos"/>
                <w:b w:val="0"/>
                <w:sz w:val="14"/>
              </w:rPr>
              <w:t>Definitions and value definitions complete for v1.1 priority fields.</w:t>
            </w:r>
          </w:p>
        </w:tc>
      </w:tr>
      <w:tr>
        <w:trPr>
          <w:cantSplit/>
        </w:trPr>
        <w:tc>
          <w:tcPr>
            <w:tcW w:type="dxa" w:w="5083"/>
            <w:vAlign w:val="top"/>
          </w:tcPr>
          <w:p>
            <w:pPr>
              <w:spacing w:after="0"/>
            </w:pPr>
            <w:r/>
            <w:r>
              <w:rPr>
                <w:rFonts w:ascii="Aptos" w:hAnsi="Aptos"/>
                <w:b w:val="0"/>
                <w:sz w:val="14"/>
              </w:rPr>
              <w:t>G3 Mapping verification</w:t>
            </w:r>
          </w:p>
        </w:tc>
        <w:tc>
          <w:tcPr>
            <w:tcW w:type="dxa" w:w="5083"/>
            <w:vAlign w:val="top"/>
          </w:tcPr>
          <w:p>
            <w:pPr>
              <w:spacing w:after="0"/>
            </w:pPr>
            <w:r/>
            <w:r>
              <w:rPr>
                <w:rFonts w:ascii="Aptos" w:hAnsi="Aptos"/>
                <w:b w:val="0"/>
                <w:sz w:val="14"/>
              </w:rPr>
              <w:t>No fabricated external IDs; unresolved mappings explicit.</w:t>
            </w:r>
          </w:p>
        </w:tc>
      </w:tr>
      <w:tr>
        <w:trPr>
          <w:cantSplit/>
        </w:trPr>
        <w:tc>
          <w:tcPr>
            <w:tcW w:type="dxa" w:w="5083"/>
            <w:vAlign w:val="top"/>
          </w:tcPr>
          <w:p>
            <w:pPr>
              <w:spacing w:after="0"/>
            </w:pPr>
            <w:r/>
            <w:r>
              <w:rPr>
                <w:rFonts w:ascii="Aptos" w:hAnsi="Aptos"/>
                <w:b w:val="0"/>
                <w:sz w:val="14"/>
              </w:rPr>
              <w:t>G4 ILAE-2025 migration review</w:t>
            </w:r>
          </w:p>
        </w:tc>
        <w:tc>
          <w:tcPr>
            <w:tcW w:type="dxa" w:w="5083"/>
            <w:vAlign w:val="top"/>
          </w:tcPr>
          <w:p>
            <w:pPr>
              <w:spacing w:after="0"/>
            </w:pPr>
            <w:r/>
            <w:r>
              <w:rPr>
                <w:rFonts w:ascii="Aptos" w:hAnsi="Aptos"/>
                <w:b w:val="0"/>
                <w:sz w:val="14"/>
              </w:rPr>
              <w:t>2017→2025 seizure terminology delta documented and code/schema updated.</w:t>
            </w:r>
          </w:p>
        </w:tc>
      </w:tr>
      <w:tr>
        <w:trPr>
          <w:cantSplit/>
        </w:trPr>
        <w:tc>
          <w:tcPr>
            <w:tcW w:type="dxa" w:w="5083"/>
            <w:vAlign w:val="top"/>
          </w:tcPr>
          <w:p>
            <w:pPr>
              <w:spacing w:after="0"/>
            </w:pPr>
            <w:r/>
            <w:r>
              <w:rPr>
                <w:rFonts w:ascii="Aptos" w:hAnsi="Aptos"/>
                <w:b w:val="0"/>
                <w:sz w:val="14"/>
              </w:rPr>
              <w:t>G5 Rule review</w:t>
            </w:r>
          </w:p>
        </w:tc>
        <w:tc>
          <w:tcPr>
            <w:tcW w:type="dxa" w:w="5083"/>
            <w:vAlign w:val="top"/>
          </w:tcPr>
          <w:p>
            <w:pPr>
              <w:spacing w:after="0"/>
            </w:pPr>
            <w:r/>
            <w:r>
              <w:rPr>
                <w:rFonts w:ascii="Aptos" w:hAnsi="Aptos"/>
                <w:b w:val="0"/>
                <w:sz w:val="14"/>
              </w:rPr>
              <w:t>Every hard rule has authority or MEDAI-PROPOSED label.</w:t>
            </w:r>
          </w:p>
        </w:tc>
      </w:tr>
      <w:tr>
        <w:trPr>
          <w:cantSplit/>
        </w:trPr>
        <w:tc>
          <w:tcPr>
            <w:tcW w:type="dxa" w:w="5083"/>
            <w:vAlign w:val="top"/>
          </w:tcPr>
          <w:p>
            <w:pPr>
              <w:spacing w:after="0"/>
            </w:pPr>
            <w:r/>
            <w:r>
              <w:rPr>
                <w:rFonts w:ascii="Aptos" w:hAnsi="Aptos"/>
                <w:b w:val="0"/>
                <w:sz w:val="14"/>
              </w:rPr>
              <w:t>G6 Generator stress test</w:t>
            </w:r>
          </w:p>
        </w:tc>
        <w:tc>
          <w:tcPr>
            <w:tcW w:type="dxa" w:w="5083"/>
            <w:vAlign w:val="top"/>
          </w:tcPr>
          <w:p>
            <w:pPr>
              <w:spacing w:after="0"/>
            </w:pPr>
            <w:r/>
            <w:r>
              <w:rPr>
                <w:rFonts w:ascii="Aptos" w:hAnsi="Aptos"/>
                <w:b w:val="0"/>
                <w:sz w:val="14"/>
              </w:rPr>
              <w:t>At least 10,000 latent patients generated in test mode with zero hard-rule violations.</w:t>
            </w:r>
          </w:p>
        </w:tc>
      </w:tr>
      <w:tr>
        <w:trPr>
          <w:cantSplit/>
        </w:trPr>
        <w:tc>
          <w:tcPr>
            <w:tcW w:type="dxa" w:w="5083"/>
            <w:vAlign w:val="top"/>
          </w:tcPr>
          <w:p>
            <w:pPr>
              <w:spacing w:after="0"/>
            </w:pPr>
            <w:r/>
            <w:r>
              <w:rPr>
                <w:rFonts w:ascii="Aptos" w:hAnsi="Aptos"/>
                <w:b w:val="0"/>
                <w:sz w:val="14"/>
              </w:rPr>
              <w:t>G7 Annotation manual</w:t>
            </w:r>
          </w:p>
        </w:tc>
        <w:tc>
          <w:tcPr>
            <w:tcW w:type="dxa" w:w="5083"/>
            <w:vAlign w:val="top"/>
          </w:tcPr>
          <w:p>
            <w:pPr>
              <w:spacing w:after="0"/>
            </w:pPr>
            <w:r/>
            <w:r>
              <w:rPr>
                <w:rFonts w:ascii="Aptos" w:hAnsi="Aptos"/>
                <w:b w:val="0"/>
                <w:sz w:val="14"/>
              </w:rPr>
              <w:t>ANNOTATION_MANUAL_v1.0 approved for priority fields.</w:t>
            </w:r>
          </w:p>
        </w:tc>
      </w:tr>
      <w:tr>
        <w:trPr>
          <w:cantSplit/>
        </w:trPr>
        <w:tc>
          <w:tcPr>
            <w:tcW w:type="dxa" w:w="5083"/>
            <w:vAlign w:val="top"/>
          </w:tcPr>
          <w:p>
            <w:pPr>
              <w:spacing w:after="0"/>
            </w:pPr>
            <w:r/>
            <w:r>
              <w:rPr>
                <w:rFonts w:ascii="Aptos" w:hAnsi="Aptos"/>
                <w:b w:val="0"/>
                <w:sz w:val="14"/>
              </w:rPr>
              <w:t>G8 Pilot clinician review</w:t>
            </w:r>
          </w:p>
        </w:tc>
        <w:tc>
          <w:tcPr>
            <w:tcW w:type="dxa" w:w="5083"/>
            <w:vAlign w:val="top"/>
          </w:tcPr>
          <w:p>
            <w:pPr>
              <w:spacing w:after="0"/>
            </w:pPr>
            <w:r/>
            <w:r>
              <w:rPr>
                <w:rFonts w:ascii="Aptos" w:hAnsi="Aptos"/>
                <w:b w:val="0"/>
                <w:sz w:val="14"/>
              </w:rPr>
              <w:t>Pilot realism/faithfulness criteria met.</w:t>
            </w:r>
          </w:p>
        </w:tc>
      </w:tr>
      <w:tr>
        <w:trPr>
          <w:cantSplit/>
        </w:trPr>
        <w:tc>
          <w:tcPr>
            <w:tcW w:type="dxa" w:w="5083"/>
            <w:vAlign w:val="top"/>
          </w:tcPr>
          <w:p>
            <w:pPr>
              <w:spacing w:after="0"/>
            </w:pPr>
            <w:r/>
            <w:r>
              <w:rPr>
                <w:rFonts w:ascii="Aptos" w:hAnsi="Aptos"/>
                <w:b w:val="0"/>
                <w:sz w:val="14"/>
              </w:rPr>
              <w:t>G9 Leakage audit</w:t>
            </w:r>
          </w:p>
        </w:tc>
        <w:tc>
          <w:tcPr>
            <w:tcW w:type="dxa" w:w="5083"/>
            <w:vAlign w:val="top"/>
          </w:tcPr>
          <w:p>
            <w:pPr>
              <w:spacing w:after="0"/>
            </w:pPr>
            <w:r/>
            <w:r>
              <w:rPr>
                <w:rFonts w:ascii="Aptos" w:hAnsi="Aptos"/>
                <w:b w:val="0"/>
                <w:sz w:val="14"/>
              </w:rPr>
              <w:t>Patient grouping and near-duplicate checks pass.</w:t>
            </w:r>
          </w:p>
        </w:tc>
      </w:tr>
      <w:tr>
        <w:trPr>
          <w:cantSplit/>
        </w:trPr>
        <w:tc>
          <w:tcPr>
            <w:tcW w:type="dxa" w:w="5083"/>
            <w:vAlign w:val="top"/>
          </w:tcPr>
          <w:p>
            <w:pPr>
              <w:spacing w:after="0"/>
            </w:pPr>
            <w:r/>
            <w:r>
              <w:rPr>
                <w:rFonts w:ascii="Aptos" w:hAnsi="Aptos"/>
                <w:b w:val="0"/>
                <w:sz w:val="14"/>
              </w:rPr>
              <w:t>G10 Benchmark freeze</w:t>
            </w:r>
          </w:p>
        </w:tc>
        <w:tc>
          <w:tcPr>
            <w:tcW w:type="dxa" w:w="5083"/>
            <w:vAlign w:val="top"/>
          </w:tcPr>
          <w:p>
            <w:pPr>
              <w:spacing w:after="0"/>
            </w:pPr>
            <w:r/>
            <w:r>
              <w:rPr>
                <w:rFonts w:ascii="Aptos" w:hAnsi="Aptos"/>
                <w:b w:val="0"/>
                <w:sz w:val="14"/>
              </w:rPr>
              <w:t>Test set, prompts, generators, primary fields and endpoint locked.</w:t>
            </w:r>
          </w:p>
        </w:tc>
      </w:tr>
      <w:tr>
        <w:trPr>
          <w:cantSplit/>
        </w:trPr>
        <w:tc>
          <w:tcPr>
            <w:tcW w:type="dxa" w:w="5083"/>
            <w:vAlign w:val="top"/>
          </w:tcPr>
          <w:p>
            <w:pPr>
              <w:spacing w:after="0"/>
            </w:pPr>
            <w:r/>
            <w:r>
              <w:rPr>
                <w:rFonts w:ascii="Aptos" w:hAnsi="Aptos"/>
                <w:b w:val="0"/>
                <w:sz w:val="14"/>
              </w:rPr>
              <w:t>G11 Claims review</w:t>
            </w:r>
          </w:p>
        </w:tc>
        <w:tc>
          <w:tcPr>
            <w:tcW w:type="dxa" w:w="5083"/>
            <w:vAlign w:val="top"/>
          </w:tcPr>
          <w:p>
            <w:pPr>
              <w:spacing w:after="0"/>
            </w:pPr>
            <w:r/>
            <w:r>
              <w:rPr>
                <w:rFonts w:ascii="Aptos" w:hAnsi="Aptos"/>
                <w:b w:val="0"/>
                <w:sz w:val="14"/>
              </w:rPr>
              <w:t>Synthetic-only conclusions limited to benchmark/model/error/schema robustness claims.</w:t>
            </w:r>
          </w:p>
        </w:tc>
      </w:tr>
      <w:tr>
        <w:trPr>
          <w:cantSplit/>
        </w:trPr>
        <w:tc>
          <w:tcPr>
            <w:tcW w:type="dxa" w:w="5083"/>
            <w:vAlign w:val="top"/>
          </w:tcPr>
          <w:p>
            <w:pPr>
              <w:spacing w:after="0"/>
            </w:pPr>
            <w:r/>
            <w:r>
              <w:rPr>
                <w:rFonts w:ascii="Aptos" w:hAnsi="Aptos"/>
                <w:b w:val="0"/>
                <w:sz w:val="14"/>
              </w:rPr>
              <w:t>G12 Real-data gate</w:t>
            </w:r>
          </w:p>
        </w:tc>
        <w:tc>
          <w:tcPr>
            <w:tcW w:type="dxa" w:w="5083"/>
            <w:vAlign w:val="top"/>
          </w:tcPr>
          <w:p>
            <w:pPr>
              <w:spacing w:after="0"/>
            </w:pPr>
            <w:r/>
            <w:r>
              <w:rPr>
                <w:rFonts w:ascii="Aptos" w:hAnsi="Aptos"/>
                <w:b w:val="0"/>
                <w:sz w:val="14"/>
              </w:rPr>
              <w:t>Clinical-performance claims prohibited until real-data validation is complete.</w:t>
            </w:r>
          </w:p>
        </w:tc>
      </w:tr>
    </w:tbl>
    <w:p/>
    <w:p>
      <w:pPr>
        <w:pStyle w:val="Heading1"/>
      </w:pPr>
      <w:r>
        <w:t>21. Positive claims permitted from synthetic-only evaluation</w:t>
      </w:r>
    </w:p>
    <w:p>
      <w:pPr>
        <w:pStyle w:val="ListBullet"/>
        <w:ind w:left="403" w:hanging="202"/>
      </w:pPr>
      <w:r>
        <w:t>Controlled extraction-quality characterization under known latent truth.</w:t>
      </w:r>
    </w:p>
    <w:p>
      <w:pPr>
        <w:pStyle w:val="ListBullet"/>
        <w:ind w:left="403" w:hanging="202"/>
      </w:pPr>
      <w:r>
        <w:t>Comparison of models and prompting/verification strategies on the same benchmark.</w:t>
      </w:r>
    </w:p>
    <w:p>
      <w:pPr>
        <w:pStyle w:val="ListBullet"/>
        <w:ind w:left="403" w:hanging="202"/>
      </w:pPr>
      <w:r>
        <w:t>Identification and quantification of error modes such as negation, laterality, temporality and uncertainty errors.</w:t>
      </w:r>
    </w:p>
    <w:p>
      <w:pPr>
        <w:pStyle w:val="ListBullet"/>
        <w:ind w:left="403" w:hanging="202"/>
      </w:pPr>
      <w:r>
        <w:t>Structured-output/schema-compliance testing.</w:t>
      </w:r>
    </w:p>
    <w:p>
      <w:pPr>
        <w:pStyle w:val="ListBullet"/>
        <w:ind w:left="403" w:hanging="202"/>
      </w:pPr>
      <w:r>
        <w:t>Robustness across document types, difficulty tiers and generator families.</w:t>
      </w:r>
    </w:p>
    <w:p>
      <w:pPr>
        <w:pStyle w:val="ListBullet"/>
        <w:ind w:left="403" w:hanging="202"/>
      </w:pPr>
      <w:r>
        <w:t>Software/regression testing of the MedAI extraction pipeline.</w:t>
      </w:r>
    </w:p>
    <w:p>
      <w:pPr>
        <w:pStyle w:val="ListBullet"/>
        <w:ind w:left="403" w:hanging="202"/>
      </w:pPr>
      <w:r>
        <w:t>These results do not establish real-world clinical accuracy, safety, utility, or site generalization.</w:t>
      </w:r>
    </w:p>
    <w:p>
      <w:pPr>
        <w:pStyle w:val="Heading1"/>
      </w:pPr>
      <w:r>
        <w:t>22. RxNorm resolution procedure</w:t>
      </w:r>
    </w:p>
    <w:p>
      <w:pPr>
        <w:pStyle w:val="ListNumber"/>
      </w:pPr>
      <w:r>
        <w:t>Collect unique source medication strings from the schema/templates.</w:t>
      </w:r>
    </w:p>
    <w:p>
      <w:pPr>
        <w:pStyle w:val="ListNumber"/>
      </w:pPr>
      <w:r>
        <w:t>Resolve each string using the current NLM RxNorm/RxNav source or locally versioned RxNorm distribution.</w:t>
      </w:r>
    </w:p>
    <w:p>
      <w:pPr>
        <w:pStyle w:val="ListNumber"/>
      </w:pPr>
      <w:r>
        <w:t>Store source string, normalized label, RXCUI, source release/date, match method and review status.</w:t>
      </w:r>
    </w:p>
    <w:p>
      <w:pPr>
        <w:pStyle w:val="ListNumber"/>
      </w:pPr>
      <w:r>
        <w:t>Cache verified mappings in mappings/rxnorm_cache.json or equivalent versioned artifact.</w:t>
      </w:r>
    </w:p>
    <w:p>
      <w:pPr>
        <w:pStyle w:val="ListNumber"/>
      </w:pPr>
      <w:r>
        <w:t>Never substitute a guessed RXCUI when resolution fails; set mapping_status=unresolved.</w:t>
      </w:r>
    </w:p>
    <w:p>
      <w:pPr>
        <w:pStyle w:val="ListNumber"/>
      </w:pPr>
      <w:r>
        <w:t>Re-run mapping verification when the project changes RxNorm release.</w:t>
      </w:r>
    </w:p>
    <w:p>
      <w:pPr>
        <w:pStyle w:val="Heading1"/>
      </w:pPr>
      <w:r>
        <w:t>23. OMOP export strategy</w:t>
      </w:r>
    </w:p>
    <w:p>
      <w:r>
        <w:t>MedAI-native long-format assertions remain canonical. OMOP is a derived interoperability view. Evidence text, certainty, model provenance and human-review status are retained in the MedAI native store even when no lossless OMOP representation exists. Export code must document every transformation and preserve source identifiers so the OMOP record can be traced back to the native assertion.</w:t>
      </w:r>
    </w:p>
    <w:p>
      <w:pPr>
        <w:pStyle w:val="Heading1"/>
      </w:pPr>
      <w:r>
        <w:t>24. Migration from existing v0.2.1</w:t>
      </w:r>
    </w:p>
    <w:tbl>
      <w:tblPr>
        <w:tblStyle w:val="TableGrid"/>
        <w:tblW w:type="auto" w:w="0"/>
        <w:tblLook w:firstColumn="1" w:firstRow="1" w:lastColumn="0" w:lastRow="0" w:noHBand="0" w:noVBand="1" w:val="04A0"/>
      </w:tblPr>
      <w:tblGrid>
        <w:gridCol w:w="10166"/>
      </w:tblGrid>
      <w:tr>
        <w:trPr>
          <w:cantSplit/>
          <w:tblHeader w:val="true"/>
        </w:trPr>
        <w:tc>
          <w:tcPr>
            <w:tcW w:type="dxa" w:w="10166"/>
            <w:shd w:fill="EEF4FB"/>
          </w:tcPr>
          <w:p>
            <w:r>
              <w:rPr>
                <w:b/>
                <w:color w:val="17365D"/>
                <w:sz w:val="18"/>
              </w:rPr>
              <w:t>Migration status</w:t>
              <w:br/>
            </w:r>
            <w:r>
              <w:rPr>
                <w:sz w:val="17"/>
              </w:rPr>
              <w:t>The exact v0.2.1 repository schema was not provided in this conversation. Therefore this specification does not invent a migration table. Migration is a release blocker and must be generated by diffing the actual v0.2.1 schema against v1.1.</w:t>
            </w:r>
          </w:p>
        </w:tc>
      </w:tr>
    </w:tbl>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D9EAF7"/>
          </w:tcPr>
          <w:p>
            <w:pPr>
              <w:spacing w:after="0"/>
            </w:pPr>
            <w:r/>
            <w:r>
              <w:rPr>
                <w:rFonts w:ascii="Aptos" w:hAnsi="Aptos"/>
                <w:b/>
                <w:sz w:val="15"/>
              </w:rPr>
              <w:t>Migration artifact</w:t>
            </w:r>
          </w:p>
        </w:tc>
        <w:tc>
          <w:tcPr>
            <w:tcW w:type="dxa" w:w="5083"/>
            <w:shd w:fill="D9EAF7"/>
          </w:tcPr>
          <w:p>
            <w:pPr>
              <w:spacing w:after="0"/>
            </w:pPr>
            <w:r/>
            <w:r>
              <w:rPr>
                <w:rFonts w:ascii="Aptos" w:hAnsi="Aptos"/>
                <w:b/>
                <w:sz w:val="15"/>
              </w:rPr>
              <w:t>Required content</w:t>
            </w:r>
          </w:p>
        </w:tc>
      </w:tr>
      <w:tr>
        <w:trPr>
          <w:cantSplit/>
        </w:trPr>
        <w:tc>
          <w:tcPr>
            <w:tcW w:type="dxa" w:w="5083"/>
            <w:vAlign w:val="top"/>
          </w:tcPr>
          <w:p>
            <w:pPr>
              <w:spacing w:after="0"/>
            </w:pPr>
            <w:r/>
            <w:r>
              <w:rPr>
                <w:rFonts w:ascii="Aptos" w:hAnsi="Aptos"/>
                <w:b w:val="0"/>
                <w:sz w:val="14"/>
              </w:rPr>
              <w:t>migration_v0.2.1_to_v1.1.csv</w:t>
            </w:r>
          </w:p>
        </w:tc>
        <w:tc>
          <w:tcPr>
            <w:tcW w:type="dxa" w:w="5083"/>
            <w:vAlign w:val="top"/>
          </w:tcPr>
          <w:p>
            <w:pPr>
              <w:spacing w:after="0"/>
            </w:pPr>
            <w:r/>
            <w:r>
              <w:rPr>
                <w:rFonts w:ascii="Aptos" w:hAnsi="Aptos"/>
                <w:b w:val="0"/>
                <w:sz w:val="14"/>
              </w:rPr>
              <w:t>old_field, new_field, change_type, semantic_change, breaking_change, transform_rule, review_status.</w:t>
            </w:r>
          </w:p>
        </w:tc>
      </w:tr>
      <w:tr>
        <w:trPr>
          <w:cantSplit/>
        </w:trPr>
        <w:tc>
          <w:tcPr>
            <w:tcW w:type="dxa" w:w="5083"/>
            <w:vAlign w:val="top"/>
          </w:tcPr>
          <w:p>
            <w:pPr>
              <w:spacing w:after="0"/>
            </w:pPr>
            <w:r/>
            <w:r>
              <w:rPr>
                <w:rFonts w:ascii="Aptos" w:hAnsi="Aptos"/>
                <w:b w:val="0"/>
                <w:sz w:val="14"/>
              </w:rPr>
              <w:t>deprecated_fields.md</w:t>
            </w:r>
          </w:p>
        </w:tc>
        <w:tc>
          <w:tcPr>
            <w:tcW w:type="dxa" w:w="5083"/>
            <w:vAlign w:val="top"/>
          </w:tcPr>
          <w:p>
            <w:pPr>
              <w:spacing w:after="0"/>
            </w:pPr>
            <w:r/>
            <w:r>
              <w:rPr>
                <w:rFonts w:ascii="Aptos" w:hAnsi="Aptos"/>
                <w:b w:val="0"/>
                <w:sz w:val="14"/>
              </w:rPr>
              <w:t>Deprecated IDs and replacement guidance.</w:t>
            </w:r>
          </w:p>
        </w:tc>
      </w:tr>
      <w:tr>
        <w:trPr>
          <w:cantSplit/>
        </w:trPr>
        <w:tc>
          <w:tcPr>
            <w:tcW w:type="dxa" w:w="5083"/>
            <w:vAlign w:val="top"/>
          </w:tcPr>
          <w:p>
            <w:pPr>
              <w:spacing w:after="0"/>
            </w:pPr>
            <w:r/>
            <w:r>
              <w:rPr>
                <w:rFonts w:ascii="Aptos" w:hAnsi="Aptos"/>
                <w:b w:val="0"/>
                <w:sz w:val="14"/>
              </w:rPr>
              <w:t>schema_diff.md</w:t>
            </w:r>
          </w:p>
        </w:tc>
        <w:tc>
          <w:tcPr>
            <w:tcW w:type="dxa" w:w="5083"/>
            <w:vAlign w:val="top"/>
          </w:tcPr>
          <w:p>
            <w:pPr>
              <w:spacing w:after="0"/>
            </w:pPr>
            <w:r/>
            <w:r>
              <w:rPr>
                <w:rFonts w:ascii="Aptos" w:hAnsi="Aptos"/>
                <w:b w:val="0"/>
                <w:sz w:val="14"/>
              </w:rPr>
              <w:t>Added/removed/renamed/retyped fields.</w:t>
            </w:r>
          </w:p>
        </w:tc>
      </w:tr>
      <w:tr>
        <w:trPr>
          <w:cantSplit/>
        </w:trPr>
        <w:tc>
          <w:tcPr>
            <w:tcW w:type="dxa" w:w="5083"/>
            <w:vAlign w:val="top"/>
          </w:tcPr>
          <w:p>
            <w:pPr>
              <w:spacing w:after="0"/>
            </w:pPr>
            <w:r/>
            <w:r>
              <w:rPr>
                <w:rFonts w:ascii="Aptos" w:hAnsi="Aptos"/>
                <w:b w:val="0"/>
                <w:sz w:val="14"/>
              </w:rPr>
              <w:t>migration_tests/</w:t>
            </w:r>
          </w:p>
        </w:tc>
        <w:tc>
          <w:tcPr>
            <w:tcW w:type="dxa" w:w="5083"/>
            <w:vAlign w:val="top"/>
          </w:tcPr>
          <w:p>
            <w:pPr>
              <w:spacing w:after="0"/>
            </w:pPr>
            <w:r/>
            <w:r>
              <w:rPr>
                <w:rFonts w:ascii="Aptos" w:hAnsi="Aptos"/>
                <w:b w:val="0"/>
                <w:sz w:val="14"/>
              </w:rPr>
              <w:t>Fixtures proving old manifests transform deterministically.</w:t>
            </w:r>
          </w:p>
        </w:tc>
      </w:tr>
      <w:tr>
        <w:trPr>
          <w:cantSplit/>
        </w:trPr>
        <w:tc>
          <w:tcPr>
            <w:tcW w:type="dxa" w:w="5083"/>
            <w:vAlign w:val="top"/>
          </w:tcPr>
          <w:p>
            <w:pPr>
              <w:spacing w:after="0"/>
            </w:pPr>
            <w:r/>
            <w:r>
              <w:rPr>
                <w:rFonts w:ascii="Aptos" w:hAnsi="Aptos"/>
                <w:b w:val="0"/>
                <w:sz w:val="14"/>
              </w:rPr>
              <w:t>ILAE_2017_to_2025_delta.md</w:t>
            </w:r>
          </w:p>
        </w:tc>
        <w:tc>
          <w:tcPr>
            <w:tcW w:type="dxa" w:w="5083"/>
            <w:vAlign w:val="top"/>
          </w:tcPr>
          <w:p>
            <w:pPr>
              <w:spacing w:after="0"/>
            </w:pPr>
            <w:r/>
            <w:r>
              <w:rPr>
                <w:rFonts w:ascii="Aptos" w:hAnsi="Aptos"/>
                <w:b w:val="0"/>
                <w:sz w:val="14"/>
              </w:rPr>
              <w:t>Specific seizure terminology/classification changes affecting stored values.</w:t>
            </w:r>
          </w:p>
        </w:tc>
      </w:tr>
    </w:tbl>
    <w:p/>
    <w:p>
      <w:pPr>
        <w:pStyle w:val="Heading1"/>
      </w:pPr>
      <w:r>
        <w:t>25. MEDAI concept-ID convention</w:t>
      </w:r>
    </w:p>
    <w:p>
      <w:r>
        <w:t>Canonical local concept IDs use the pattern MEDAI:&lt;DOMAIN&gt;_&lt;CONCEPT&gt;. The stable ID itself is not versioned; semantic changes are tracked by schema/version metadata. Examples: MEDAI:SZ_SEIZURE_MAIN_CLASS, MEDAI:MRI_LESION_TYPE, MEDAI:TX_DRE_STATUS. IDs must never be reused for a different meaning.</w:t>
      </w:r>
    </w:p>
    <w:p>
      <w:pPr>
        <w:pStyle w:val="Heading1"/>
      </w:pPr>
      <w:r>
        <w:t>26. Repository structure</w:t>
      </w:r>
    </w:p>
    <w:p>
      <w:pPr>
        <w:pStyle w:val="CodeBlock"/>
      </w:pPr>
      <w:r>
        <w:t>medai-epilepsy-spec/</w:t>
        <w:br/>
        <w:t>├── README.md</w:t>
        <w:br/>
        <w:t>├── VERSION</w:t>
        <w:br/>
        <w:t>├── CITATION.cff</w:t>
        <w:br/>
        <w:t>├── docs/</w:t>
        <w:br/>
        <w:t>│   ├── SYSTEM_SPECIFICATION_v1.1.docx</w:t>
        <w:br/>
        <w:t>│   ├── SEMANTIC_DATA_DICTIONARY_v1.1.md</w:t>
        <w:br/>
        <w:t>│   ├── ANNOTATION_MANUAL_v1.0.md</w:t>
        <w:br/>
        <w:t>│   ├── ILAE_2017_to_2025_delta.md</w:t>
        <w:br/>
        <w:t>│   └── migration_v0.2.1_to_v1.1.md</w:t>
        <w:br/>
        <w:t>├── sources/</w:t>
        <w:br/>
        <w:t>│   ├── registry.yaml</w:t>
        <w:br/>
        <w:t>│   └── licenses.md</w:t>
        <w:br/>
        <w:t>├── schema/</w:t>
        <w:br/>
        <w:t>├── mappings/</w:t>
        <w:br/>
        <w:t>├── rules/</w:t>
        <w:br/>
        <w:t>├── synthetic/</w:t>
        <w:br/>
        <w:t>├── tests/</w:t>
        <w:br/>
        <w:t>│   ├── unit/</w:t>
        <w:br/>
        <w:t>│   ├── integration/</w:t>
        <w:br/>
        <w:t>│   ├── migration/</w:t>
        <w:br/>
        <w:t>│   └── leakage/</w:t>
        <w:br/>
        <w:t>├── validation/</w:t>
        <w:br/>
        <w:t>│   ├── clinician_review/</w:t>
        <w:br/>
        <w:t>│   └── benchmark/</w:t>
        <w:br/>
        <w:t>└── releases/</w:t>
        <w:br/>
        <w:t xml:space="preserve">    └── v1.1/</w:t>
      </w:r>
    </w:p>
    <w:p>
      <w:pPr>
        <w:pStyle w:val="Heading1"/>
      </w:pPr>
      <w:r>
        <w:t>27. Dependency-ordered implementation plan</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shd w:fill="D9EAF7"/>
          </w:tcPr>
          <w:p>
            <w:pPr>
              <w:spacing w:after="0"/>
            </w:pPr>
            <w:r/>
            <w:r>
              <w:rPr>
                <w:rFonts w:ascii="Aptos" w:hAnsi="Aptos"/>
                <w:b/>
                <w:sz w:val="15"/>
              </w:rPr>
              <w:t>Order</w:t>
            </w:r>
          </w:p>
        </w:tc>
        <w:tc>
          <w:tcPr>
            <w:tcW w:type="dxa" w:w="3389"/>
            <w:shd w:fill="D9EAF7"/>
          </w:tcPr>
          <w:p>
            <w:pPr>
              <w:spacing w:after="0"/>
            </w:pPr>
            <w:r/>
            <w:r>
              <w:rPr>
                <w:rFonts w:ascii="Aptos" w:hAnsi="Aptos"/>
                <w:b/>
                <w:sz w:val="15"/>
              </w:rPr>
              <w:t>Work item</w:t>
            </w:r>
          </w:p>
        </w:tc>
        <w:tc>
          <w:tcPr>
            <w:tcW w:type="dxa" w:w="3389"/>
            <w:shd w:fill="D9EAF7"/>
          </w:tcPr>
          <w:p>
            <w:pPr>
              <w:spacing w:after="0"/>
            </w:pPr>
            <w:r/>
            <w:r>
              <w:rPr>
                <w:rFonts w:ascii="Aptos" w:hAnsi="Aptos"/>
                <w:b/>
                <w:sz w:val="15"/>
              </w:rPr>
              <w:t>Planning estimate</w:t>
            </w:r>
          </w:p>
        </w:tc>
      </w:tr>
      <w:tr>
        <w:trPr>
          <w:cantSplit/>
        </w:trPr>
        <w:tc>
          <w:tcPr>
            <w:tcW w:type="dxa" w:w="3389"/>
            <w:vAlign w:val="top"/>
          </w:tcPr>
          <w:p>
            <w:pPr>
              <w:spacing w:after="0"/>
            </w:pPr>
            <w:r/>
            <w:r>
              <w:rPr>
                <w:rFonts w:ascii="Aptos" w:hAnsi="Aptos"/>
                <w:b w:val="0"/>
                <w:sz w:val="14"/>
              </w:rPr>
              <w:t>1</w:t>
            </w:r>
          </w:p>
        </w:tc>
        <w:tc>
          <w:tcPr>
            <w:tcW w:type="dxa" w:w="3389"/>
            <w:vAlign w:val="top"/>
          </w:tcPr>
          <w:p>
            <w:pPr>
              <w:spacing w:after="0"/>
            </w:pPr>
            <w:r/>
            <w:r>
              <w:rPr>
                <w:rFonts w:ascii="Aptos" w:hAnsi="Aptos"/>
                <w:b w:val="0"/>
                <w:sz w:val="14"/>
              </w:rPr>
              <w:t>Freeze source registry; archive exact ILAE/EpSO/NINDS/SCORE/RxNorm/RadLex artifacts and license notes.</w:t>
            </w:r>
          </w:p>
        </w:tc>
        <w:tc>
          <w:tcPr>
            <w:tcW w:type="dxa" w:w="3389"/>
            <w:vAlign w:val="top"/>
          </w:tcPr>
          <w:p>
            <w:pPr>
              <w:spacing w:after="0"/>
            </w:pPr>
            <w:r/>
            <w:r>
              <w:rPr>
                <w:rFonts w:ascii="Aptos" w:hAnsi="Aptos"/>
                <w:b w:val="0"/>
                <w:sz w:val="14"/>
              </w:rPr>
              <w:t>~2-5 person-days</w:t>
            </w:r>
          </w:p>
        </w:tc>
      </w:tr>
      <w:tr>
        <w:trPr>
          <w:cantSplit/>
        </w:trPr>
        <w:tc>
          <w:tcPr>
            <w:tcW w:type="dxa" w:w="3389"/>
            <w:vAlign w:val="top"/>
          </w:tcPr>
          <w:p>
            <w:pPr>
              <w:spacing w:after="0"/>
            </w:pPr>
            <w:r/>
            <w:r>
              <w:rPr>
                <w:rFonts w:ascii="Aptos" w:hAnsi="Aptos"/>
                <w:b w:val="0"/>
                <w:sz w:val="14"/>
              </w:rPr>
              <w:t>2</w:t>
            </w:r>
          </w:p>
        </w:tc>
        <w:tc>
          <w:tcPr>
            <w:tcW w:type="dxa" w:w="3389"/>
            <w:vAlign w:val="top"/>
          </w:tcPr>
          <w:p>
            <w:pPr>
              <w:spacing w:after="0"/>
            </w:pPr>
            <w:r/>
            <w:r>
              <w:rPr>
                <w:rFonts w:ascii="Aptos" w:hAnsi="Aptos"/>
                <w:b w:val="0"/>
                <w:sz w:val="14"/>
              </w:rPr>
              <w:t>Inspect EpSO v3.1 OWL/CSV; extract priority class IDs/predicates.</w:t>
            </w:r>
          </w:p>
        </w:tc>
        <w:tc>
          <w:tcPr>
            <w:tcW w:type="dxa" w:w="3389"/>
            <w:vAlign w:val="top"/>
          </w:tcPr>
          <w:p>
            <w:pPr>
              <w:spacing w:after="0"/>
            </w:pPr>
            <w:r/>
            <w:r>
              <w:rPr>
                <w:rFonts w:ascii="Aptos" w:hAnsi="Aptos"/>
                <w:b w:val="0"/>
                <w:sz w:val="14"/>
              </w:rPr>
              <w:t>~3-10 person-days</w:t>
            </w:r>
          </w:p>
        </w:tc>
      </w:tr>
      <w:tr>
        <w:trPr>
          <w:cantSplit/>
        </w:trPr>
        <w:tc>
          <w:tcPr>
            <w:tcW w:type="dxa" w:w="3389"/>
            <w:vAlign w:val="top"/>
          </w:tcPr>
          <w:p>
            <w:pPr>
              <w:spacing w:after="0"/>
            </w:pPr>
            <w:r/>
            <w:r>
              <w:rPr>
                <w:rFonts w:ascii="Aptos" w:hAnsi="Aptos"/>
                <w:b w:val="0"/>
                <w:sz w:val="14"/>
              </w:rPr>
              <w:t>3</w:t>
            </w:r>
          </w:p>
        </w:tc>
        <w:tc>
          <w:tcPr>
            <w:tcW w:type="dxa" w:w="3389"/>
            <w:vAlign w:val="top"/>
          </w:tcPr>
          <w:p>
            <w:pPr>
              <w:spacing w:after="0"/>
            </w:pPr>
            <w:r/>
            <w:r>
              <w:rPr>
                <w:rFonts w:ascii="Aptos" w:hAnsi="Aptos"/>
                <w:b w:val="0"/>
                <w:sz w:val="14"/>
              </w:rPr>
              <w:t>Extract exact NINDS CDEs for priority variables and build traceability rows.</w:t>
            </w:r>
          </w:p>
        </w:tc>
        <w:tc>
          <w:tcPr>
            <w:tcW w:type="dxa" w:w="3389"/>
            <w:vAlign w:val="top"/>
          </w:tcPr>
          <w:p>
            <w:pPr>
              <w:spacing w:after="0"/>
            </w:pPr>
            <w:r/>
            <w:r>
              <w:rPr>
                <w:rFonts w:ascii="Aptos" w:hAnsi="Aptos"/>
                <w:b w:val="0"/>
                <w:sz w:val="14"/>
              </w:rPr>
              <w:t>~3-10 person-days</w:t>
            </w:r>
          </w:p>
        </w:tc>
      </w:tr>
      <w:tr>
        <w:trPr>
          <w:cantSplit/>
        </w:trPr>
        <w:tc>
          <w:tcPr>
            <w:tcW w:type="dxa" w:w="3389"/>
            <w:vAlign w:val="top"/>
          </w:tcPr>
          <w:p>
            <w:pPr>
              <w:spacing w:after="0"/>
            </w:pPr>
            <w:r/>
            <w:r>
              <w:rPr>
                <w:rFonts w:ascii="Aptos" w:hAnsi="Aptos"/>
                <w:b w:val="0"/>
                <w:sz w:val="14"/>
              </w:rPr>
              <w:t>4</w:t>
            </w:r>
          </w:p>
        </w:tc>
        <w:tc>
          <w:tcPr>
            <w:tcW w:type="dxa" w:w="3389"/>
            <w:vAlign w:val="top"/>
          </w:tcPr>
          <w:p>
            <w:pPr>
              <w:spacing w:after="0"/>
            </w:pPr>
            <w:r/>
            <w:r>
              <w:rPr>
                <w:rFonts w:ascii="Aptos" w:hAnsi="Aptos"/>
                <w:b w:val="0"/>
                <w:sz w:val="14"/>
              </w:rPr>
              <w:t>Write semantic definition cards/value sets for priority fields.</w:t>
            </w:r>
          </w:p>
        </w:tc>
        <w:tc>
          <w:tcPr>
            <w:tcW w:type="dxa" w:w="3389"/>
            <w:vAlign w:val="top"/>
          </w:tcPr>
          <w:p>
            <w:pPr>
              <w:spacing w:after="0"/>
            </w:pPr>
            <w:r/>
            <w:r>
              <w:rPr>
                <w:rFonts w:ascii="Aptos" w:hAnsi="Aptos"/>
                <w:b w:val="0"/>
                <w:sz w:val="14"/>
              </w:rPr>
              <w:t>~5-10 person-days + clinician review</w:t>
            </w:r>
          </w:p>
        </w:tc>
      </w:tr>
      <w:tr>
        <w:trPr>
          <w:cantSplit/>
        </w:trPr>
        <w:tc>
          <w:tcPr>
            <w:tcW w:type="dxa" w:w="3389"/>
            <w:vAlign w:val="top"/>
          </w:tcPr>
          <w:p>
            <w:pPr>
              <w:spacing w:after="0"/>
            </w:pPr>
            <w:r/>
            <w:r>
              <w:rPr>
                <w:rFonts w:ascii="Aptos" w:hAnsi="Aptos"/>
                <w:b w:val="0"/>
                <w:sz w:val="14"/>
              </w:rPr>
              <w:t>5</w:t>
            </w:r>
          </w:p>
        </w:tc>
        <w:tc>
          <w:tcPr>
            <w:tcW w:type="dxa" w:w="3389"/>
            <w:vAlign w:val="top"/>
          </w:tcPr>
          <w:p>
            <w:pPr>
              <w:spacing w:after="0"/>
            </w:pPr>
            <w:r/>
            <w:r>
              <w:rPr>
                <w:rFonts w:ascii="Aptos" w:hAnsi="Aptos"/>
                <w:b w:val="0"/>
                <w:sz w:val="14"/>
              </w:rPr>
              <w:t>Create v0.2.1→v1.1 migration diff from actual repository schema.</w:t>
            </w:r>
          </w:p>
        </w:tc>
        <w:tc>
          <w:tcPr>
            <w:tcW w:type="dxa" w:w="3389"/>
            <w:vAlign w:val="top"/>
          </w:tcPr>
          <w:p>
            <w:pPr>
              <w:spacing w:after="0"/>
            </w:pPr>
            <w:r/>
            <w:r>
              <w:rPr>
                <w:rFonts w:ascii="Aptos" w:hAnsi="Aptos"/>
                <w:b w:val="0"/>
                <w:sz w:val="14"/>
              </w:rPr>
              <w:t>~2-5 person-days</w:t>
            </w:r>
          </w:p>
        </w:tc>
      </w:tr>
      <w:tr>
        <w:trPr>
          <w:cantSplit/>
        </w:trPr>
        <w:tc>
          <w:tcPr>
            <w:tcW w:type="dxa" w:w="3389"/>
            <w:vAlign w:val="top"/>
          </w:tcPr>
          <w:p>
            <w:pPr>
              <w:spacing w:after="0"/>
            </w:pPr>
            <w:r/>
            <w:r>
              <w:rPr>
                <w:rFonts w:ascii="Aptos" w:hAnsi="Aptos"/>
                <w:b w:val="0"/>
                <w:sz w:val="14"/>
              </w:rPr>
              <w:t>6</w:t>
            </w:r>
          </w:p>
        </w:tc>
        <w:tc>
          <w:tcPr>
            <w:tcW w:type="dxa" w:w="3389"/>
            <w:vAlign w:val="top"/>
          </w:tcPr>
          <w:p>
            <w:pPr>
              <w:spacing w:after="0"/>
            </w:pPr>
            <w:r/>
            <w:r>
              <w:rPr>
                <w:rFonts w:ascii="Aptos" w:hAnsi="Aptos"/>
                <w:b w:val="0"/>
                <w:sz w:val="14"/>
              </w:rPr>
              <w:t>Implement JSON Schema/Pydantic + long-format CSV schema.</w:t>
            </w:r>
          </w:p>
        </w:tc>
        <w:tc>
          <w:tcPr>
            <w:tcW w:type="dxa" w:w="3389"/>
            <w:vAlign w:val="top"/>
          </w:tcPr>
          <w:p>
            <w:pPr>
              <w:spacing w:after="0"/>
            </w:pPr>
            <w:r/>
            <w:r>
              <w:rPr>
                <w:rFonts w:ascii="Aptos" w:hAnsi="Aptos"/>
                <w:b w:val="0"/>
                <w:sz w:val="14"/>
              </w:rPr>
              <w:t>~3-7 person-days</w:t>
            </w:r>
          </w:p>
        </w:tc>
      </w:tr>
      <w:tr>
        <w:trPr>
          <w:cantSplit/>
        </w:trPr>
        <w:tc>
          <w:tcPr>
            <w:tcW w:type="dxa" w:w="3389"/>
            <w:vAlign w:val="top"/>
          </w:tcPr>
          <w:p>
            <w:pPr>
              <w:spacing w:after="0"/>
            </w:pPr>
            <w:r/>
            <w:r>
              <w:rPr>
                <w:rFonts w:ascii="Aptos" w:hAnsi="Aptos"/>
                <w:b w:val="0"/>
                <w:sz w:val="14"/>
              </w:rPr>
              <w:t>7</w:t>
            </w:r>
          </w:p>
        </w:tc>
        <w:tc>
          <w:tcPr>
            <w:tcW w:type="dxa" w:w="3389"/>
            <w:vAlign w:val="top"/>
          </w:tcPr>
          <w:p>
            <w:pPr>
              <w:spacing w:after="0"/>
            </w:pPr>
            <w:r/>
            <w:r>
              <w:rPr>
                <w:rFonts w:ascii="Aptos" w:hAnsi="Aptos"/>
                <w:b w:val="0"/>
                <w:sz w:val="14"/>
              </w:rPr>
              <w:t>Implement terminology caches/resolvers and rule registry.</w:t>
            </w:r>
          </w:p>
        </w:tc>
        <w:tc>
          <w:tcPr>
            <w:tcW w:type="dxa" w:w="3389"/>
            <w:vAlign w:val="top"/>
          </w:tcPr>
          <w:p>
            <w:pPr>
              <w:spacing w:after="0"/>
            </w:pPr>
            <w:r/>
            <w:r>
              <w:rPr>
                <w:rFonts w:ascii="Aptos" w:hAnsi="Aptos"/>
                <w:b w:val="0"/>
                <w:sz w:val="14"/>
              </w:rPr>
              <w:t>~5-10 person-days</w:t>
            </w:r>
          </w:p>
        </w:tc>
      </w:tr>
      <w:tr>
        <w:trPr>
          <w:cantSplit/>
        </w:trPr>
        <w:tc>
          <w:tcPr>
            <w:tcW w:type="dxa" w:w="3389"/>
            <w:vAlign w:val="top"/>
          </w:tcPr>
          <w:p>
            <w:pPr>
              <w:spacing w:after="0"/>
            </w:pPr>
            <w:r/>
            <w:r>
              <w:rPr>
                <w:rFonts w:ascii="Aptos" w:hAnsi="Aptos"/>
                <w:b w:val="0"/>
                <w:sz w:val="14"/>
              </w:rPr>
              <w:t>8</w:t>
            </w:r>
          </w:p>
        </w:tc>
        <w:tc>
          <w:tcPr>
            <w:tcW w:type="dxa" w:w="3389"/>
            <w:vAlign w:val="top"/>
          </w:tcPr>
          <w:p>
            <w:pPr>
              <w:spacing w:after="0"/>
            </w:pPr>
            <w:r/>
            <w:r>
              <w:rPr>
                <w:rFonts w:ascii="Aptos" w:hAnsi="Aptos"/>
                <w:b w:val="0"/>
                <w:sz w:val="14"/>
              </w:rPr>
              <w:t>Write annotation manual + examples/counterexamples.</w:t>
            </w:r>
          </w:p>
        </w:tc>
        <w:tc>
          <w:tcPr>
            <w:tcW w:type="dxa" w:w="3389"/>
            <w:vAlign w:val="top"/>
          </w:tcPr>
          <w:p>
            <w:pPr>
              <w:spacing w:after="0"/>
            </w:pPr>
            <w:r/>
            <w:r>
              <w:rPr>
                <w:rFonts w:ascii="Aptos" w:hAnsi="Aptos"/>
                <w:b w:val="0"/>
                <w:sz w:val="14"/>
              </w:rPr>
              <w:t>~5-10 person-days + clinician review</w:t>
            </w:r>
          </w:p>
        </w:tc>
      </w:tr>
      <w:tr>
        <w:trPr>
          <w:cantSplit/>
        </w:trPr>
        <w:tc>
          <w:tcPr>
            <w:tcW w:type="dxa" w:w="3389"/>
            <w:vAlign w:val="top"/>
          </w:tcPr>
          <w:p>
            <w:pPr>
              <w:spacing w:after="0"/>
            </w:pPr>
            <w:r/>
            <w:r>
              <w:rPr>
                <w:rFonts w:ascii="Aptos" w:hAnsi="Aptos"/>
                <w:b w:val="0"/>
                <w:sz w:val="14"/>
              </w:rPr>
              <w:t>9</w:t>
            </w:r>
          </w:p>
        </w:tc>
        <w:tc>
          <w:tcPr>
            <w:tcW w:type="dxa" w:w="3389"/>
            <w:vAlign w:val="top"/>
          </w:tcPr>
          <w:p>
            <w:pPr>
              <w:spacing w:after="0"/>
            </w:pPr>
            <w:r/>
            <w:r>
              <w:rPr>
                <w:rFonts w:ascii="Aptos" w:hAnsi="Aptos"/>
                <w:b w:val="0"/>
                <w:sz w:val="14"/>
              </w:rPr>
              <w:t>Build unit/integration/migration/leakage tests.</w:t>
            </w:r>
          </w:p>
        </w:tc>
        <w:tc>
          <w:tcPr>
            <w:tcW w:type="dxa" w:w="3389"/>
            <w:vAlign w:val="top"/>
          </w:tcPr>
          <w:p>
            <w:pPr>
              <w:spacing w:after="0"/>
            </w:pPr>
            <w:r/>
            <w:r>
              <w:rPr>
                <w:rFonts w:ascii="Aptos" w:hAnsi="Aptos"/>
                <w:b w:val="0"/>
                <w:sz w:val="14"/>
              </w:rPr>
              <w:t>~3-7 person-days</w:t>
            </w:r>
          </w:p>
        </w:tc>
      </w:tr>
      <w:tr>
        <w:trPr>
          <w:cantSplit/>
        </w:trPr>
        <w:tc>
          <w:tcPr>
            <w:tcW w:type="dxa" w:w="3389"/>
            <w:vAlign w:val="top"/>
          </w:tcPr>
          <w:p>
            <w:pPr>
              <w:spacing w:after="0"/>
            </w:pPr>
            <w:r/>
            <w:r>
              <w:rPr>
                <w:rFonts w:ascii="Aptos" w:hAnsi="Aptos"/>
                <w:b w:val="0"/>
                <w:sz w:val="14"/>
              </w:rPr>
              <w:t>10</w:t>
            </w:r>
          </w:p>
        </w:tc>
        <w:tc>
          <w:tcPr>
            <w:tcW w:type="dxa" w:w="3389"/>
            <w:vAlign w:val="top"/>
          </w:tcPr>
          <w:p>
            <w:pPr>
              <w:spacing w:after="0"/>
            </w:pPr>
            <w:r/>
            <w:r>
              <w:rPr>
                <w:rFonts w:ascii="Aptos" w:hAnsi="Aptos"/>
                <w:b w:val="0"/>
                <w:sz w:val="14"/>
              </w:rPr>
              <w:t>Generate ≥10,000 latent test patients; fix any rule failures.</w:t>
            </w:r>
          </w:p>
        </w:tc>
        <w:tc>
          <w:tcPr>
            <w:tcW w:type="dxa" w:w="3389"/>
            <w:vAlign w:val="top"/>
          </w:tcPr>
          <w:p>
            <w:pPr>
              <w:spacing w:after="0"/>
            </w:pPr>
            <w:r/>
            <w:r>
              <w:rPr>
                <w:rFonts w:ascii="Aptos" w:hAnsi="Aptos"/>
                <w:b w:val="0"/>
                <w:sz w:val="14"/>
              </w:rPr>
              <w:t>~1-3 person-days compute/engineering after generator exists</w:t>
            </w:r>
          </w:p>
        </w:tc>
      </w:tr>
      <w:tr>
        <w:trPr>
          <w:cantSplit/>
        </w:trPr>
        <w:tc>
          <w:tcPr>
            <w:tcW w:type="dxa" w:w="3389"/>
            <w:vAlign w:val="top"/>
          </w:tcPr>
          <w:p>
            <w:pPr>
              <w:spacing w:after="0"/>
            </w:pPr>
            <w:r/>
            <w:r>
              <w:rPr>
                <w:rFonts w:ascii="Aptos" w:hAnsi="Aptos"/>
                <w:b w:val="0"/>
                <w:sz w:val="14"/>
              </w:rPr>
              <w:t>11</w:t>
            </w:r>
          </w:p>
        </w:tc>
        <w:tc>
          <w:tcPr>
            <w:tcW w:type="dxa" w:w="3389"/>
            <w:vAlign w:val="top"/>
          </w:tcPr>
          <w:p>
            <w:pPr>
              <w:spacing w:after="0"/>
            </w:pPr>
            <w:r/>
            <w:r>
              <w:rPr>
                <w:rFonts w:ascii="Aptos" w:hAnsi="Aptos"/>
                <w:b w:val="0"/>
                <w:sz w:val="14"/>
              </w:rPr>
              <w:t>Generate 100-300-document pilot with ≥3 styles/doc type and ≥2 generator families where feasible.</w:t>
            </w:r>
          </w:p>
        </w:tc>
        <w:tc>
          <w:tcPr>
            <w:tcW w:type="dxa" w:w="3389"/>
            <w:vAlign w:val="top"/>
          </w:tcPr>
          <w:p>
            <w:pPr>
              <w:spacing w:after="0"/>
            </w:pPr>
            <w:r/>
            <w:r>
              <w:rPr>
                <w:rFonts w:ascii="Aptos" w:hAnsi="Aptos"/>
                <w:b w:val="0"/>
                <w:sz w:val="14"/>
              </w:rPr>
              <w:t>~3-7 person-days</w:t>
            </w:r>
          </w:p>
        </w:tc>
      </w:tr>
      <w:tr>
        <w:trPr>
          <w:cantSplit/>
        </w:trPr>
        <w:tc>
          <w:tcPr>
            <w:tcW w:type="dxa" w:w="3389"/>
            <w:vAlign w:val="top"/>
          </w:tcPr>
          <w:p>
            <w:pPr>
              <w:spacing w:after="0"/>
            </w:pPr>
            <w:r/>
            <w:r>
              <w:rPr>
                <w:rFonts w:ascii="Aptos" w:hAnsi="Aptos"/>
                <w:b w:val="0"/>
                <w:sz w:val="14"/>
              </w:rPr>
              <w:t>12</w:t>
            </w:r>
          </w:p>
        </w:tc>
        <w:tc>
          <w:tcPr>
            <w:tcW w:type="dxa" w:w="3389"/>
            <w:vAlign w:val="top"/>
          </w:tcPr>
          <w:p>
            <w:pPr>
              <w:spacing w:after="0"/>
            </w:pPr>
            <w:r/>
            <w:r>
              <w:rPr>
                <w:rFonts w:ascii="Aptos" w:hAnsi="Aptos"/>
                <w:b w:val="0"/>
                <w:sz w:val="14"/>
              </w:rPr>
              <w:t>Clinician pilot review and revisions.</w:t>
            </w:r>
          </w:p>
        </w:tc>
        <w:tc>
          <w:tcPr>
            <w:tcW w:type="dxa" w:w="3389"/>
            <w:vAlign w:val="top"/>
          </w:tcPr>
          <w:p>
            <w:pPr>
              <w:spacing w:after="0"/>
            </w:pPr>
            <w:r/>
            <w:r>
              <w:rPr>
                <w:rFonts w:ascii="Aptos" w:hAnsi="Aptos"/>
                <w:b w:val="0"/>
                <w:sz w:val="14"/>
              </w:rPr>
              <w:t>Calendar time depends on reviewer availability</w:t>
            </w:r>
          </w:p>
        </w:tc>
      </w:tr>
      <w:tr>
        <w:trPr>
          <w:cantSplit/>
        </w:trPr>
        <w:tc>
          <w:tcPr>
            <w:tcW w:type="dxa" w:w="3389"/>
            <w:vAlign w:val="top"/>
          </w:tcPr>
          <w:p>
            <w:pPr>
              <w:spacing w:after="0"/>
            </w:pPr>
            <w:r/>
            <w:r>
              <w:rPr>
                <w:rFonts w:ascii="Aptos" w:hAnsi="Aptos"/>
                <w:b w:val="0"/>
                <w:sz w:val="14"/>
              </w:rPr>
              <w:t>13</w:t>
            </w:r>
          </w:p>
        </w:tc>
        <w:tc>
          <w:tcPr>
            <w:tcW w:type="dxa" w:w="3389"/>
            <w:vAlign w:val="top"/>
          </w:tcPr>
          <w:p>
            <w:pPr>
              <w:spacing w:after="0"/>
            </w:pPr>
            <w:r/>
            <w:r>
              <w:rPr>
                <w:rFonts w:ascii="Aptos" w:hAnsi="Aptos"/>
                <w:b w:val="0"/>
                <w:sz w:val="14"/>
              </w:rPr>
              <w:t>Freeze benchmark, prompts, endpoint and test set.</w:t>
            </w:r>
          </w:p>
        </w:tc>
        <w:tc>
          <w:tcPr>
            <w:tcW w:type="dxa" w:w="3389"/>
            <w:vAlign w:val="top"/>
          </w:tcPr>
          <w:p>
            <w:pPr>
              <w:spacing w:after="0"/>
            </w:pPr>
            <w:r/>
            <w:r>
              <w:rPr>
                <w:rFonts w:ascii="Aptos" w:hAnsi="Aptos"/>
                <w:b w:val="0"/>
                <w:sz w:val="14"/>
              </w:rPr>
              <w:t>~1-2 person-days</w:t>
            </w:r>
          </w:p>
        </w:tc>
      </w:tr>
      <w:tr>
        <w:trPr>
          <w:cantSplit/>
        </w:trPr>
        <w:tc>
          <w:tcPr>
            <w:tcW w:type="dxa" w:w="3389"/>
            <w:vAlign w:val="top"/>
          </w:tcPr>
          <w:p>
            <w:pPr>
              <w:spacing w:after="0"/>
            </w:pPr>
            <w:r/>
            <w:r>
              <w:rPr>
                <w:rFonts w:ascii="Aptos" w:hAnsi="Aptos"/>
                <w:b w:val="0"/>
                <w:sz w:val="14"/>
              </w:rPr>
              <w:t>14</w:t>
            </w:r>
          </w:p>
        </w:tc>
        <w:tc>
          <w:tcPr>
            <w:tcW w:type="dxa" w:w="3389"/>
            <w:vAlign w:val="top"/>
          </w:tcPr>
          <w:p>
            <w:pPr>
              <w:spacing w:after="0"/>
            </w:pPr>
            <w:r/>
            <w:r>
              <w:rPr>
                <w:rFonts w:ascii="Aptos" w:hAnsi="Aptos"/>
                <w:b w:val="0"/>
                <w:sz w:val="14"/>
              </w:rPr>
              <w:t>Run Med42/DeepSeek baseline and collaborative experiments.</w:t>
            </w:r>
          </w:p>
        </w:tc>
        <w:tc>
          <w:tcPr>
            <w:tcW w:type="dxa" w:w="3389"/>
            <w:vAlign w:val="top"/>
          </w:tcPr>
          <w:p>
            <w:pPr>
              <w:spacing w:after="0"/>
            </w:pPr>
            <w:r/>
            <w:r>
              <w:rPr>
                <w:rFonts w:ascii="Aptos" w:hAnsi="Aptos"/>
                <w:b w:val="0"/>
                <w:sz w:val="14"/>
              </w:rPr>
              <w:t>Depends on hardware/model serving</w:t>
            </w:r>
          </w:p>
        </w:tc>
      </w:tr>
      <w:tr>
        <w:trPr>
          <w:cantSplit/>
        </w:trPr>
        <w:tc>
          <w:tcPr>
            <w:tcW w:type="dxa" w:w="3389"/>
            <w:vAlign w:val="top"/>
          </w:tcPr>
          <w:p>
            <w:pPr>
              <w:spacing w:after="0"/>
            </w:pPr>
            <w:r/>
            <w:r>
              <w:rPr>
                <w:rFonts w:ascii="Aptos" w:hAnsi="Aptos"/>
                <w:b w:val="0"/>
                <w:sz w:val="14"/>
              </w:rPr>
              <w:t>15</w:t>
            </w:r>
          </w:p>
        </w:tc>
        <w:tc>
          <w:tcPr>
            <w:tcW w:type="dxa" w:w="3389"/>
            <w:vAlign w:val="top"/>
          </w:tcPr>
          <w:p>
            <w:pPr>
              <w:spacing w:after="0"/>
            </w:pPr>
            <w:r/>
            <w:r>
              <w:rPr>
                <w:rFonts w:ascii="Aptos" w:hAnsi="Aptos"/>
                <w:b w:val="0"/>
                <w:sz w:val="14"/>
              </w:rPr>
              <w:t>Proceed to real-world validation only after synthetic/public benchmark gates pass.</w:t>
            </w:r>
          </w:p>
        </w:tc>
        <w:tc>
          <w:tcPr>
            <w:tcW w:type="dxa" w:w="3389"/>
            <w:vAlign w:val="top"/>
          </w:tcPr>
          <w:p>
            <w:pPr>
              <w:spacing w:after="0"/>
            </w:pPr>
            <w:r/>
            <w:r>
              <w:rPr>
                <w:rFonts w:ascii="Aptos" w:hAnsi="Aptos"/>
                <w:b w:val="0"/>
                <w:sz w:val="14"/>
              </w:rPr>
              <w:t>Separate IRB-governed study</w:t>
            </w:r>
          </w:p>
        </w:tc>
      </w:tr>
    </w:tbl>
    <w:p/>
    <w:tbl>
      <w:tblPr>
        <w:tblStyle w:val="TableGrid"/>
        <w:tblW w:type="auto" w:w="0"/>
        <w:tblLook w:firstColumn="1" w:firstRow="1" w:lastColumn="0" w:lastRow="0" w:noHBand="0" w:noVBand="1" w:val="04A0"/>
      </w:tblPr>
      <w:tblGrid>
        <w:gridCol w:w="10166"/>
      </w:tblGrid>
      <w:tr>
        <w:trPr>
          <w:cantSplit/>
          <w:tblHeader w:val="true"/>
        </w:trPr>
        <w:tc>
          <w:tcPr>
            <w:tcW w:type="dxa" w:w="10166"/>
            <w:shd w:fill="EEF4FB"/>
          </w:tcPr>
          <w:p>
            <w:r>
              <w:rPr>
                <w:b/>
                <w:color w:val="17365D"/>
                <w:sz w:val="18"/>
              </w:rPr>
              <w:t>Planning note</w:t>
              <w:br/>
            </w:r>
            <w:r>
              <w:rPr>
                <w:sz w:val="17"/>
              </w:rPr>
              <w:t>These are engineering planning ranges, not scientific facts. Crosswalk and clinician-review effort can expand substantially depending on ambiguity, licensing, and the number of concepts included.</w:t>
            </w:r>
          </w:p>
        </w:tc>
      </w:tr>
    </w:tbl>
    <w:p/>
    <w:p>
      <w:pPr>
        <w:pStyle w:val="Heading1"/>
      </w:pPr>
      <w:r>
        <w:t>28. Frozen generation contract v1.1</w:t>
      </w:r>
    </w:p>
    <w:p>
      <w:pPr/>
      <w:r>
        <w:t>1. All medically meaningful variables and values have a definition-level source or MEDAI-PROPOSED label.</w:t>
      </w:r>
    </w:p>
    <w:p>
      <w:pPr/>
      <w:r>
        <w:t>2. All external IDs are verified from the frozen source artifact or marked unresolved.</w:t>
      </w:r>
    </w:p>
    <w:p>
      <w:pPr/>
      <w:r>
        <w:t>3. Latent truth is generated before prose.</w:t>
      </w:r>
    </w:p>
    <w:p>
      <w:pPr/>
      <w:r>
        <w:t>4. All sourced hard rules and MedAI hard consistency rules pass.</w:t>
      </w:r>
    </w:p>
    <w:p>
      <w:pPr/>
      <w:r>
        <w:t>5. Every document is limited to its visibility set plus explicitly defined non-label distractors.</w:t>
      </w:r>
    </w:p>
    <w:p>
      <w:pPr/>
      <w:r>
        <w:t>6. Uncertainty, negation and temporality are preserved rather than silently resolved.</w:t>
      </w:r>
    </w:p>
    <w:p>
      <w:pPr/>
      <w:r>
        <w:t>7. Patient-level train/dev/test grouping and near-duplicate controls pass.</w:t>
      </w:r>
    </w:p>
    <w:p>
      <w:pPr/>
      <w:r>
        <w:t>8. Schema, rule, source, scenario and generator versions are recorded.</w:t>
      </w:r>
    </w:p>
    <w:p>
      <w:pPr/>
      <w:r>
        <w:t>9. Extraction-model predictions cannot alter benchmark ground truth.</w:t>
      </w:r>
    </w:p>
    <w:p>
      <w:pPr/>
      <w:r>
        <w:t>10. Synthetic-only results are reported only within the permitted claim boundary.</w:t>
      </w:r>
    </w:p>
    <w:p>
      <w:pPr>
        <w:pStyle w:val="Heading1"/>
      </w:pPr>
      <w:r>
        <w:t>29. Machine-readable companion files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D9EAF7"/>
          </w:tcPr>
          <w:p>
            <w:pPr>
              <w:spacing w:after="0"/>
            </w:pPr>
            <w:r/>
            <w:r>
              <w:rPr>
                <w:rFonts w:ascii="Aptos" w:hAnsi="Aptos"/>
                <w:b/>
                <w:sz w:val="15"/>
              </w:rPr>
              <w:t>File</w:t>
            </w:r>
          </w:p>
        </w:tc>
        <w:tc>
          <w:tcPr>
            <w:tcW w:type="dxa" w:w="5083"/>
            <w:shd w:fill="D9EAF7"/>
          </w:tcPr>
          <w:p>
            <w:pPr>
              <w:spacing w:after="0"/>
            </w:pPr>
            <w:r/>
            <w:r>
              <w:rPr>
                <w:rFonts w:ascii="Aptos" w:hAnsi="Aptos"/>
                <w:b/>
                <w:sz w:val="15"/>
              </w:rPr>
              <w:t>Purpose</w:t>
            </w:r>
          </w:p>
        </w:tc>
      </w:tr>
      <w:tr>
        <w:trPr>
          <w:cantSplit/>
        </w:trPr>
        <w:tc>
          <w:tcPr>
            <w:tcW w:type="dxa" w:w="5083"/>
            <w:vAlign w:val="top"/>
          </w:tcPr>
          <w:p>
            <w:pPr>
              <w:spacing w:after="0"/>
            </w:pPr>
            <w:r/>
            <w:r>
              <w:rPr>
                <w:rFonts w:ascii="Aptos" w:hAnsi="Aptos"/>
                <w:b w:val="0"/>
                <w:sz w:val="14"/>
              </w:rPr>
              <w:t>data_dictionary.csv</w:t>
            </w:r>
          </w:p>
        </w:tc>
        <w:tc>
          <w:tcPr>
            <w:tcW w:type="dxa" w:w="5083"/>
            <w:vAlign w:val="top"/>
          </w:tcPr>
          <w:p>
            <w:pPr>
              <w:spacing w:after="0"/>
            </w:pPr>
            <w:r/>
            <w:r>
              <w:rPr>
                <w:rFonts w:ascii="Aptos" w:hAnsi="Aptos"/>
                <w:b w:val="0"/>
                <w:sz w:val="14"/>
              </w:rPr>
              <w:t>One row per variable definition.</w:t>
            </w:r>
          </w:p>
        </w:tc>
      </w:tr>
      <w:tr>
        <w:trPr>
          <w:cantSplit/>
        </w:trPr>
        <w:tc>
          <w:tcPr>
            <w:tcW w:type="dxa" w:w="5083"/>
            <w:vAlign w:val="top"/>
          </w:tcPr>
          <w:p>
            <w:pPr>
              <w:spacing w:after="0"/>
            </w:pPr>
            <w:r/>
            <w:r>
              <w:rPr>
                <w:rFonts w:ascii="Aptos" w:hAnsi="Aptos"/>
                <w:b w:val="0"/>
                <w:sz w:val="14"/>
              </w:rPr>
              <w:t>value_sets.csv</w:t>
            </w:r>
          </w:p>
        </w:tc>
        <w:tc>
          <w:tcPr>
            <w:tcW w:type="dxa" w:w="5083"/>
            <w:vAlign w:val="top"/>
          </w:tcPr>
          <w:p>
            <w:pPr>
              <w:spacing w:after="0"/>
            </w:pPr>
            <w:r/>
            <w:r>
              <w:rPr>
                <w:rFonts w:ascii="Aptos" w:hAnsi="Aptos"/>
                <w:b w:val="0"/>
                <w:sz w:val="14"/>
              </w:rPr>
              <w:t>One row per allowed categorical value with value-level definition/citation.</w:t>
            </w:r>
          </w:p>
        </w:tc>
      </w:tr>
      <w:tr>
        <w:trPr>
          <w:cantSplit/>
        </w:trPr>
        <w:tc>
          <w:tcPr>
            <w:tcW w:type="dxa" w:w="5083"/>
            <w:vAlign w:val="top"/>
          </w:tcPr>
          <w:p>
            <w:pPr>
              <w:spacing w:after="0"/>
            </w:pPr>
            <w:r/>
            <w:r>
              <w:rPr>
                <w:rFonts w:ascii="Aptos" w:hAnsi="Aptos"/>
                <w:b w:val="0"/>
                <w:sz w:val="14"/>
              </w:rPr>
              <w:t>concept_mappings.csv</w:t>
            </w:r>
          </w:p>
        </w:tc>
        <w:tc>
          <w:tcPr>
            <w:tcW w:type="dxa" w:w="5083"/>
            <w:vAlign w:val="top"/>
          </w:tcPr>
          <w:p>
            <w:pPr>
              <w:spacing w:after="0"/>
            </w:pPr>
            <w:r/>
            <w:r>
              <w:rPr>
                <w:rFonts w:ascii="Aptos" w:hAnsi="Aptos"/>
                <w:b w:val="0"/>
                <w:sz w:val="14"/>
              </w:rPr>
              <w:t>Verified/unresolved mappings to ILAE/EpSO/NINDS/SNOMED/RxNorm/RadLex/SCORE.</w:t>
            </w:r>
          </w:p>
        </w:tc>
      </w:tr>
      <w:tr>
        <w:trPr>
          <w:cantSplit/>
        </w:trPr>
        <w:tc>
          <w:tcPr>
            <w:tcW w:type="dxa" w:w="5083"/>
            <w:vAlign w:val="top"/>
          </w:tcPr>
          <w:p>
            <w:pPr>
              <w:spacing w:after="0"/>
            </w:pPr>
            <w:r/>
            <w:r>
              <w:rPr>
                <w:rFonts w:ascii="Aptos" w:hAnsi="Aptos"/>
                <w:b w:val="0"/>
                <w:sz w:val="14"/>
              </w:rPr>
              <w:t>generation_rules.csv</w:t>
            </w:r>
          </w:p>
        </w:tc>
        <w:tc>
          <w:tcPr>
            <w:tcW w:type="dxa" w:w="5083"/>
            <w:vAlign w:val="top"/>
          </w:tcPr>
          <w:p>
            <w:pPr>
              <w:spacing w:after="0"/>
            </w:pPr>
            <w:r/>
            <w:r>
              <w:rPr>
                <w:rFonts w:ascii="Aptos" w:hAnsi="Aptos"/>
                <w:b w:val="0"/>
                <w:sz w:val="14"/>
              </w:rPr>
              <w:t>Sourced and MEDAI-PROPOSED rules.</w:t>
            </w:r>
          </w:p>
        </w:tc>
      </w:tr>
      <w:tr>
        <w:trPr>
          <w:cantSplit/>
        </w:trPr>
        <w:tc>
          <w:tcPr>
            <w:tcW w:type="dxa" w:w="5083"/>
            <w:vAlign w:val="top"/>
          </w:tcPr>
          <w:p>
            <w:pPr>
              <w:spacing w:after="0"/>
            </w:pPr>
            <w:r/>
            <w:r>
              <w:rPr>
                <w:rFonts w:ascii="Aptos" w:hAnsi="Aptos"/>
                <w:b w:val="0"/>
                <w:sz w:val="14"/>
              </w:rPr>
              <w:t>scenario_definitions.csv</w:t>
            </w:r>
          </w:p>
        </w:tc>
        <w:tc>
          <w:tcPr>
            <w:tcW w:type="dxa" w:w="5083"/>
            <w:vAlign w:val="top"/>
          </w:tcPr>
          <w:p>
            <w:pPr>
              <w:spacing w:after="0"/>
            </w:pPr>
            <w:r/>
            <w:r>
              <w:rPr>
                <w:rFonts w:ascii="Aptos" w:hAnsi="Aptos"/>
                <w:b w:val="0"/>
                <w:sz w:val="14"/>
              </w:rPr>
              <w:t>Scenario families and benchmark weights.</w:t>
            </w:r>
          </w:p>
        </w:tc>
      </w:tr>
      <w:tr>
        <w:trPr>
          <w:cantSplit/>
        </w:trPr>
        <w:tc>
          <w:tcPr>
            <w:tcW w:type="dxa" w:w="5083"/>
            <w:vAlign w:val="top"/>
          </w:tcPr>
          <w:p>
            <w:pPr>
              <w:spacing w:after="0"/>
            </w:pPr>
            <w:r/>
            <w:r>
              <w:rPr>
                <w:rFonts w:ascii="Aptos" w:hAnsi="Aptos"/>
                <w:b w:val="0"/>
                <w:sz w:val="14"/>
              </w:rPr>
              <w:t>document_profiles.csv</w:t>
            </w:r>
          </w:p>
        </w:tc>
        <w:tc>
          <w:tcPr>
            <w:tcW w:type="dxa" w:w="5083"/>
            <w:vAlign w:val="top"/>
          </w:tcPr>
          <w:p>
            <w:pPr>
              <w:spacing w:after="0"/>
            </w:pPr>
            <w:r/>
            <w:r>
              <w:rPr>
                <w:rFonts w:ascii="Aptos" w:hAnsi="Aptos"/>
                <w:b w:val="0"/>
                <w:sz w:val="14"/>
              </w:rPr>
              <w:t>Visibility and allowed-domain rules per document type.</w:t>
            </w:r>
          </w:p>
        </w:tc>
      </w:tr>
      <w:tr>
        <w:trPr>
          <w:cantSplit/>
        </w:trPr>
        <w:tc>
          <w:tcPr>
            <w:tcW w:type="dxa" w:w="5083"/>
            <w:vAlign w:val="top"/>
          </w:tcPr>
          <w:p>
            <w:pPr>
              <w:spacing w:after="0"/>
            </w:pPr>
            <w:r/>
            <w:r>
              <w:rPr>
                <w:rFonts w:ascii="Aptos" w:hAnsi="Aptos"/>
                <w:b w:val="0"/>
                <w:sz w:val="14"/>
              </w:rPr>
              <w:t>patients.csv</w:t>
            </w:r>
          </w:p>
        </w:tc>
        <w:tc>
          <w:tcPr>
            <w:tcW w:type="dxa" w:w="5083"/>
            <w:vAlign w:val="top"/>
          </w:tcPr>
          <w:p>
            <w:pPr>
              <w:spacing w:after="0"/>
            </w:pPr>
            <w:r/>
            <w:r>
              <w:rPr>
                <w:rFonts w:ascii="Aptos" w:hAnsi="Aptos"/>
                <w:b w:val="0"/>
                <w:sz w:val="14"/>
              </w:rPr>
              <w:t>Patient metadata.</w:t>
            </w:r>
          </w:p>
        </w:tc>
      </w:tr>
      <w:tr>
        <w:trPr>
          <w:cantSplit/>
        </w:trPr>
        <w:tc>
          <w:tcPr>
            <w:tcW w:type="dxa" w:w="5083"/>
            <w:vAlign w:val="top"/>
          </w:tcPr>
          <w:p>
            <w:pPr>
              <w:spacing w:after="0"/>
            </w:pPr>
            <w:r/>
            <w:r>
              <w:rPr>
                <w:rFonts w:ascii="Aptos" w:hAnsi="Aptos"/>
                <w:b w:val="0"/>
                <w:sz w:val="14"/>
              </w:rPr>
              <w:t>events.csv</w:t>
            </w:r>
          </w:p>
        </w:tc>
        <w:tc>
          <w:tcPr>
            <w:tcW w:type="dxa" w:w="5083"/>
            <w:vAlign w:val="top"/>
          </w:tcPr>
          <w:p>
            <w:pPr>
              <w:spacing w:after="0"/>
            </w:pPr>
            <w:r/>
            <w:r>
              <w:rPr>
                <w:rFonts w:ascii="Aptos" w:hAnsi="Aptos"/>
                <w:b w:val="0"/>
                <w:sz w:val="14"/>
              </w:rPr>
              <w:t>Longitudinal event graph.</w:t>
            </w:r>
          </w:p>
        </w:tc>
      </w:tr>
      <w:tr>
        <w:trPr>
          <w:cantSplit/>
        </w:trPr>
        <w:tc>
          <w:tcPr>
            <w:tcW w:type="dxa" w:w="5083"/>
            <w:vAlign w:val="top"/>
          </w:tcPr>
          <w:p>
            <w:pPr>
              <w:spacing w:after="0"/>
            </w:pPr>
            <w:r/>
            <w:r>
              <w:rPr>
                <w:rFonts w:ascii="Aptos" w:hAnsi="Aptos"/>
                <w:b w:val="0"/>
                <w:sz w:val="14"/>
              </w:rPr>
              <w:t>phenotypes_long.csv</w:t>
            </w:r>
          </w:p>
        </w:tc>
        <w:tc>
          <w:tcPr>
            <w:tcW w:type="dxa" w:w="5083"/>
            <w:vAlign w:val="top"/>
          </w:tcPr>
          <w:p>
            <w:pPr>
              <w:spacing w:after="0"/>
            </w:pPr>
            <w:r/>
            <w:r>
              <w:rPr>
                <w:rFonts w:ascii="Aptos" w:hAnsi="Aptos"/>
                <w:b w:val="0"/>
                <w:sz w:val="14"/>
              </w:rPr>
              <w:t>Canonical phenotype assertions.</w:t>
            </w:r>
          </w:p>
        </w:tc>
      </w:tr>
      <w:tr>
        <w:trPr>
          <w:cantSplit/>
        </w:trPr>
        <w:tc>
          <w:tcPr>
            <w:tcW w:type="dxa" w:w="5083"/>
            <w:vAlign w:val="top"/>
          </w:tcPr>
          <w:p>
            <w:pPr>
              <w:spacing w:after="0"/>
            </w:pPr>
            <w:r/>
            <w:r>
              <w:rPr>
                <w:rFonts w:ascii="Aptos" w:hAnsi="Aptos"/>
                <w:b w:val="0"/>
                <w:sz w:val="14"/>
              </w:rPr>
              <w:t>medications.csv</w:t>
            </w:r>
          </w:p>
        </w:tc>
        <w:tc>
          <w:tcPr>
            <w:tcW w:type="dxa" w:w="5083"/>
            <w:vAlign w:val="top"/>
          </w:tcPr>
          <w:p>
            <w:pPr>
              <w:spacing w:after="0"/>
            </w:pPr>
            <w:r/>
            <w:r>
              <w:rPr>
                <w:rFonts w:ascii="Aptos" w:hAnsi="Aptos"/>
                <w:b w:val="0"/>
                <w:sz w:val="14"/>
              </w:rPr>
              <w:t>Medication episodes/trials.</w:t>
            </w:r>
          </w:p>
        </w:tc>
      </w:tr>
      <w:tr>
        <w:trPr>
          <w:cantSplit/>
        </w:trPr>
        <w:tc>
          <w:tcPr>
            <w:tcW w:type="dxa" w:w="5083"/>
            <w:vAlign w:val="top"/>
          </w:tcPr>
          <w:p>
            <w:pPr>
              <w:spacing w:after="0"/>
            </w:pPr>
            <w:r/>
            <w:r>
              <w:rPr>
                <w:rFonts w:ascii="Aptos" w:hAnsi="Aptos"/>
                <w:b w:val="0"/>
                <w:sz w:val="14"/>
              </w:rPr>
              <w:t>documents.csv</w:t>
            </w:r>
          </w:p>
        </w:tc>
        <w:tc>
          <w:tcPr>
            <w:tcW w:type="dxa" w:w="5083"/>
            <w:vAlign w:val="top"/>
          </w:tcPr>
          <w:p>
            <w:pPr>
              <w:spacing w:after="0"/>
            </w:pPr>
            <w:r/>
            <w:r>
              <w:rPr>
                <w:rFonts w:ascii="Aptos" w:hAnsi="Aptos"/>
                <w:b w:val="0"/>
                <w:sz w:val="14"/>
              </w:rPr>
              <w:t>Generated document metadata.</w:t>
            </w:r>
          </w:p>
        </w:tc>
      </w:tr>
      <w:tr>
        <w:trPr>
          <w:cantSplit/>
        </w:trPr>
        <w:tc>
          <w:tcPr>
            <w:tcW w:type="dxa" w:w="5083"/>
            <w:vAlign w:val="top"/>
          </w:tcPr>
          <w:p>
            <w:pPr>
              <w:spacing w:after="0"/>
            </w:pPr>
            <w:r/>
            <w:r>
              <w:rPr>
                <w:rFonts w:ascii="Aptos" w:hAnsi="Aptos"/>
                <w:b w:val="0"/>
                <w:sz w:val="14"/>
              </w:rPr>
              <w:t>evidence.csv</w:t>
            </w:r>
          </w:p>
        </w:tc>
        <w:tc>
          <w:tcPr>
            <w:tcW w:type="dxa" w:w="5083"/>
            <w:vAlign w:val="top"/>
          </w:tcPr>
          <w:p>
            <w:pPr>
              <w:spacing w:after="0"/>
            </w:pPr>
            <w:r/>
            <w:r>
              <w:rPr>
                <w:rFonts w:ascii="Aptos" w:hAnsi="Aptos"/>
                <w:b w:val="0"/>
                <w:sz w:val="14"/>
              </w:rPr>
              <w:t>Assertion/evidence linkage.</w:t>
            </w:r>
          </w:p>
        </w:tc>
      </w:tr>
      <w:tr>
        <w:trPr>
          <w:cantSplit/>
        </w:trPr>
        <w:tc>
          <w:tcPr>
            <w:tcW w:type="dxa" w:w="5083"/>
            <w:vAlign w:val="top"/>
          </w:tcPr>
          <w:p>
            <w:pPr>
              <w:spacing w:after="0"/>
            </w:pPr>
            <w:r/>
            <w:r>
              <w:rPr>
                <w:rFonts w:ascii="Aptos" w:hAnsi="Aptos"/>
                <w:b w:val="0"/>
                <w:sz w:val="14"/>
              </w:rPr>
              <w:t>wide_research_view.csv</w:t>
            </w:r>
          </w:p>
        </w:tc>
        <w:tc>
          <w:tcPr>
            <w:tcW w:type="dxa" w:w="5083"/>
            <w:vAlign w:val="top"/>
          </w:tcPr>
          <w:p>
            <w:pPr>
              <w:spacing w:after="0"/>
            </w:pPr>
            <w:r/>
            <w:r>
              <w:rPr>
                <w:rFonts w:ascii="Aptos" w:hAnsi="Aptos"/>
                <w:b w:val="0"/>
                <w:sz w:val="14"/>
              </w:rPr>
              <w:t>Derived convenience table.</w:t>
            </w:r>
          </w:p>
        </w:tc>
      </w:tr>
    </w:tbl>
    <w:p/>
    <w:p>
      <w:pPr>
        <w:pStyle w:val="Heading1"/>
      </w:pPr>
      <w:r>
        <w:t>30. Remaining unresolved items before generation</w:t>
      </w:r>
    </w:p>
    <w:p>
      <w:pPr>
        <w:pStyle w:val="ListBullet"/>
        <w:ind w:left="403" w:hanging="202"/>
      </w:pPr>
      <w:r>
        <w:t>Exact ILAE 2025 consciousness decision procedure and full 21-type machine-readable value set from the paper/supplements.</w:t>
      </w:r>
    </w:p>
    <w:p>
      <w:pPr>
        <w:pStyle w:val="ListBullet"/>
        <w:ind w:left="403" w:hanging="202"/>
      </w:pPr>
      <w:r>
        <w:t>Exact EpSO v3.1 IDs/predicates for priority crosswalk concepts.</w:t>
      </w:r>
    </w:p>
    <w:p>
      <w:pPr>
        <w:pStyle w:val="ListBullet"/>
        <w:ind w:left="403" w:hanging="202"/>
      </w:pPr>
      <w:r>
        <w:t>Exact NINDS Epilepsy CDE IDs/response sets for selected variables.</w:t>
      </w:r>
    </w:p>
    <w:p>
      <w:pPr>
        <w:pStyle w:val="ListBullet"/>
        <w:ind w:left="403" w:hanging="202"/>
      </w:pPr>
      <w:r>
        <w:t>Exact SNOMED CT and RadLex concept IDs selected for implementation.</w:t>
      </w:r>
    </w:p>
    <w:p>
      <w:pPr>
        <w:pStyle w:val="ListBullet"/>
        <w:ind w:left="403" w:hanging="202"/>
      </w:pPr>
      <w:r>
        <w:t>Current RxNorm RXCUIs for the project's antiseizure-medication registry.</w:t>
      </w:r>
    </w:p>
    <w:p>
      <w:pPr>
        <w:pStyle w:val="ListBullet"/>
        <w:ind w:left="403" w:hanging="202"/>
      </w:pPr>
      <w:r>
        <w:t>Frozen SCORE terminology subset and implementation/licensing notes.</w:t>
      </w:r>
    </w:p>
    <w:p>
      <w:pPr>
        <w:pStyle w:val="ListBullet"/>
        <w:ind w:left="403" w:hanging="202"/>
      </w:pPr>
      <w:r>
        <w:t>Actual v0.2.1 repository schema required for migration mapping.</w:t>
      </w:r>
    </w:p>
    <w:p>
      <w:pPr>
        <w:pStyle w:val="ListBullet"/>
        <w:ind w:left="403" w:hanging="202"/>
      </w:pPr>
      <w:r>
        <w:t>Clinician approval of certainty, laterality, concordance and benchmark-sampling operationalizations.</w:t>
      </w:r>
    </w:p>
    <w:p>
      <w:pPr>
        <w:pStyle w:val="ListBullet"/>
        <w:ind w:left="403" w:hanging="202"/>
      </w:pPr>
      <w:r>
        <w:t>Final statistical analysis plan and confidence-interval method.</w:t>
      </w:r>
    </w:p>
    <w:p>
      <w:pPr>
        <w:pStyle w:val="Heading1"/>
      </w:pPr>
      <w:r>
        <w:t>31. Authoritative references</w:t>
      </w:r>
    </w:p>
    <w:p>
      <w:pPr>
        <w:ind w:left="259" w:hanging="259"/>
      </w:pPr>
      <w:r>
        <w:rPr>
          <w:b/>
          <w:sz w:val="16"/>
        </w:rPr>
        <w:t xml:space="preserve">R1. Beniczky S, Trinka E, Wirrell E, et al. Updated classification of epileptic seizures: Position paper of the International League Against Epilepsy. Epilepsia. 2025. DOI: 10.1111/epi.18338. </w:t>
      </w:r>
      <w:r>
        <w:rPr>
          <w:color w:val="2F5597"/>
          <w:sz w:val="16"/>
        </w:rPr>
        <w:t>https://www.ilae.org/updated-classification-epileptic-seizures-2025</w:t>
      </w:r>
    </w:p>
    <w:p>
      <w:pPr>
        <w:ind w:left="259" w:hanging="259"/>
      </w:pPr>
      <w:r>
        <w:rPr>
          <w:b/>
          <w:sz w:val="16"/>
        </w:rPr>
        <w:t xml:space="preserve">R2. NCBO BioPortal. Epilepsy and Seizure Ontology (EpSO), version 3.1. Released/uploaded 29 May 2025. </w:t>
      </w:r>
      <w:r>
        <w:rPr>
          <w:color w:val="2F5597"/>
          <w:sz w:val="16"/>
        </w:rPr>
        <w:t>https://bioportal.bioontology.org/ontologies/EPSO</w:t>
      </w:r>
    </w:p>
    <w:p>
      <w:pPr>
        <w:ind w:left="259" w:hanging="259"/>
      </w:pPr>
      <w:r>
        <w:rPr>
          <w:b/>
          <w:sz w:val="16"/>
        </w:rPr>
        <w:t xml:space="preserve">R3. Sahoo SS et al. Epilepsy and seizure ontology: towards an epilepsy informatics infrastructure for clinical research and patient care. </w:t>
      </w:r>
      <w:r>
        <w:rPr>
          <w:color w:val="2F5597"/>
          <w:sz w:val="16"/>
        </w:rPr>
        <w:t>https://pmc.ncbi.nlm.nih.gov/articles/PMC3912711/</w:t>
      </w:r>
    </w:p>
    <w:p>
      <w:pPr>
        <w:ind w:left="259" w:hanging="259"/>
      </w:pPr>
      <w:r>
        <w:rPr>
          <w:b/>
          <w:sz w:val="16"/>
        </w:rPr>
        <w:t xml:space="preserve">R4. NINDS. Epilepsy Common Data Elements. </w:t>
      </w:r>
      <w:r>
        <w:rPr>
          <w:color w:val="2F5597"/>
          <w:sz w:val="16"/>
        </w:rPr>
        <w:t>https://www.commondataelements.ninds.nih.gov/epilepsy</w:t>
      </w:r>
    </w:p>
    <w:p>
      <w:pPr>
        <w:ind w:left="259" w:hanging="259"/>
      </w:pPr>
      <w:r>
        <w:rPr>
          <w:b/>
          <w:sz w:val="16"/>
        </w:rPr>
        <w:t xml:space="preserve">R5. NLM. RxNorm Overview. </w:t>
      </w:r>
      <w:r>
        <w:rPr>
          <w:color w:val="2F5597"/>
          <w:sz w:val="16"/>
        </w:rPr>
        <w:t>https://www.nlm.nih.gov/research/umls/rxnorm/overview.html</w:t>
      </w:r>
    </w:p>
    <w:p>
      <w:pPr>
        <w:ind w:left="259" w:hanging="259"/>
      </w:pPr>
      <w:r>
        <w:rPr>
          <w:b/>
          <w:sz w:val="16"/>
        </w:rPr>
        <w:t xml:space="preserve">R6. RSNA. RadLex Radiology Lexicon. </w:t>
      </w:r>
      <w:r>
        <w:rPr>
          <w:color w:val="2F5597"/>
          <w:sz w:val="16"/>
        </w:rPr>
        <w:t>https://www.rsna.org/practice-tools/data-tools-and-standards/radlex-radiology-lexicon</w:t>
      </w:r>
    </w:p>
    <w:p>
      <w:pPr>
        <w:ind w:left="259" w:hanging="259"/>
      </w:pPr>
      <w:r>
        <w:rPr>
          <w:b/>
          <w:sz w:val="16"/>
        </w:rPr>
        <w:t xml:space="preserve">R7. Beniczky S et al. SCORE - Second version. Clin Neurophysiol. 2017;128:2334-2346. PMID 28838815. </w:t>
      </w:r>
      <w:r>
        <w:rPr>
          <w:color w:val="2F5597"/>
          <w:sz w:val="16"/>
        </w:rPr>
        <w:t>https://pubmed.ncbi.nlm.nih.gov/28838815/</w:t>
      </w:r>
    </w:p>
    <w:p>
      <w:pPr>
        <w:ind w:left="259" w:hanging="259"/>
      </w:pPr>
      <w:r>
        <w:rPr>
          <w:b/>
          <w:sz w:val="16"/>
        </w:rPr>
        <w:t xml:space="preserve">R8. Kwan P et al. Definition of drug resistant epilepsy. Epilepsia. 2010;51:1069-1077. PMID 19889013. </w:t>
      </w:r>
      <w:r>
        <w:rPr>
          <w:color w:val="2F5597"/>
          <w:sz w:val="16"/>
        </w:rPr>
        <w:t>https://pubmed.ncbi.nlm.nih.gov/19889013/</w:t>
      </w:r>
    </w:p>
    <w:p>
      <w:pPr>
        <w:ind w:left="259" w:hanging="259"/>
      </w:pPr>
      <w:r>
        <w:rPr>
          <w:b/>
          <w:sz w:val="16"/>
        </w:rPr>
        <w:t xml:space="preserve">R9. OHDSI. OMOP Common Data Model. </w:t>
      </w:r>
      <w:r>
        <w:rPr>
          <w:color w:val="2F5597"/>
          <w:sz w:val="16"/>
        </w:rPr>
        <w:t>https://www.ohdsi.org/data-standardization/the-common-data-model/</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Standards-informed specification • 25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5"/>
      </w:rPr>
      <w:t>MedAI • Epilepsy System Specification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44546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230"/>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