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7365D"/>
          <w:sz w:val="58"/>
        </w:rPr>
        <w:t>MedAI / EpiSynth</w:t>
      </w:r>
    </w:p>
    <w:p>
      <w:pPr>
        <w:jc w:val="center"/>
      </w:pPr>
      <w:r>
        <w:rPr>
          <w:b/>
          <w:color w:val="2F5597"/>
          <w:sz w:val="38"/>
        </w:rPr>
        <w:t>Final Annotation Evidence Lock</w:t>
      </w:r>
    </w:p>
    <w:p>
      <w:pPr>
        <w:jc w:val="center"/>
      </w:pPr>
      <w:r>
        <w:rPr>
          <w:sz w:val="20"/>
        </w:rPr>
        <w:t>Claim-by-claim verification and generation-inheritance gate</w:t>
        <w:br/>
        <w:t>Version 1.0 • 25 September 2026</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Purpose</w:t>
              <w:br/>
            </w:r>
            <w:r>
              <w:t>This is a final anti-fabrication gate before the Phase 6D pilot. It does not add annotation concepts. It verifies which annotation claims are externally supported, which are MedAI study methods, which generation layers survive into annotation, and which concepts remain blocked.</w:t>
            </w:r>
          </w:p>
        </w:tc>
      </w:tr>
    </w:tbl>
    <w:p/>
    <w:p>
      <w:pPr>
        <w:pStyle w:val="Heading1"/>
      </w:pPr>
      <w:r>
        <w:t>1. Final evidence rule</w:t>
      </w:r>
    </w:p>
    <w:p>
      <w:r>
        <w:t>No annotation field becomes canonical merely because it is useful. Clinical meaning must remain traceable to the authoritative semantic work already frozen in Phase 1/3B/3D. Published epilepsy annotation studies may support annotation entities, span methods, attributes, human-review procedures, and evaluation precedent. MedAI-specific benchmark mechanics must be labeled as internal methods rather than external standards.</w:t>
      </w:r>
    </w:p>
    <w:p>
      <w:pPr>
        <w:pStyle w:val="Heading1"/>
      </w:pPr>
      <w:r>
        <w:t>2. Claim-by-claim evidence ledger</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1"/>
              </w:rPr>
              <w:t>ID</w:t>
            </w:r>
          </w:p>
        </w:tc>
        <w:tc>
          <w:tcPr>
            <w:tcW w:type="dxa" w:w="2056"/>
            <w:shd w:fill="D9EAF7"/>
          </w:tcPr>
          <w:p>
            <w:r>
              <w:rPr>
                <w:b/>
                <w:sz w:val="11"/>
              </w:rPr>
              <w:t>Claim</w:t>
            </w:r>
          </w:p>
        </w:tc>
        <w:tc>
          <w:tcPr>
            <w:tcW w:type="dxa" w:w="2056"/>
            <w:shd w:fill="D9EAF7"/>
          </w:tcPr>
          <w:p>
            <w:r>
              <w:rPr>
                <w:b/>
                <w:sz w:val="11"/>
              </w:rPr>
              <w:t>Evidence class</w:t>
            </w:r>
          </w:p>
        </w:tc>
        <w:tc>
          <w:tcPr>
            <w:tcW w:type="dxa" w:w="2056"/>
            <w:shd w:fill="D9EAF7"/>
          </w:tcPr>
          <w:p>
            <w:r>
              <w:rPr>
                <w:b/>
                <w:sz w:val="11"/>
              </w:rPr>
              <w:t>Status</w:t>
            </w:r>
          </w:p>
        </w:tc>
        <w:tc>
          <w:tcPr>
            <w:tcW w:type="dxa" w:w="2056"/>
            <w:shd w:fill="D9EAF7"/>
          </w:tcPr>
          <w:p>
            <w:r>
              <w:rPr>
                <w:b/>
                <w:sz w:val="11"/>
              </w:rPr>
              <w:t>Boundary</w:t>
            </w:r>
          </w:p>
        </w:tc>
      </w:tr>
      <w:tr>
        <w:tc>
          <w:tcPr>
            <w:tcW w:type="dxa" w:w="2056"/>
          </w:tcPr>
          <w:p>
            <w:pPr>
              <w:spacing w:after="0"/>
            </w:pPr>
            <w:r>
              <w:rPr>
                <w:sz w:val="10"/>
              </w:rPr>
              <w:t>E01</w:t>
            </w:r>
          </w:p>
        </w:tc>
        <w:tc>
          <w:tcPr>
            <w:tcW w:type="dxa" w:w="2056"/>
          </w:tcPr>
          <w:p>
            <w:pPr>
              <w:spacing w:after="0"/>
            </w:pPr>
            <w:r>
              <w:rPr>
                <w:sz w:val="10"/>
              </w:rPr>
              <w:t>Synthetic epilepsy documents can be independently annotated and reconciled to consensus gold.</w:t>
            </w:r>
          </w:p>
        </w:tc>
        <w:tc>
          <w:tcPr>
            <w:tcW w:type="dxa" w:w="2056"/>
          </w:tcPr>
          <w:p>
            <w:pPr>
              <w:spacing w:after="0"/>
            </w:pPr>
            <w:r>
              <w:rPr>
                <w:sz w:val="10"/>
              </w:rPr>
              <w:t>EXTERNAL-PUBLISHED</w:t>
            </w:r>
          </w:p>
        </w:tc>
        <w:tc>
          <w:tcPr>
            <w:tcW w:type="dxa" w:w="2056"/>
          </w:tcPr>
          <w:p>
            <w:pPr>
              <w:spacing w:after="0"/>
            </w:pPr>
            <w:r>
              <w:rPr>
                <w:sz w:val="10"/>
              </w:rPr>
              <w:t>SUPPORTED</w:t>
            </w:r>
          </w:p>
        </w:tc>
        <w:tc>
          <w:tcPr>
            <w:tcW w:type="dxa" w:w="2056"/>
          </w:tcPr>
          <w:p>
            <w:pPr>
              <w:spacing w:after="0"/>
            </w:pPr>
            <w:r>
              <w:rPr>
                <w:sz w:val="10"/>
              </w:rPr>
              <w:t>200 synthetic clinic letters; double annotated by trained clinicians/researchers; all annotations reviewed; consensus gold.</w:t>
            </w:r>
          </w:p>
        </w:tc>
      </w:tr>
      <w:tr>
        <w:tc>
          <w:tcPr>
            <w:tcW w:type="dxa" w:w="2056"/>
          </w:tcPr>
          <w:p>
            <w:pPr>
              <w:spacing w:after="0"/>
            </w:pPr>
            <w:r>
              <w:rPr>
                <w:sz w:val="10"/>
              </w:rPr>
              <w:t>E02</w:t>
            </w:r>
          </w:p>
        </w:tc>
        <w:tc>
          <w:tcPr>
            <w:tcW w:type="dxa" w:w="2056"/>
          </w:tcPr>
          <w:p>
            <w:pPr>
              <w:spacing w:after="0"/>
            </w:pPr>
            <w:r>
              <w:rPr>
                <w:sz w:val="10"/>
              </w:rPr>
              <w:t>Human annotation disagreement is expected and should be preserved before consensus.</w:t>
            </w:r>
          </w:p>
        </w:tc>
        <w:tc>
          <w:tcPr>
            <w:tcW w:type="dxa" w:w="2056"/>
          </w:tcPr>
          <w:p>
            <w:pPr>
              <w:spacing w:after="0"/>
            </w:pPr>
            <w:r>
              <w:rPr>
                <w:sz w:val="10"/>
              </w:rPr>
              <w:t>EXTERNAL-PUBLISHED</w:t>
            </w:r>
          </w:p>
        </w:tc>
        <w:tc>
          <w:tcPr>
            <w:tcW w:type="dxa" w:w="2056"/>
          </w:tcPr>
          <w:p>
            <w:pPr>
              <w:spacing w:after="0"/>
            </w:pPr>
            <w:r>
              <w:rPr>
                <w:sz w:val="10"/>
              </w:rPr>
              <w:t>SUPPORTED</w:t>
            </w:r>
          </w:p>
        </w:tc>
        <w:tc>
          <w:tcPr>
            <w:tcW w:type="dxa" w:w="2056"/>
          </w:tcPr>
          <w:p>
            <w:pPr>
              <w:spacing w:after="0"/>
            </w:pPr>
            <w:r>
              <w:rPr>
                <w:sz w:val="10"/>
              </w:rPr>
              <w:t>Overall per-item IAA F1 reported as 0.73; consensus meetings produced final gold.</w:t>
            </w:r>
          </w:p>
        </w:tc>
      </w:tr>
      <w:tr>
        <w:tc>
          <w:tcPr>
            <w:tcW w:type="dxa" w:w="2056"/>
          </w:tcPr>
          <w:p>
            <w:pPr>
              <w:spacing w:after="0"/>
            </w:pPr>
            <w:r>
              <w:rPr>
                <w:sz w:val="10"/>
              </w:rPr>
              <w:t>E03</w:t>
            </w:r>
          </w:p>
        </w:tc>
        <w:tc>
          <w:tcPr>
            <w:tcW w:type="dxa" w:w="2056"/>
          </w:tcPr>
          <w:p>
            <w:pPr>
              <w:spacing w:after="0"/>
            </w:pPr>
            <w:r>
              <w:rPr>
                <w:sz w:val="10"/>
              </w:rPr>
              <w:t>Real epilepsy clinical notes can have clinician-created gold annotations.</w:t>
            </w:r>
          </w:p>
        </w:tc>
        <w:tc>
          <w:tcPr>
            <w:tcW w:type="dxa" w:w="2056"/>
          </w:tcPr>
          <w:p>
            <w:pPr>
              <w:spacing w:after="0"/>
            </w:pPr>
            <w:r>
              <w:rPr>
                <w:sz w:val="10"/>
              </w:rPr>
              <w:t>EXTERNAL-PUBLISHED</w:t>
            </w:r>
          </w:p>
        </w:tc>
        <w:tc>
          <w:tcPr>
            <w:tcW w:type="dxa" w:w="2056"/>
          </w:tcPr>
          <w:p>
            <w:pPr>
              <w:spacing w:after="0"/>
            </w:pPr>
            <w:r>
              <w:rPr>
                <w:sz w:val="10"/>
              </w:rPr>
              <w:t>SUPPORTED</w:t>
            </w:r>
          </w:p>
        </w:tc>
        <w:tc>
          <w:tcPr>
            <w:tcW w:type="dxa" w:w="2056"/>
          </w:tcPr>
          <w:p>
            <w:pPr>
              <w:spacing w:after="0"/>
            </w:pPr>
            <w:r>
              <w:rPr>
                <w:sz w:val="10"/>
              </w:rPr>
              <w:t>104 EMU discharge summaries manually annotated by two clinicians.</w:t>
            </w:r>
          </w:p>
        </w:tc>
      </w:tr>
      <w:tr>
        <w:tc>
          <w:tcPr>
            <w:tcW w:type="dxa" w:w="2056"/>
          </w:tcPr>
          <w:p>
            <w:pPr>
              <w:spacing w:after="0"/>
            </w:pPr>
            <w:r>
              <w:rPr>
                <w:sz w:val="10"/>
              </w:rPr>
              <w:t>E04</w:t>
            </w:r>
          </w:p>
        </w:tc>
        <w:tc>
          <w:tcPr>
            <w:tcW w:type="dxa" w:w="2056"/>
          </w:tcPr>
          <w:p>
            <w:pPr>
              <w:spacing w:after="0"/>
            </w:pPr>
            <w:r>
              <w:rPr>
                <w:sz w:val="10"/>
              </w:rPr>
              <w:t>Exact seizure-frequency spans and structured attributes have published real-note precedent.</w:t>
            </w:r>
          </w:p>
        </w:tc>
        <w:tc>
          <w:tcPr>
            <w:tcW w:type="dxa" w:w="2056"/>
          </w:tcPr>
          <w:p>
            <w:pPr>
              <w:spacing w:after="0"/>
            </w:pPr>
            <w:r>
              <w:rPr>
                <w:sz w:val="10"/>
              </w:rPr>
              <w:t>EXTERNAL-PUBLISHED</w:t>
            </w:r>
          </w:p>
        </w:tc>
        <w:tc>
          <w:tcPr>
            <w:tcW w:type="dxa" w:w="2056"/>
          </w:tcPr>
          <w:p>
            <w:pPr>
              <w:spacing w:after="0"/>
            </w:pPr>
            <w:r>
              <w:rPr>
                <w:sz w:val="10"/>
              </w:rPr>
              <w:t>SUPPORTED</w:t>
            </w:r>
          </w:p>
        </w:tc>
        <w:tc>
          <w:tcPr>
            <w:tcW w:type="dxa" w:w="2056"/>
          </w:tcPr>
          <w:p>
            <w:pPr>
              <w:spacing w:after="0"/>
            </w:pPr>
            <w:r>
              <w:rPr>
                <w:sz w:val="10"/>
              </w:rPr>
              <w:t>800 text segments across six institutions; manual phrase/attribute annotation.</w:t>
            </w:r>
          </w:p>
        </w:tc>
      </w:tr>
      <w:tr>
        <w:tc>
          <w:tcPr>
            <w:tcW w:type="dxa" w:w="2056"/>
          </w:tcPr>
          <w:p>
            <w:pPr>
              <w:spacing w:after="0"/>
            </w:pPr>
            <w:r>
              <w:rPr>
                <w:sz w:val="10"/>
              </w:rPr>
              <w:t>E05</w:t>
            </w:r>
          </w:p>
        </w:tc>
        <w:tc>
          <w:tcPr>
            <w:tcW w:type="dxa" w:w="2056"/>
          </w:tcPr>
          <w:p>
            <w:pPr>
              <w:spacing w:after="0"/>
            </w:pPr>
            <w:r>
              <w:rPr>
                <w:sz w:val="10"/>
              </w:rPr>
              <w:t>Epilepsy diagnosis/type/seizure type should not be inferred from lower-level evidence merely because related evidence exists.</w:t>
            </w:r>
          </w:p>
        </w:tc>
        <w:tc>
          <w:tcPr>
            <w:tcW w:type="dxa" w:w="2056"/>
          </w:tcPr>
          <w:p>
            <w:pPr>
              <w:spacing w:after="0"/>
            </w:pPr>
            <w:r>
              <w:rPr>
                <w:sz w:val="10"/>
              </w:rPr>
              <w:t>EXTERNAL+INTERNAL</w:t>
            </w:r>
          </w:p>
        </w:tc>
        <w:tc>
          <w:tcPr>
            <w:tcW w:type="dxa" w:w="2056"/>
          </w:tcPr>
          <w:p>
            <w:pPr>
              <w:spacing w:after="0"/>
            </w:pPr>
            <w:r>
              <w:rPr>
                <w:sz w:val="10"/>
              </w:rPr>
              <w:t>SUPPORTED-WITH-BOUNDARY</w:t>
            </w:r>
          </w:p>
        </w:tc>
        <w:tc>
          <w:tcPr>
            <w:tcW w:type="dxa" w:w="2056"/>
          </w:tcPr>
          <w:p>
            <w:pPr>
              <w:spacing w:after="0"/>
            </w:pPr>
            <w:r>
              <w:rPr>
                <w:sz w:val="10"/>
              </w:rPr>
              <w:t>ExECT explicitly used direct mentions for epilepsy type and did not infer it from seizure type/investigation results; MedAI generalizes the no-unstated-inference principle as an internal annotation rule.</w:t>
            </w:r>
          </w:p>
        </w:tc>
      </w:tr>
      <w:tr>
        <w:tc>
          <w:tcPr>
            <w:tcW w:type="dxa" w:w="2056"/>
          </w:tcPr>
          <w:p>
            <w:pPr>
              <w:spacing w:after="0"/>
            </w:pPr>
            <w:r>
              <w:rPr>
                <w:sz w:val="10"/>
              </w:rPr>
              <w:t>E06</w:t>
            </w:r>
          </w:p>
        </w:tc>
        <w:tc>
          <w:tcPr>
            <w:tcW w:type="dxa" w:w="2056"/>
          </w:tcPr>
          <w:p>
            <w:pPr>
              <w:spacing w:after="0"/>
            </w:pPr>
            <w:r>
              <w:rPr>
                <w:sz w:val="10"/>
              </w:rPr>
              <w:t>A five-level certainty representation exists in ExECT.</w:t>
            </w:r>
          </w:p>
        </w:tc>
        <w:tc>
          <w:tcPr>
            <w:tcW w:type="dxa" w:w="2056"/>
          </w:tcPr>
          <w:p>
            <w:pPr>
              <w:spacing w:after="0"/>
            </w:pPr>
            <w:r>
              <w:rPr>
                <w:sz w:val="10"/>
              </w:rPr>
              <w:t>EXTERNAL-PUBLISHED</w:t>
            </w:r>
          </w:p>
        </w:tc>
        <w:tc>
          <w:tcPr>
            <w:tcW w:type="dxa" w:w="2056"/>
          </w:tcPr>
          <w:p>
            <w:pPr>
              <w:spacing w:after="0"/>
            </w:pPr>
            <w:r>
              <w:rPr>
                <w:sz w:val="10"/>
              </w:rPr>
              <w:t>SUPPORTED-SOURCE-SPECIFIC</w:t>
            </w:r>
          </w:p>
        </w:tc>
        <w:tc>
          <w:tcPr>
            <w:tcW w:type="dxa" w:w="2056"/>
          </w:tcPr>
          <w:p>
            <w:pPr>
              <w:spacing w:after="0"/>
            </w:pPr>
            <w:r>
              <w:rPr>
                <w:sz w:val="10"/>
              </w:rPr>
              <w:t>Do not universalize it as the MedAI certainty ontology.</w:t>
            </w:r>
          </w:p>
        </w:tc>
      </w:tr>
      <w:tr>
        <w:tc>
          <w:tcPr>
            <w:tcW w:type="dxa" w:w="2056"/>
          </w:tcPr>
          <w:p>
            <w:pPr>
              <w:spacing w:after="0"/>
            </w:pPr>
            <w:r>
              <w:rPr>
                <w:sz w:val="10"/>
              </w:rPr>
              <w:t>E07</w:t>
            </w:r>
          </w:p>
        </w:tc>
        <w:tc>
          <w:tcPr>
            <w:tcW w:type="dxa" w:w="2056"/>
          </w:tcPr>
          <w:p>
            <w:pPr>
              <w:spacing w:after="0"/>
            </w:pPr>
            <w:r>
              <w:rPr>
                <w:sz w:val="10"/>
              </w:rPr>
              <w:t>EvidenceSpan and DIRECT/NORMALIZED/DERIVED are the shared MedAI representation.</w:t>
            </w:r>
          </w:p>
        </w:tc>
        <w:tc>
          <w:tcPr>
            <w:tcW w:type="dxa" w:w="2056"/>
          </w:tcPr>
          <w:p>
            <w:pPr>
              <w:spacing w:after="0"/>
            </w:pPr>
            <w:r>
              <w:rPr>
                <w:sz w:val="10"/>
              </w:rPr>
              <w:t>INTERNAL-METHOD</w:t>
            </w:r>
          </w:p>
        </w:tc>
        <w:tc>
          <w:tcPr>
            <w:tcW w:type="dxa" w:w="2056"/>
          </w:tcPr>
          <w:p>
            <w:pPr>
              <w:spacing w:after="0"/>
            </w:pPr>
            <w:r>
              <w:rPr>
                <w:sz w:val="10"/>
              </w:rPr>
              <w:t>SUPPORTED-INTERNAL</w:t>
            </w:r>
          </w:p>
        </w:tc>
        <w:tc>
          <w:tcPr>
            <w:tcW w:type="dxa" w:w="2056"/>
          </w:tcPr>
          <w:p>
            <w:pPr>
              <w:spacing w:after="0"/>
            </w:pPr>
            <w:r>
              <w:rPr>
                <w:sz w:val="10"/>
              </w:rPr>
              <w:t>These are MedAI computational objects, not claims of an external standard.</w:t>
            </w:r>
          </w:p>
        </w:tc>
      </w:tr>
      <w:tr>
        <w:tc>
          <w:tcPr>
            <w:tcW w:type="dxa" w:w="2056"/>
          </w:tcPr>
          <w:p>
            <w:pPr>
              <w:spacing w:after="0"/>
            </w:pPr>
            <w:r>
              <w:rPr>
                <w:sz w:val="10"/>
              </w:rPr>
              <w:t>E08</w:t>
            </w:r>
          </w:p>
        </w:tc>
        <w:tc>
          <w:tcPr>
            <w:tcW w:type="dxa" w:w="2056"/>
          </w:tcPr>
          <w:p>
            <w:pPr>
              <w:spacing w:after="0"/>
            </w:pPr>
            <w:r>
              <w:rPr>
                <w:sz w:val="10"/>
              </w:rPr>
              <w:t>G0 latent truth and G1 authorized content must remain separate from G2 rendered evidence.</w:t>
            </w:r>
          </w:p>
        </w:tc>
        <w:tc>
          <w:tcPr>
            <w:tcW w:type="dxa" w:w="2056"/>
          </w:tcPr>
          <w:p>
            <w:pPr>
              <w:spacing w:after="0"/>
            </w:pPr>
            <w:r>
              <w:rPr>
                <w:sz w:val="10"/>
              </w:rPr>
              <w:t>INTERNAL-METHOD</w:t>
            </w:r>
          </w:p>
        </w:tc>
        <w:tc>
          <w:tcPr>
            <w:tcW w:type="dxa" w:w="2056"/>
          </w:tcPr>
          <w:p>
            <w:pPr>
              <w:spacing w:after="0"/>
            </w:pPr>
            <w:r>
              <w:rPr>
                <w:sz w:val="10"/>
              </w:rPr>
              <w:t>FROZEN</w:t>
            </w:r>
          </w:p>
        </w:tc>
        <w:tc>
          <w:tcPr>
            <w:tcW w:type="dxa" w:w="2056"/>
          </w:tcPr>
          <w:p>
            <w:pPr>
              <w:spacing w:after="0"/>
            </w:pPr>
            <w:r>
              <w:rPr>
                <w:sz w:val="10"/>
              </w:rPr>
              <w:t>Prevents generator truth from overwriting actual rendered text.</w:t>
            </w:r>
          </w:p>
        </w:tc>
      </w:tr>
      <w:tr>
        <w:tc>
          <w:tcPr>
            <w:tcW w:type="dxa" w:w="2056"/>
          </w:tcPr>
          <w:p>
            <w:pPr>
              <w:spacing w:after="0"/>
            </w:pPr>
            <w:r>
              <w:rPr>
                <w:sz w:val="10"/>
              </w:rPr>
              <w:t>E09</w:t>
            </w:r>
          </w:p>
        </w:tc>
        <w:tc>
          <w:tcPr>
            <w:tcW w:type="dxa" w:w="2056"/>
          </w:tcPr>
          <w:p>
            <w:pPr>
              <w:spacing w:after="0"/>
            </w:pPr>
            <w:r>
              <w:rPr>
                <w:sz w:val="10"/>
              </w:rPr>
              <w:t>G3 requires human review/adjudication rather than automatic inheritance from latent truth.</w:t>
            </w:r>
          </w:p>
        </w:tc>
        <w:tc>
          <w:tcPr>
            <w:tcW w:type="dxa" w:w="2056"/>
          </w:tcPr>
          <w:p>
            <w:pPr>
              <w:spacing w:after="0"/>
            </w:pPr>
            <w:r>
              <w:rPr>
                <w:sz w:val="10"/>
              </w:rPr>
              <w:t>EXTERNAL-PRECEDENT+INTERNAL-METHOD</w:t>
            </w:r>
          </w:p>
        </w:tc>
        <w:tc>
          <w:tcPr>
            <w:tcW w:type="dxa" w:w="2056"/>
          </w:tcPr>
          <w:p>
            <w:pPr>
              <w:spacing w:after="0"/>
            </w:pPr>
            <w:r>
              <w:rPr>
                <w:sz w:val="10"/>
              </w:rPr>
              <w:t>FROZEN</w:t>
            </w:r>
          </w:p>
        </w:tc>
        <w:tc>
          <w:tcPr>
            <w:tcW w:type="dxa" w:w="2056"/>
          </w:tcPr>
          <w:p>
            <w:pPr>
              <w:spacing w:after="0"/>
            </w:pPr>
            <w:r>
              <w:rPr>
                <w:sz w:val="10"/>
              </w:rPr>
              <w:t>Exact MedAI workflow is prospective study method.</w:t>
            </w:r>
          </w:p>
        </w:tc>
      </w:tr>
      <w:tr>
        <w:tc>
          <w:tcPr>
            <w:tcW w:type="dxa" w:w="2056"/>
          </w:tcPr>
          <w:p>
            <w:pPr>
              <w:spacing w:after="0"/>
            </w:pPr>
            <w:r>
              <w:rPr>
                <w:sz w:val="10"/>
              </w:rPr>
              <w:t>E10</w:t>
            </w:r>
          </w:p>
        </w:tc>
        <w:tc>
          <w:tcPr>
            <w:tcW w:type="dxa" w:w="2056"/>
          </w:tcPr>
          <w:p>
            <w:pPr>
              <w:spacing w:after="0"/>
            </w:pPr>
            <w:r>
              <w:rPr>
                <w:sz w:val="10"/>
              </w:rPr>
              <w:t>Universal certainty/temporality, detailed EEG hierarchy, MRI lesion ontology, computed syndrome/DRE, and concordance are not established by the audited annotation literature.</w:t>
            </w:r>
          </w:p>
        </w:tc>
        <w:tc>
          <w:tcPr>
            <w:tcW w:type="dxa" w:w="2056"/>
          </w:tcPr>
          <w:p>
            <w:pPr>
              <w:spacing w:after="0"/>
            </w:pPr>
            <w:r>
              <w:rPr>
                <w:sz w:val="10"/>
              </w:rPr>
              <w:t>EVIDENCE-GAP</w:t>
            </w:r>
          </w:p>
        </w:tc>
        <w:tc>
          <w:tcPr>
            <w:tcW w:type="dxa" w:w="2056"/>
          </w:tcPr>
          <w:p>
            <w:pPr>
              <w:spacing w:after="0"/>
            </w:pPr>
            <w:r>
              <w:rPr>
                <w:sz w:val="10"/>
              </w:rPr>
              <w:t>BLOCKED</w:t>
            </w:r>
          </w:p>
        </w:tc>
        <w:tc>
          <w:tcPr>
            <w:tcW w:type="dxa" w:w="2056"/>
          </w:tcPr>
          <w:p>
            <w:pPr>
              <w:spacing w:after="0"/>
            </w:pPr>
            <w:r>
              <w:rPr>
                <w:sz w:val="10"/>
              </w:rPr>
              <w:t>Remain limited/source-text-only/blocked until dedicated evidence and validation exist.</w:t>
            </w:r>
          </w:p>
        </w:tc>
      </w:tr>
    </w:tbl>
    <w:p/>
    <w:p>
      <w:pPr>
        <w:pStyle w:val="Heading1"/>
      </w:pPr>
      <w:r>
        <w:t>3. Generation inheritance - final check</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Existing layer</w:t>
            </w:r>
          </w:p>
        </w:tc>
        <w:tc>
          <w:tcPr>
            <w:tcW w:type="dxa" w:w="5141"/>
            <w:shd w:fill="D9EAF7"/>
          </w:tcPr>
          <w:p>
            <w:r>
              <w:rPr>
                <w:b/>
                <w:sz w:val="12"/>
              </w:rPr>
              <w:t>Final annotation status</w:t>
            </w:r>
          </w:p>
        </w:tc>
      </w:tr>
      <w:tr>
        <w:tc>
          <w:tcPr>
            <w:tcW w:type="dxa" w:w="5141"/>
          </w:tcPr>
          <w:p>
            <w:pPr>
              <w:spacing w:after="0"/>
            </w:pPr>
            <w:r>
              <w:rPr>
                <w:sz w:val="12"/>
              </w:rPr>
              <w:t>ClinicalDocument</w:t>
            </w:r>
          </w:p>
        </w:tc>
        <w:tc>
          <w:tcPr>
            <w:tcW w:type="dxa" w:w="5141"/>
          </w:tcPr>
          <w:p>
            <w:pPr>
              <w:spacing w:after="0"/>
            </w:pPr>
            <w:r>
              <w:rPr>
                <w:sz w:val="12"/>
              </w:rPr>
              <w:t>PRESERVED</w:t>
            </w:r>
          </w:p>
        </w:tc>
      </w:tr>
      <w:tr>
        <w:tc>
          <w:tcPr>
            <w:tcW w:type="dxa" w:w="5141"/>
          </w:tcPr>
          <w:p>
            <w:pPr>
              <w:spacing w:after="0"/>
            </w:pPr>
            <w:r>
              <w:rPr>
                <w:sz w:val="12"/>
              </w:rPr>
              <w:t>EvidenceSpan + offsets</w:t>
            </w:r>
          </w:p>
        </w:tc>
        <w:tc>
          <w:tcPr>
            <w:tcW w:type="dxa" w:w="5141"/>
          </w:tcPr>
          <w:p>
            <w:pPr>
              <w:spacing w:after="0"/>
            </w:pPr>
            <w:r>
              <w:rPr>
                <w:sz w:val="12"/>
              </w:rPr>
              <w:t>PRESERVED</w:t>
            </w:r>
          </w:p>
        </w:tc>
      </w:tr>
      <w:tr>
        <w:tc>
          <w:tcPr>
            <w:tcW w:type="dxa" w:w="5141"/>
          </w:tcPr>
          <w:p>
            <w:pPr>
              <w:spacing w:after="0"/>
            </w:pPr>
            <w:r>
              <w:rPr>
                <w:sz w:val="12"/>
              </w:rPr>
              <w:t>SourceConcept + source/version</w:t>
            </w:r>
          </w:p>
        </w:tc>
        <w:tc>
          <w:tcPr>
            <w:tcW w:type="dxa" w:w="5141"/>
          </w:tcPr>
          <w:p>
            <w:pPr>
              <w:spacing w:after="0"/>
            </w:pPr>
            <w:r>
              <w:rPr>
                <w:sz w:val="12"/>
              </w:rPr>
              <w:t>PRESERVED</w:t>
            </w:r>
          </w:p>
        </w:tc>
      </w:tr>
      <w:tr>
        <w:tc>
          <w:tcPr>
            <w:tcW w:type="dxa" w:w="5141"/>
          </w:tcPr>
          <w:p>
            <w:pPr>
              <w:spacing w:after="0"/>
            </w:pPr>
            <w:r>
              <w:rPr>
                <w:sz w:val="12"/>
              </w:rPr>
              <w:t>PhenotypeAssertion</w:t>
            </w:r>
          </w:p>
        </w:tc>
        <w:tc>
          <w:tcPr>
            <w:tcW w:type="dxa" w:w="5141"/>
          </w:tcPr>
          <w:p>
            <w:pPr>
              <w:spacing w:after="0"/>
            </w:pPr>
            <w:r>
              <w:rPr>
                <w:sz w:val="12"/>
              </w:rPr>
              <w:t>PRESERVED</w:t>
            </w:r>
          </w:p>
        </w:tc>
      </w:tr>
      <w:tr>
        <w:tc>
          <w:tcPr>
            <w:tcW w:type="dxa" w:w="5141"/>
          </w:tcPr>
          <w:p>
            <w:pPr>
              <w:spacing w:after="0"/>
            </w:pPr>
            <w:r>
              <w:rPr>
                <w:sz w:val="12"/>
              </w:rPr>
              <w:t>DIRECT</w:t>
            </w:r>
          </w:p>
        </w:tc>
        <w:tc>
          <w:tcPr>
            <w:tcW w:type="dxa" w:w="5141"/>
          </w:tcPr>
          <w:p>
            <w:pPr>
              <w:spacing w:after="0"/>
            </w:pPr>
            <w:r>
              <w:rPr>
                <w:sz w:val="12"/>
              </w:rPr>
              <w:t>PRESERVED</w:t>
            </w:r>
          </w:p>
        </w:tc>
      </w:tr>
      <w:tr>
        <w:tc>
          <w:tcPr>
            <w:tcW w:type="dxa" w:w="5141"/>
          </w:tcPr>
          <w:p>
            <w:pPr>
              <w:spacing w:after="0"/>
            </w:pPr>
            <w:r>
              <w:rPr>
                <w:sz w:val="12"/>
              </w:rPr>
              <w:t>NORMALIZED</w:t>
            </w:r>
          </w:p>
        </w:tc>
        <w:tc>
          <w:tcPr>
            <w:tcW w:type="dxa" w:w="5141"/>
          </w:tcPr>
          <w:p>
            <w:pPr>
              <w:spacing w:after="0"/>
            </w:pPr>
            <w:r>
              <w:rPr>
                <w:sz w:val="12"/>
              </w:rPr>
              <w:t>PRESERVED</w:t>
            </w:r>
          </w:p>
        </w:tc>
      </w:tr>
      <w:tr>
        <w:tc>
          <w:tcPr>
            <w:tcW w:type="dxa" w:w="5141"/>
          </w:tcPr>
          <w:p>
            <w:pPr>
              <w:spacing w:after="0"/>
            </w:pPr>
            <w:r>
              <w:rPr>
                <w:sz w:val="12"/>
              </w:rPr>
              <w:t>DERIVED</w:t>
            </w:r>
          </w:p>
        </w:tc>
        <w:tc>
          <w:tcPr>
            <w:tcW w:type="dxa" w:w="5141"/>
          </w:tcPr>
          <w:p>
            <w:pPr>
              <w:spacing w:after="0"/>
            </w:pPr>
            <w:r>
              <w:rPr>
                <w:sz w:val="12"/>
              </w:rPr>
              <w:t>PRESERVED</w:t>
            </w:r>
          </w:p>
        </w:tc>
      </w:tr>
      <w:tr>
        <w:tc>
          <w:tcPr>
            <w:tcW w:type="dxa" w:w="5141"/>
          </w:tcPr>
          <w:p>
            <w:pPr>
              <w:spacing w:after="0"/>
            </w:pPr>
            <w:r>
              <w:rPr>
                <w:sz w:val="12"/>
              </w:rPr>
              <w:t>PatientPhenotypeView</w:t>
            </w:r>
          </w:p>
        </w:tc>
        <w:tc>
          <w:tcPr>
            <w:tcW w:type="dxa" w:w="5141"/>
          </w:tcPr>
          <w:p>
            <w:pPr>
              <w:spacing w:after="0"/>
            </w:pPr>
            <w:r>
              <w:rPr>
                <w:sz w:val="12"/>
              </w:rPr>
              <w:t>PRESERVED-SEPARATE</w:t>
            </w:r>
          </w:p>
        </w:tc>
      </w:tr>
      <w:tr>
        <w:tc>
          <w:tcPr>
            <w:tcW w:type="dxa" w:w="5141"/>
          </w:tcPr>
          <w:p>
            <w:pPr>
              <w:spacing w:after="0"/>
            </w:pPr>
            <w:r>
              <w:rPr>
                <w:sz w:val="12"/>
              </w:rPr>
              <w:t>certainty</w:t>
            </w:r>
          </w:p>
        </w:tc>
        <w:tc>
          <w:tcPr>
            <w:tcW w:type="dxa" w:w="5141"/>
          </w:tcPr>
          <w:p>
            <w:pPr>
              <w:spacing w:after="0"/>
            </w:pPr>
            <w:r>
              <w:rPr>
                <w:sz w:val="12"/>
              </w:rPr>
              <w:t>PRESERVED-LIMITED</w:t>
            </w:r>
          </w:p>
        </w:tc>
      </w:tr>
      <w:tr>
        <w:tc>
          <w:tcPr>
            <w:tcW w:type="dxa" w:w="5141"/>
          </w:tcPr>
          <w:p>
            <w:pPr>
              <w:spacing w:after="0"/>
            </w:pPr>
            <w:r>
              <w:rPr>
                <w:sz w:val="12"/>
              </w:rPr>
              <w:t>negation</w:t>
            </w:r>
          </w:p>
        </w:tc>
        <w:tc>
          <w:tcPr>
            <w:tcW w:type="dxa" w:w="5141"/>
          </w:tcPr>
          <w:p>
            <w:pPr>
              <w:spacing w:after="0"/>
            </w:pPr>
            <w:r>
              <w:rPr>
                <w:sz w:val="12"/>
              </w:rPr>
              <w:t>PRESERVED</w:t>
            </w:r>
          </w:p>
        </w:tc>
      </w:tr>
      <w:tr>
        <w:tc>
          <w:tcPr>
            <w:tcW w:type="dxa" w:w="5141"/>
          </w:tcPr>
          <w:p>
            <w:pPr>
              <w:spacing w:after="0"/>
            </w:pPr>
            <w:r>
              <w:rPr>
                <w:sz w:val="12"/>
              </w:rPr>
              <w:t>temporality</w:t>
            </w:r>
          </w:p>
        </w:tc>
        <w:tc>
          <w:tcPr>
            <w:tcW w:type="dxa" w:w="5141"/>
          </w:tcPr>
          <w:p>
            <w:pPr>
              <w:spacing w:after="0"/>
            </w:pPr>
            <w:r>
              <w:rPr>
                <w:sz w:val="12"/>
              </w:rPr>
              <w:t>PRESERVED-LIMITED</w:t>
            </w:r>
          </w:p>
        </w:tc>
      </w:tr>
      <w:tr>
        <w:tc>
          <w:tcPr>
            <w:tcW w:type="dxa" w:w="5141"/>
          </w:tcPr>
          <w:p>
            <w:pPr>
              <w:spacing w:after="0"/>
            </w:pPr>
            <w:r>
              <w:rPr>
                <w:sz w:val="12"/>
              </w:rPr>
              <w:t>experiencer</w:t>
            </w:r>
          </w:p>
        </w:tc>
        <w:tc>
          <w:tcPr>
            <w:tcW w:type="dxa" w:w="5141"/>
          </w:tcPr>
          <w:p>
            <w:pPr>
              <w:spacing w:after="0"/>
            </w:pPr>
            <w:r>
              <w:rPr>
                <w:sz w:val="12"/>
              </w:rPr>
              <w:t>PRESERVED</w:t>
            </w:r>
          </w:p>
        </w:tc>
      </w:tr>
      <w:tr>
        <w:tc>
          <w:tcPr>
            <w:tcW w:type="dxa" w:w="5141"/>
          </w:tcPr>
          <w:p>
            <w:pPr>
              <w:spacing w:after="0"/>
            </w:pPr>
            <w:r>
              <w:rPr>
                <w:sz w:val="12"/>
              </w:rPr>
              <w:t>laterality</w:t>
            </w:r>
          </w:p>
        </w:tc>
        <w:tc>
          <w:tcPr>
            <w:tcW w:type="dxa" w:w="5141"/>
          </w:tcPr>
          <w:p>
            <w:pPr>
              <w:spacing w:after="0"/>
            </w:pPr>
            <w:r>
              <w:rPr>
                <w:sz w:val="12"/>
              </w:rPr>
              <w:t>PRESERVED-SOURCE-TEXT</w:t>
            </w:r>
          </w:p>
        </w:tc>
      </w:tr>
      <w:tr>
        <w:tc>
          <w:tcPr>
            <w:tcW w:type="dxa" w:w="5141"/>
          </w:tcPr>
          <w:p>
            <w:pPr>
              <w:spacing w:after="0"/>
            </w:pPr>
            <w:r>
              <w:rPr>
                <w:sz w:val="12"/>
              </w:rPr>
              <w:t>anatomical site</w:t>
            </w:r>
          </w:p>
        </w:tc>
        <w:tc>
          <w:tcPr>
            <w:tcW w:type="dxa" w:w="5141"/>
          </w:tcPr>
          <w:p>
            <w:pPr>
              <w:spacing w:after="0"/>
            </w:pPr>
            <w:r>
              <w:rPr>
                <w:sz w:val="12"/>
              </w:rPr>
              <w:t>PRESERVED-LIMITED</w:t>
            </w:r>
          </w:p>
        </w:tc>
      </w:tr>
      <w:tr>
        <w:tc>
          <w:tcPr>
            <w:tcW w:type="dxa" w:w="5141"/>
          </w:tcPr>
          <w:p>
            <w:pPr>
              <w:spacing w:after="0"/>
            </w:pPr>
            <w:r>
              <w:rPr>
                <w:sz w:val="12"/>
              </w:rPr>
              <w:t>G0 latent truth</w:t>
            </w:r>
          </w:p>
        </w:tc>
        <w:tc>
          <w:tcPr>
            <w:tcW w:type="dxa" w:w="5141"/>
          </w:tcPr>
          <w:p>
            <w:pPr>
              <w:spacing w:after="0"/>
            </w:pPr>
            <w:r>
              <w:rPr>
                <w:sz w:val="12"/>
              </w:rPr>
              <w:t>PRESERVED-SYNTHETIC</w:t>
            </w:r>
          </w:p>
        </w:tc>
      </w:tr>
      <w:tr>
        <w:tc>
          <w:tcPr>
            <w:tcW w:type="dxa" w:w="5141"/>
          </w:tcPr>
          <w:p>
            <w:pPr>
              <w:spacing w:after="0"/>
            </w:pPr>
            <w:r>
              <w:rPr>
                <w:sz w:val="12"/>
              </w:rPr>
              <w:t>ClinicalEvent</w:t>
            </w:r>
          </w:p>
        </w:tc>
        <w:tc>
          <w:tcPr>
            <w:tcW w:type="dxa" w:w="5141"/>
          </w:tcPr>
          <w:p>
            <w:pPr>
              <w:spacing w:after="0"/>
            </w:pPr>
            <w:r>
              <w:rPr>
                <w:sz w:val="12"/>
              </w:rPr>
              <w:t>PRESERVED-SYNTHETIC</w:t>
            </w:r>
          </w:p>
        </w:tc>
      </w:tr>
      <w:tr>
        <w:tc>
          <w:tcPr>
            <w:tcW w:type="dxa" w:w="5141"/>
          </w:tcPr>
          <w:p>
            <w:pPr>
              <w:spacing w:after="0"/>
            </w:pPr>
            <w:r>
              <w:rPr>
                <w:sz w:val="12"/>
              </w:rPr>
              <w:t>G1 allowed/required/prohibited assertions</w:t>
            </w:r>
          </w:p>
        </w:tc>
        <w:tc>
          <w:tcPr>
            <w:tcW w:type="dxa" w:w="5141"/>
          </w:tcPr>
          <w:p>
            <w:pPr>
              <w:spacing w:after="0"/>
            </w:pPr>
            <w:r>
              <w:rPr>
                <w:sz w:val="12"/>
              </w:rPr>
              <w:t>PRESERVED-SYNTHETIC</w:t>
            </w:r>
          </w:p>
        </w:tc>
      </w:tr>
      <w:tr>
        <w:tc>
          <w:tcPr>
            <w:tcW w:type="dxa" w:w="5141"/>
          </w:tcPr>
          <w:p>
            <w:pPr>
              <w:spacing w:after="0"/>
            </w:pPr>
            <w:r>
              <w:rPr>
                <w:sz w:val="12"/>
              </w:rPr>
              <w:t>semantic-plan provenance</w:t>
            </w:r>
          </w:p>
        </w:tc>
        <w:tc>
          <w:tcPr>
            <w:tcW w:type="dxa" w:w="5141"/>
          </w:tcPr>
          <w:p>
            <w:pPr>
              <w:spacing w:after="0"/>
            </w:pPr>
            <w:r>
              <w:rPr>
                <w:sz w:val="12"/>
              </w:rPr>
              <w:t>PRESERVED-SYNTHETIC</w:t>
            </w:r>
          </w:p>
        </w:tc>
      </w:tr>
      <w:tr>
        <w:tc>
          <w:tcPr>
            <w:tcW w:type="dxa" w:w="5141"/>
          </w:tcPr>
          <w:p>
            <w:pPr>
              <w:spacing w:after="0"/>
            </w:pPr>
            <w:r>
              <w:rPr>
                <w:sz w:val="12"/>
              </w:rPr>
              <w:t>generator/model/condition/request/output provenance</w:t>
            </w:r>
          </w:p>
        </w:tc>
        <w:tc>
          <w:tcPr>
            <w:tcW w:type="dxa" w:w="5141"/>
          </w:tcPr>
          <w:p>
            <w:pPr>
              <w:spacing w:after="0"/>
            </w:pPr>
            <w:r>
              <w:rPr>
                <w:sz w:val="12"/>
              </w:rPr>
              <w:t>PRESERVED-SYNTHETIC</w:t>
            </w:r>
          </w:p>
        </w:tc>
      </w:tr>
      <w:tr>
        <w:tc>
          <w:tcPr>
            <w:tcW w:type="dxa" w:w="5141"/>
          </w:tcPr>
          <w:p>
            <w:pPr>
              <w:spacing w:after="0"/>
            </w:pPr>
            <w:r>
              <w:rPr>
                <w:sz w:val="12"/>
              </w:rPr>
              <w:t>G2 rendered evidence</w:t>
            </w:r>
          </w:p>
        </w:tc>
        <w:tc>
          <w:tcPr>
            <w:tcW w:type="dxa" w:w="5141"/>
          </w:tcPr>
          <w:p>
            <w:pPr>
              <w:spacing w:after="0"/>
            </w:pPr>
            <w:r>
              <w:rPr>
                <w:sz w:val="12"/>
              </w:rPr>
              <w:t>PRESERVED</w:t>
            </w:r>
          </w:p>
        </w:tc>
      </w:tr>
      <w:tr>
        <w:tc>
          <w:tcPr>
            <w:tcW w:type="dxa" w:w="5141"/>
          </w:tcPr>
          <w:p>
            <w:pPr>
              <w:spacing w:after="0"/>
            </w:pPr>
            <w:r>
              <w:rPr>
                <w:sz w:val="12"/>
              </w:rPr>
              <w:t>G3 adjudicated gold</w:t>
            </w:r>
          </w:p>
        </w:tc>
        <w:tc>
          <w:tcPr>
            <w:tcW w:type="dxa" w:w="5141"/>
          </w:tcPr>
          <w:p>
            <w:pPr>
              <w:spacing w:after="0"/>
            </w:pPr>
            <w:r>
              <w:rPr>
                <w:sz w:val="12"/>
              </w:rPr>
              <w:t>PRESERVED</w:t>
            </w:r>
          </w:p>
        </w:tc>
      </w:tr>
    </w:tbl>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Result</w:t>
              <w:br/>
            </w:r>
            <w:r>
              <w:t>No core generation layer needed for semantic or provenance traceability is missing. Synthetic-only objects remain synthetic-only; real notes are not assigned latent truth or semantic-plan fields as observed clinical facts.</w:t>
            </w:r>
          </w:p>
        </w:tc>
      </w:tr>
    </w:tbl>
    <w:p/>
    <w:p>
      <w:pPr>
        <w:pStyle w:val="Heading1"/>
      </w:pPr>
      <w:r>
        <w:t>4. What published annotation work actually gives us</w:t>
      </w:r>
    </w:p>
    <w:p>
      <w:pPr>
        <w:pStyle w:val="ListBullet"/>
      </w:pPr>
      <w:r>
        <w:t>ExECTv2: direct precedent for double annotation of synthetic epilepsy clinic letters, consensus review, gold-standard construction, and measurable human disagreement.</w:t>
      </w:r>
    </w:p>
    <w:p>
      <w:pPr>
        <w:pStyle w:val="ListBullet"/>
      </w:pPr>
      <w:r>
        <w:t>EpiDEA: direct precedent for clinician-created gold annotations on real EMU discharge summaries.</w:t>
      </w:r>
    </w:p>
    <w:p>
      <w:pPr>
        <w:pStyle w:val="ListBullet"/>
      </w:pPr>
      <w:r>
        <w:t>SZFreqExtract: direct precedent for manual seizure-frequency phrase/attribute annotation with exact text spans across multiple institutions.</w:t>
      </w:r>
    </w:p>
    <w:p>
      <w:pPr>
        <w:pStyle w:val="ListBullet"/>
      </w:pPr>
      <w:r>
        <w:t>ExECT: direct precedent for patient attribution, explicit epilepsy-type extraction, source-specific certainty, negation/context handling, investigation results, medication, and seizure frequency.</w:t>
      </w:r>
    </w:p>
    <w:p>
      <w:pPr>
        <w:pStyle w:val="Heading1"/>
      </w:pPr>
      <w:r>
        <w:t>5. What those papers do NOT give us</w:t>
      </w:r>
    </w:p>
    <w:p>
      <w:pPr>
        <w:pStyle w:val="ListBullet"/>
      </w:pPr>
      <w:r>
        <w:t>A universal epilepsy annotation ontology.</w:t>
      </w:r>
    </w:p>
    <w:p>
      <w:pPr>
        <w:pStyle w:val="ListBullet"/>
      </w:pPr>
      <w:r>
        <w:t>A universal certainty scale for all clinical assertions.</w:t>
      </w:r>
    </w:p>
    <w:p>
      <w:pPr>
        <w:pStyle w:val="ListBullet"/>
      </w:pPr>
      <w:r>
        <w:t>A universal temporality ontology.</w:t>
      </w:r>
    </w:p>
    <w:p>
      <w:pPr>
        <w:pStyle w:val="ListBullet"/>
      </w:pPr>
      <w:r>
        <w:t>A complete technical EEG/SCORE annotation hierarchy.</w:t>
      </w:r>
    </w:p>
    <w:p>
      <w:pPr>
        <w:pStyle w:val="ListBullet"/>
      </w:pPr>
      <w:r>
        <w:t>A canonical MRI lesion/pathology annotation ontology.</w:t>
      </w:r>
    </w:p>
    <w:p>
      <w:pPr>
        <w:pStyle w:val="ListBullet"/>
      </w:pPr>
      <w:r>
        <w:t>A validated rule to compute epilepsy syndrome from lower-level findings.</w:t>
      </w:r>
    </w:p>
    <w:p>
      <w:pPr>
        <w:pStyle w:val="ListBullet"/>
      </w:pPr>
      <w:r>
        <w:t>A validated rule to derive drug-resistant epilepsy from medication history in this benchmark.</w:t>
      </w:r>
    </w:p>
    <w:p>
      <w:pPr>
        <w:pStyle w:val="ListBullet"/>
      </w:pPr>
      <w:r>
        <w:t>A validated multimodal concordance/localization gold label.</w:t>
      </w:r>
    </w:p>
    <w:p>
      <w:pPr>
        <w:pStyle w:val="ListBullet"/>
      </w:pPr>
      <w:r>
        <w:t>Permission to treat latent synthetic truth as the annotation of the generated text.</w:t>
      </w:r>
    </w:p>
    <w:tbl>
      <w:tblPr>
        <w:tblStyle w:val="TableGrid"/>
        <w:tblW w:type="auto" w:w="0"/>
        <w:tblLook w:firstColumn="1" w:firstRow="1" w:lastColumn="0" w:lastRow="0" w:noHBand="0" w:noVBand="1" w:val="04A0"/>
      </w:tblPr>
      <w:tblGrid>
        <w:gridCol w:w="10282"/>
      </w:tblGrid>
      <w:tr>
        <w:tc>
          <w:tcPr>
            <w:tcW w:type="dxa" w:w="10282"/>
            <w:shd w:fill="FFF2CC"/>
          </w:tcPr>
          <w:p>
            <w:r>
              <w:rPr>
                <w:b/>
                <w:color w:val="17365D"/>
              </w:rPr>
              <w:t>Therefore</w:t>
              <w:br/>
            </w:r>
            <w:r>
              <w:t>Those items remain LIMITED, SOURCE_TEXT_ONLY, MEDAI-PROPOSED, or BLOCKED according to the existing Phase 3D/4.1 and annotation audits. We do not fill the gaps by intuition.</w:t>
            </w:r>
          </w:p>
        </w:tc>
      </w:tr>
    </w:tbl>
    <w:p/>
    <w:p>
      <w:pPr>
        <w:pStyle w:val="Heading1"/>
      </w:pPr>
      <w:r>
        <w:t>6. Final shared architecture</w:t>
      </w:r>
    </w:p>
    <w:p>
      <w:pPr>
        <w:jc w:val="center"/>
      </w:pPr>
      <w:r>
        <w:rPr>
          <w:b/>
          <w:color w:val="17365D"/>
          <w:sz w:val="18"/>
        </w:rPr>
        <w:t>AUTHORITATIVE CLINICAL SEMANTICS</w:t>
      </w:r>
    </w:p>
    <w:p>
      <w:pPr>
        <w:jc w:val="center"/>
      </w:pPr>
      <w:r>
        <w:rPr>
          <w:b w:val="0"/>
          <w:color w:val="17365D"/>
          <w:sz w:val="18"/>
        </w:rPr>
        <w:t>↓</w:t>
      </w:r>
    </w:p>
    <w:p>
      <w:pPr>
        <w:jc w:val="center"/>
      </w:pPr>
      <w:r>
        <w:rPr>
          <w:b/>
          <w:color w:val="17365D"/>
          <w:sz w:val="18"/>
        </w:rPr>
        <w:t>SOURCE TAXONOMY (Phase 3B)</w:t>
      </w:r>
    </w:p>
    <w:p>
      <w:pPr>
        <w:jc w:val="center"/>
      </w:pPr>
      <w:r>
        <w:rPr>
          <w:b w:val="0"/>
          <w:color w:val="17365D"/>
          <w:sz w:val="18"/>
        </w:rPr>
        <w:t>↓</w:t>
      </w:r>
    </w:p>
    <w:p>
      <w:pPr>
        <w:jc w:val="center"/>
      </w:pPr>
      <w:r>
        <w:rPr>
          <w:b/>
          <w:color w:val="17365D"/>
          <w:sz w:val="18"/>
        </w:rPr>
        <w:t>MEDAI APPLICATION PROFILE / VALUE-SET GATE (Phase 3D/4.1)</w:t>
      </w:r>
    </w:p>
    <w:p>
      <w:pPr>
        <w:jc w:val="center"/>
      </w:pPr>
      <w:r>
        <w:rPr>
          <w:b w:val="0"/>
          <w:color w:val="17365D"/>
          <w:sz w:val="18"/>
        </w:rPr>
        <w:t>↓</w:t>
      </w:r>
    </w:p>
    <w:p>
      <w:pPr>
        <w:jc w:val="center"/>
      </w:pPr>
      <w:r>
        <w:rPr>
          <w:b/>
          <w:color w:val="17365D"/>
          <w:sz w:val="18"/>
        </w:rPr>
        <w:t>SHARED DOCUMENT + EVIDENCE + ASSERTION MODEL (Phase 3C/4)</w:t>
      </w:r>
    </w:p>
    <w:p>
      <w:pPr>
        <w:jc w:val="center"/>
      </w:pPr>
      <w:r>
        <w:rPr>
          <w:b w:val="0"/>
          <w:color w:val="17365D"/>
          <w:sz w:val="18"/>
        </w:rPr>
        <w:t>↓</w:t>
      </w:r>
    </w:p>
    <w:p>
      <w:pPr>
        <w:jc w:val="center"/>
      </w:pPr>
      <w:r>
        <w:rPr>
          <w:b/>
          <w:color w:val="17365D"/>
          <w:sz w:val="18"/>
        </w:rPr>
        <w:t>GENERATION: G0 latent truth → events → G1 semantic plan → renderer</w:t>
      </w:r>
    </w:p>
    <w:p>
      <w:pPr>
        <w:jc w:val="center"/>
      </w:pPr>
      <w:r>
        <w:rPr>
          <w:b w:val="0"/>
          <w:color w:val="17365D"/>
          <w:sz w:val="18"/>
        </w:rPr>
        <w:t>↓</w:t>
      </w:r>
    </w:p>
    <w:p>
      <w:pPr>
        <w:jc w:val="center"/>
      </w:pPr>
      <w:r>
        <w:rPr>
          <w:b/>
          <w:color w:val="17365D"/>
          <w:sz w:val="18"/>
        </w:rPr>
        <w:t>RAW DOCUMENT (frozen)</w:t>
      </w:r>
    </w:p>
    <w:p>
      <w:pPr>
        <w:jc w:val="center"/>
      </w:pPr>
      <w:r>
        <w:rPr>
          <w:b w:val="0"/>
          <w:color w:val="17365D"/>
          <w:sz w:val="18"/>
        </w:rPr>
        <w:t>↓</w:t>
      </w:r>
    </w:p>
    <w:p>
      <w:pPr>
        <w:jc w:val="center"/>
      </w:pPr>
      <w:r>
        <w:rPr>
          <w:b/>
          <w:color w:val="17365D"/>
          <w:sz w:val="18"/>
        </w:rPr>
        <w:t>ANNOTATION: EvidenceSpan → DIRECT → NORMALIZED → optional DERIVED</w:t>
      </w:r>
    </w:p>
    <w:p>
      <w:pPr>
        <w:jc w:val="center"/>
      </w:pPr>
      <w:r>
        <w:rPr>
          <w:b w:val="0"/>
          <w:color w:val="17365D"/>
          <w:sz w:val="18"/>
        </w:rPr>
        <w:t>↓</w:t>
      </w:r>
    </w:p>
    <w:p>
      <w:pPr>
        <w:jc w:val="center"/>
      </w:pPr>
      <w:r>
        <w:rPr>
          <w:b/>
          <w:color w:val="17365D"/>
          <w:sz w:val="18"/>
        </w:rPr>
        <w:t>G2 rendered evidence</w:t>
      </w:r>
    </w:p>
    <w:p>
      <w:pPr>
        <w:jc w:val="center"/>
      </w:pPr>
      <w:r>
        <w:rPr>
          <w:b w:val="0"/>
          <w:color w:val="17365D"/>
          <w:sz w:val="18"/>
        </w:rPr>
        <w:t>↓</w:t>
      </w:r>
    </w:p>
    <w:p>
      <w:pPr>
        <w:jc w:val="center"/>
      </w:pPr>
      <w:r>
        <w:rPr>
          <w:b/>
          <w:color w:val="17365D"/>
          <w:sz w:val="18"/>
        </w:rPr>
        <w:t>independent human review / consensus-adjudication</w:t>
      </w:r>
    </w:p>
    <w:p>
      <w:pPr>
        <w:jc w:val="center"/>
      </w:pPr>
      <w:r>
        <w:rPr>
          <w:b w:val="0"/>
          <w:color w:val="17365D"/>
          <w:sz w:val="18"/>
        </w:rPr>
        <w:t>↓</w:t>
      </w:r>
    </w:p>
    <w:p>
      <w:pPr>
        <w:jc w:val="center"/>
      </w:pPr>
      <w:r>
        <w:rPr>
          <w:b/>
          <w:color w:val="17365D"/>
          <w:sz w:val="18"/>
        </w:rPr>
        <w:t>G3 adjudicated gold</w:t>
      </w:r>
    </w:p>
    <w:p>
      <w:pPr>
        <w:jc w:val="center"/>
      </w:pPr>
      <w:r>
        <w:rPr>
          <w:b w:val="0"/>
          <w:color w:val="17365D"/>
          <w:sz w:val="18"/>
        </w:rPr>
        <w:t>↓</w:t>
      </w:r>
    </w:p>
    <w:p>
      <w:pPr>
        <w:jc w:val="center"/>
      </w:pPr>
      <w:r>
        <w:rPr>
          <w:b/>
          <w:color w:val="17365D"/>
          <w:sz w:val="18"/>
        </w:rPr>
        <w:t>compare G2/G3 with G0/G1 for truth-preservation errors</w:t>
      </w:r>
    </w:p>
    <w:p>
      <w:pPr>
        <w:pStyle w:val="Heading1"/>
      </w:pPr>
      <w:r>
        <w:t>7. Final release gate</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Gate</w:t>
            </w:r>
          </w:p>
        </w:tc>
        <w:tc>
          <w:tcPr>
            <w:tcW w:type="dxa" w:w="5141"/>
            <w:shd w:fill="D9EAF7"/>
          </w:tcPr>
          <w:p>
            <w:r>
              <w:rPr>
                <w:b/>
                <w:sz w:val="12"/>
              </w:rPr>
              <w:t>Decision</w:t>
            </w:r>
          </w:p>
        </w:tc>
      </w:tr>
      <w:tr>
        <w:tc>
          <w:tcPr>
            <w:tcW w:type="dxa" w:w="5141"/>
          </w:tcPr>
          <w:p>
            <w:pPr>
              <w:spacing w:after="0"/>
            </w:pPr>
            <w:r>
              <w:rPr>
                <w:sz w:val="12"/>
              </w:rPr>
              <w:t>Clinical semantics still governed by Phase 3B/3D</w:t>
            </w:r>
          </w:p>
        </w:tc>
        <w:tc>
          <w:tcPr>
            <w:tcW w:type="dxa" w:w="5141"/>
          </w:tcPr>
          <w:p>
            <w:pPr>
              <w:spacing w:after="0"/>
            </w:pPr>
            <w:r>
              <w:rPr>
                <w:sz w:val="12"/>
              </w:rPr>
              <w:t>PASS</w:t>
            </w:r>
          </w:p>
        </w:tc>
      </w:tr>
      <w:tr>
        <w:tc>
          <w:tcPr>
            <w:tcW w:type="dxa" w:w="5141"/>
          </w:tcPr>
          <w:p>
            <w:pPr>
              <w:spacing w:after="0"/>
            </w:pPr>
            <w:r>
              <w:rPr>
                <w:sz w:val="12"/>
              </w:rPr>
              <w:t>Published annotation evidence separated from MedAI methods</w:t>
            </w:r>
          </w:p>
        </w:tc>
        <w:tc>
          <w:tcPr>
            <w:tcW w:type="dxa" w:w="5141"/>
          </w:tcPr>
          <w:p>
            <w:pPr>
              <w:spacing w:after="0"/>
            </w:pPr>
            <w:r>
              <w:rPr>
                <w:sz w:val="12"/>
              </w:rPr>
              <w:t>PASS</w:t>
            </w:r>
          </w:p>
        </w:tc>
      </w:tr>
      <w:tr>
        <w:tc>
          <w:tcPr>
            <w:tcW w:type="dxa" w:w="5141"/>
          </w:tcPr>
          <w:p>
            <w:pPr>
              <w:spacing w:after="0"/>
            </w:pPr>
            <w:r>
              <w:rPr>
                <w:sz w:val="12"/>
              </w:rPr>
              <w:t>Generation semantic/provenance layers retained</w:t>
            </w:r>
          </w:p>
        </w:tc>
        <w:tc>
          <w:tcPr>
            <w:tcW w:type="dxa" w:w="5141"/>
          </w:tcPr>
          <w:p>
            <w:pPr>
              <w:spacing w:after="0"/>
            </w:pPr>
            <w:r>
              <w:rPr>
                <w:sz w:val="12"/>
              </w:rPr>
              <w:t>PASS</w:t>
            </w:r>
          </w:p>
        </w:tc>
      </w:tr>
      <w:tr>
        <w:tc>
          <w:tcPr>
            <w:tcW w:type="dxa" w:w="5141"/>
          </w:tcPr>
          <w:p>
            <w:pPr>
              <w:spacing w:after="0"/>
            </w:pPr>
            <w:r>
              <w:rPr>
                <w:sz w:val="12"/>
              </w:rPr>
              <w:t>G0/G1 separated from G2/G3</w:t>
            </w:r>
          </w:p>
        </w:tc>
        <w:tc>
          <w:tcPr>
            <w:tcW w:type="dxa" w:w="5141"/>
          </w:tcPr>
          <w:p>
            <w:pPr>
              <w:spacing w:after="0"/>
            </w:pPr>
            <w:r>
              <w:rPr>
                <w:sz w:val="12"/>
              </w:rPr>
              <w:t>PASS</w:t>
            </w:r>
          </w:p>
        </w:tc>
      </w:tr>
      <w:tr>
        <w:tc>
          <w:tcPr>
            <w:tcW w:type="dxa" w:w="5141"/>
          </w:tcPr>
          <w:p>
            <w:pPr>
              <w:spacing w:after="0"/>
            </w:pPr>
            <w:r>
              <w:rPr>
                <w:sz w:val="12"/>
              </w:rPr>
              <w:t>Real notes protected from synthetic-only truth fields</w:t>
            </w:r>
          </w:p>
        </w:tc>
        <w:tc>
          <w:tcPr>
            <w:tcW w:type="dxa" w:w="5141"/>
          </w:tcPr>
          <w:p>
            <w:pPr>
              <w:spacing w:after="0"/>
            </w:pPr>
            <w:r>
              <w:rPr>
                <w:sz w:val="12"/>
              </w:rPr>
              <w:t>PASS</w:t>
            </w:r>
          </w:p>
        </w:tc>
      </w:tr>
      <w:tr>
        <w:tc>
          <w:tcPr>
            <w:tcW w:type="dxa" w:w="5141"/>
          </w:tcPr>
          <w:p>
            <w:pPr>
              <w:spacing w:after="0"/>
            </w:pPr>
            <w:r>
              <w:rPr>
                <w:sz w:val="12"/>
              </w:rPr>
              <w:t>Unsupported clinical concepts remain blocked</w:t>
            </w:r>
          </w:p>
        </w:tc>
        <w:tc>
          <w:tcPr>
            <w:tcW w:type="dxa" w:w="5141"/>
          </w:tcPr>
          <w:p>
            <w:pPr>
              <w:spacing w:after="0"/>
            </w:pPr>
            <w:r>
              <w:rPr>
                <w:sz w:val="12"/>
              </w:rPr>
              <w:t>PASS</w:t>
            </w:r>
          </w:p>
        </w:tc>
      </w:tr>
      <w:tr>
        <w:tc>
          <w:tcPr>
            <w:tcW w:type="dxa" w:w="5141"/>
          </w:tcPr>
          <w:p>
            <w:pPr>
              <w:spacing w:after="0"/>
            </w:pPr>
            <w:r>
              <w:rPr>
                <w:sz w:val="12"/>
              </w:rPr>
              <w:t>Human adjudication remains required for G3</w:t>
            </w:r>
          </w:p>
        </w:tc>
        <w:tc>
          <w:tcPr>
            <w:tcW w:type="dxa" w:w="5141"/>
          </w:tcPr>
          <w:p>
            <w:pPr>
              <w:spacing w:after="0"/>
            </w:pPr>
            <w:r>
              <w:rPr>
                <w:sz w:val="12"/>
              </w:rPr>
              <w:t>PASS</w:t>
            </w:r>
          </w:p>
        </w:tc>
      </w:tr>
      <w:tr>
        <w:tc>
          <w:tcPr>
            <w:tcW w:type="dxa" w:w="5141"/>
          </w:tcPr>
          <w:p>
            <w:pPr>
              <w:spacing w:after="0"/>
            </w:pPr>
            <w:r>
              <w:rPr>
                <w:sz w:val="12"/>
              </w:rPr>
              <w:t>No output-dependent ontology expansion allowed during pilot</w:t>
            </w:r>
          </w:p>
        </w:tc>
        <w:tc>
          <w:tcPr>
            <w:tcW w:type="dxa" w:w="5141"/>
          </w:tcPr>
          <w:p>
            <w:pPr>
              <w:spacing w:after="0"/>
            </w:pPr>
            <w:r>
              <w:rPr>
                <w:sz w:val="12"/>
              </w:rPr>
              <w:t>PASS</w:t>
            </w:r>
          </w:p>
        </w:tc>
      </w:tr>
    </w:tbl>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FINAL DECISION: LOCK</w:t>
              <w:br/>
            </w:r>
            <w:r>
              <w:t>The annotation architecture is locked for the Phase 6D pilot. Further clinical annotation concepts should not be added merely because a generator produces unexpected content. Unexpected content is recorded as unsupported, unmapped, or error content and routed through change control after the pilot.</w:t>
            </w:r>
          </w:p>
        </w:tc>
      </w:tr>
    </w:tbl>
    <w:p/>
    <w:p>
      <w:pPr>
        <w:pStyle w:val="Heading1"/>
      </w:pPr>
      <w:r>
        <w:t>8. Audited references</w:t>
      </w:r>
    </w:p>
    <w:p>
      <w:pPr>
        <w:pStyle w:val="ListBullet"/>
      </w:pPr>
      <w:r>
        <w:t>Fonferko-Shadrach B, et al. Annotation of epilepsy clinic letters for natural language processing. Journal of Biomedical Semantics. 2024;15:17. DOI 10.1186/s13326-024-00316-z.</w:t>
      </w:r>
    </w:p>
    <w:p>
      <w:pPr>
        <w:pStyle w:val="ListBullet"/>
      </w:pPr>
      <w:r>
        <w:t>Fonferko-Shadrach B, et al. Using natural language processing to extract structured epilepsy data from unstructured clinic letters: development and validation of ExECT. BMJ Open. 2019;9:e023232. DOI 10.1136/bmjopen-2018-023232.</w:t>
      </w:r>
    </w:p>
    <w:p>
      <w:pPr>
        <w:pStyle w:val="ListBullet"/>
      </w:pPr>
      <w:r>
        <w:t>Cui L, et al. EpiDEA: Extracting Structured Epilepsy and Seizure Information from Patient Discharge Summaries for Cohort Identification. AMIA Annual Symposium Proceedings. 2012.</w:t>
      </w:r>
    </w:p>
    <w:p>
      <w:pPr>
        <w:pStyle w:val="ListBullet"/>
      </w:pPr>
      <w:r>
        <w:t>Leveraging pretrained language models for seizure frequency extraction from epilepsy evaluation reports. npj Digital Medicine. 2025.</w:t>
      </w:r>
    </w:p>
    <w:p>
      <w:pPr>
        <w:pStyle w:val="ListBullet"/>
      </w:pPr>
      <w:r>
        <w:t>Internal dependencies: MedAI Phases 3B, 3C, 3D/4.1, 4, 5, 6B, 6D, Phase 4A/4B, and Phase 4B.1/6D.3.</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