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17365D"/>
          <w:sz w:val="68"/>
        </w:rPr>
        <w:t>MedAI</w:t>
      </w:r>
    </w:p>
    <w:p>
      <w:pPr>
        <w:jc w:val="center"/>
      </w:pPr>
      <w:r>
        <w:rPr>
          <w:b/>
          <w:color w:val="2F5597"/>
          <w:sz w:val="44"/>
        </w:rPr>
        <w:t>Final Epilepsy Phenotype Schema,</w:t>
        <w:br/>
        <w:t>Synthetic Data Generation &amp; Validation Specification</w:t>
      </w:r>
    </w:p>
    <w:p>
      <w:pPr>
        <w:jc w:val="center"/>
      </w:pPr>
      <w:r>
        <w:rPr>
          <w:sz w:val="24"/>
        </w:rPr>
        <w:t>The implementation document for generating knowledge-constrained synthetic epilepsy patients and heterogeneous clinical documents</w:t>
      </w:r>
    </w:p>
    <w:p>
      <w:pPr>
        <w:jc w:val="center"/>
      </w:pPr>
      <w:r>
        <w:rPr>
          <w:sz w:val="21"/>
        </w:rPr>
        <w:t>Clinical foundation: ILAE • Research variables: NINDS CDE • Ontology: EpSO</w:t>
        <w:br/>
        <w:t>Normalization: RxNorm • SNOMED CT • RadLex • SCORE/ACNS</w:t>
        <w:br/>
        <w:t>Research interoperability: OMOP/OHDSI</w:t>
      </w:r>
    </w:p>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8"/>
              </w:rPr>
              <w:t>Status of this specification</w:t>
              <w:br/>
            </w:r>
            <w:r>
              <w:rPr>
                <w:sz w:val="17"/>
              </w:rPr>
              <w:t>This document is intended to be the frozen starting specification for MedAI synthetic-data generation. It separates sourced standards from MedAI project conventions. Any item marked MEDAI-PROPOSED is a project design decision requiring clinician review; it must not be represented as an ILAE, NINDS, EpSO, SNOMED, RxNorm, RadLex, SCORE, ACNS, or OMOP rule.</w:t>
            </w:r>
          </w:p>
        </w:tc>
      </w:tr>
    </w:tbl>
    <w:p/>
    <w:p>
      <w:r>
        <w:br w:type="page"/>
      </w:r>
    </w:p>
    <w:p>
      <w:pPr>
        <w:pStyle w:val="Heading1"/>
      </w:pPr>
      <w:r>
        <w:t>Source key and evidence policy</w:t>
      </w:r>
    </w:p>
    <w:p>
      <w:r>
        <w:t>Citations in this document use bracketed source identifiers. The source registry at the end gives the authoritative or primary documentation. The specification follows four evidence classes: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Class</w:t>
            </w:r>
          </w:p>
        </w:tc>
        <w:tc>
          <w:tcPr>
            <w:tcW w:type="dxa" w:w="3389"/>
            <w:shd w:fill="D9EAF7"/>
          </w:tcPr>
          <w:p>
            <w:pPr>
              <w:spacing w:after="0"/>
            </w:pPr>
            <w:r/>
            <w:r>
              <w:rPr>
                <w:rFonts w:ascii="Aptos" w:hAnsi="Aptos"/>
                <w:b/>
                <w:sz w:val="15"/>
              </w:rPr>
              <w:t>Meaning</w:t>
            </w:r>
          </w:p>
        </w:tc>
        <w:tc>
          <w:tcPr>
            <w:tcW w:type="dxa" w:w="3389"/>
            <w:shd w:fill="D9EAF7"/>
          </w:tcPr>
          <w:p>
            <w:pPr>
              <w:spacing w:after="0"/>
            </w:pPr>
            <w:r/>
            <w:r>
              <w:rPr>
                <w:rFonts w:ascii="Aptos" w:hAnsi="Aptos"/>
                <w:b/>
                <w:sz w:val="15"/>
              </w:rPr>
              <w:t>How it may be used</w:t>
            </w:r>
          </w:p>
        </w:tc>
      </w:tr>
      <w:tr>
        <w:tc>
          <w:tcPr>
            <w:tcW w:type="dxa" w:w="3389"/>
            <w:vAlign w:val="top"/>
          </w:tcPr>
          <w:p>
            <w:pPr>
              <w:spacing w:after="0"/>
            </w:pPr>
            <w:r/>
            <w:r>
              <w:rPr>
                <w:rFonts w:ascii="Aptos" w:hAnsi="Aptos"/>
                <w:b w:val="0"/>
                <w:sz w:val="14"/>
              </w:rPr>
              <w:t>STANDARD</w:t>
            </w:r>
          </w:p>
        </w:tc>
        <w:tc>
          <w:tcPr>
            <w:tcW w:type="dxa" w:w="3389"/>
            <w:vAlign w:val="top"/>
          </w:tcPr>
          <w:p>
            <w:pPr>
              <w:spacing w:after="0"/>
            </w:pPr>
            <w:r/>
            <w:r>
              <w:rPr>
                <w:rFonts w:ascii="Aptos" w:hAnsi="Aptos"/>
                <w:b w:val="0"/>
                <w:sz w:val="14"/>
              </w:rPr>
              <w:t>Directly supported by an authoritative standard/consensus source</w:t>
            </w:r>
          </w:p>
        </w:tc>
        <w:tc>
          <w:tcPr>
            <w:tcW w:type="dxa" w:w="3389"/>
            <w:vAlign w:val="top"/>
          </w:tcPr>
          <w:p>
            <w:pPr>
              <w:spacing w:after="0"/>
            </w:pPr>
            <w:r/>
            <w:r>
              <w:rPr>
                <w:rFonts w:ascii="Aptos" w:hAnsi="Aptos"/>
                <w:b w:val="0"/>
                <w:sz w:val="14"/>
              </w:rPr>
              <w:t>May define canonical terminology or a required mapping.</w:t>
            </w:r>
          </w:p>
        </w:tc>
      </w:tr>
      <w:tr>
        <w:tc>
          <w:tcPr>
            <w:tcW w:type="dxa" w:w="3389"/>
            <w:vAlign w:val="top"/>
          </w:tcPr>
          <w:p>
            <w:pPr>
              <w:spacing w:after="0"/>
            </w:pPr>
            <w:r/>
            <w:r>
              <w:rPr>
                <w:rFonts w:ascii="Aptos" w:hAnsi="Aptos"/>
                <w:b w:val="0"/>
                <w:sz w:val="14"/>
              </w:rPr>
              <w:t>ONTOLOGY</w:t>
            </w:r>
          </w:p>
        </w:tc>
        <w:tc>
          <w:tcPr>
            <w:tcW w:type="dxa" w:w="3389"/>
            <w:vAlign w:val="top"/>
          </w:tcPr>
          <w:p>
            <w:pPr>
              <w:spacing w:after="0"/>
            </w:pPr>
            <w:r/>
            <w:r>
              <w:rPr>
                <w:rFonts w:ascii="Aptos" w:hAnsi="Aptos"/>
                <w:b w:val="0"/>
                <w:sz w:val="14"/>
              </w:rPr>
              <w:t>Supported by an established ontology/terminology</w:t>
            </w:r>
          </w:p>
        </w:tc>
        <w:tc>
          <w:tcPr>
            <w:tcW w:type="dxa" w:w="3389"/>
            <w:vAlign w:val="top"/>
          </w:tcPr>
          <w:p>
            <w:pPr>
              <w:spacing w:after="0"/>
            </w:pPr>
            <w:r/>
            <w:r>
              <w:rPr>
                <w:rFonts w:ascii="Aptos" w:hAnsi="Aptos"/>
                <w:b w:val="0"/>
                <w:sz w:val="14"/>
              </w:rPr>
              <w:t>May define normalized concepts/relationships subject to licensing/version constraints.</w:t>
            </w:r>
          </w:p>
        </w:tc>
      </w:tr>
      <w:tr>
        <w:tc>
          <w:tcPr>
            <w:tcW w:type="dxa" w:w="3389"/>
            <w:vAlign w:val="top"/>
          </w:tcPr>
          <w:p>
            <w:pPr>
              <w:spacing w:after="0"/>
            </w:pPr>
            <w:r/>
            <w:r>
              <w:rPr>
                <w:rFonts w:ascii="Aptos" w:hAnsi="Aptos"/>
                <w:b w:val="0"/>
                <w:sz w:val="14"/>
              </w:rPr>
              <w:t>PUBLISHED METHOD</w:t>
            </w:r>
          </w:p>
        </w:tc>
        <w:tc>
          <w:tcPr>
            <w:tcW w:type="dxa" w:w="3389"/>
            <w:vAlign w:val="top"/>
          </w:tcPr>
          <w:p>
            <w:pPr>
              <w:spacing w:after="0"/>
            </w:pPr>
            <w:r/>
            <w:r>
              <w:rPr>
                <w:rFonts w:ascii="Aptos" w:hAnsi="Aptos"/>
                <w:b w:val="0"/>
                <w:sz w:val="14"/>
              </w:rPr>
              <w:t>Supported by a peer-reviewed implementation/validation paper</w:t>
            </w:r>
          </w:p>
        </w:tc>
        <w:tc>
          <w:tcPr>
            <w:tcW w:type="dxa" w:w="3389"/>
            <w:vAlign w:val="top"/>
          </w:tcPr>
          <w:p>
            <w:pPr>
              <w:spacing w:after="0"/>
            </w:pPr>
            <w:r/>
            <w:r>
              <w:rPr>
                <w:rFonts w:ascii="Aptos" w:hAnsi="Aptos"/>
                <w:b w:val="0"/>
                <w:sz w:val="14"/>
              </w:rPr>
              <w:t>May motivate benchmark or validation design, not clinical truth.</w:t>
            </w:r>
          </w:p>
        </w:tc>
      </w:tr>
      <w:tr>
        <w:tc>
          <w:tcPr>
            <w:tcW w:type="dxa" w:w="3389"/>
            <w:vAlign w:val="top"/>
          </w:tcPr>
          <w:p>
            <w:pPr>
              <w:spacing w:after="0"/>
            </w:pPr>
            <w:r/>
            <w:r>
              <w:rPr>
                <w:rFonts w:ascii="Aptos" w:hAnsi="Aptos"/>
                <w:b w:val="0"/>
                <w:sz w:val="14"/>
              </w:rPr>
              <w:t>MEDAI-PROPOSED</w:t>
            </w:r>
          </w:p>
        </w:tc>
        <w:tc>
          <w:tcPr>
            <w:tcW w:type="dxa" w:w="3389"/>
            <w:vAlign w:val="top"/>
          </w:tcPr>
          <w:p>
            <w:pPr>
              <w:spacing w:after="0"/>
            </w:pPr>
            <w:r/>
            <w:r>
              <w:rPr>
                <w:rFonts w:ascii="Aptos" w:hAnsi="Aptos"/>
                <w:b w:val="0"/>
                <w:sz w:val="14"/>
              </w:rPr>
              <w:t>Project-specific design choice</w:t>
            </w:r>
          </w:p>
        </w:tc>
        <w:tc>
          <w:tcPr>
            <w:tcW w:type="dxa" w:w="3389"/>
            <w:vAlign w:val="top"/>
          </w:tcPr>
          <w:p>
            <w:pPr>
              <w:spacing w:after="0"/>
            </w:pPr>
            <w:r/>
            <w:r>
              <w:rPr>
                <w:rFonts w:ascii="Aptos" w:hAnsi="Aptos"/>
                <w:b w:val="0"/>
                <w:sz w:val="14"/>
              </w:rPr>
              <w:t>Must be explicitly labeled, versioned, tested, and clinician-reviewed before use as a clinical-semantic rule.</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8"/>
              </w:rPr>
              <w:t>No fabrication rule</w:t>
              <w:br/>
            </w:r>
            <w:r>
              <w:rPr>
                <w:sz w:val="17"/>
              </w:rPr>
              <w:t>Synthetic prose may be generated, but synthetic ground truth must not be invented ad hoc by a language model. Ground truth is created from a versioned schema, controlled value sets, explicit scenario rules, and documented sampling policies. When a standard does not specify a rule, MedAI must label the rule MEDAI-PROPOSED rather than attributing it to the standard.</w:t>
            </w:r>
          </w:p>
        </w:tc>
      </w:tr>
    </w:tbl>
    <w:p/>
    <w:p>
      <w:pPr>
        <w:pStyle w:val="Heading1"/>
      </w:pPr>
      <w:r>
        <w:t>1. Executive decision</w:t>
      </w:r>
    </w:p>
    <w:p>
      <w:r>
        <w:t>MedAI will use an application profile over existing epilepsy and biomedical standards rather than create a new competing ontology. ILAE supplies epilepsy-specific clinical classification and definitions; NINDS Epilepsy Common Data Elements supply research-variable structure; EpSO supplies a formal epilepsy-domain ontology and relationships; RxNorm, SNOMED CT, RadLex, and standardized EEG terminology supply normalization. MedAI adds the NLP-specific assertion layer required for evidence, negation, certainty, temporality, provenance, verification, and human review. This architecture is consistent with EpSO's original purpose of integrating structured, unstructured, EEG, and neuroimaging data for patient care and research [S4,S5].</w:t>
      </w:r>
    </w:p>
    <w:p>
      <w:pPr>
        <w:pStyle w:val="CodeBlock"/>
      </w:pPr>
      <w:r>
        <w:t>ILAE + NINDS CDE + EpSO + biomedical terminologies</w:t>
        <w:br/>
        <w:t xml:space="preserve">                         |</w:t>
        <w:br/>
        <w:t xml:space="preserve">                         v</w:t>
        <w:br/>
        <w:t xml:space="preserve">              MedAI application profile</w:t>
        <w:br/>
        <w:t xml:space="preserve">                         |</w:t>
        <w:br/>
        <w:t xml:space="preserve">       +-----------------+-----------------+</w:t>
        <w:br/>
        <w:t xml:space="preserve">       |                 |                 |</w:t>
        <w:br/>
        <w:t xml:space="preserve"> phenotype schema   assertion model   rule registry</w:t>
        <w:br/>
        <w:t xml:space="preserve">       |                 |                 |</w:t>
        <w:br/>
        <w:t xml:space="preserve">       +-----------------+-----------------+</w:t>
        <w:br/>
        <w:t xml:space="preserve">                         |</w:t>
        <w:br/>
        <w:t xml:space="preserve">                         v</w:t>
        <w:br/>
        <w:t xml:space="preserve">             latent synthetic patient truth</w:t>
        <w:br/>
        <w:t xml:space="preserve">                         |</w:t>
        <w:br/>
        <w:t xml:space="preserve">                         v</w:t>
        <w:br/>
        <w:t xml:space="preserve">       heterogeneous longitudinal documents</w:t>
        <w:br/>
        <w:t xml:space="preserve">                         |</w:t>
        <w:br/>
        <w:t xml:space="preserve">                         v</w:t>
        <w:br/>
        <w:t xml:space="preserve">        MedAI extraction / verification tests</w:t>
        <w:br/>
        <w:t xml:space="preserve">                         |</w:t>
        <w:br/>
        <w:t xml:space="preserve">                         v</w:t>
        <w:br/>
        <w:t xml:space="preserve">      clinician validation + real-data validation</w:t>
      </w:r>
    </w:p>
    <w:p>
      <w:pPr>
        <w:pStyle w:val="Heading1"/>
      </w:pPr>
      <w:r>
        <w:t>2. Standards and source registry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pPr>
              <w:spacing w:after="0"/>
            </w:pPr>
            <w:r/>
            <w:r>
              <w:rPr>
                <w:rFonts w:ascii="Aptos" w:hAnsi="Aptos"/>
                <w:b/>
                <w:sz w:val="15"/>
              </w:rPr>
              <w:t>ID</w:t>
            </w:r>
          </w:p>
        </w:tc>
        <w:tc>
          <w:tcPr>
            <w:tcW w:type="dxa" w:w="2541"/>
            <w:shd w:fill="D9EAF7"/>
          </w:tcPr>
          <w:p>
            <w:pPr>
              <w:spacing w:after="0"/>
            </w:pPr>
            <w:r/>
            <w:r>
              <w:rPr>
                <w:rFonts w:ascii="Aptos" w:hAnsi="Aptos"/>
                <w:b/>
                <w:sz w:val="15"/>
              </w:rPr>
              <w:t>Resource</w:t>
            </w:r>
          </w:p>
        </w:tc>
        <w:tc>
          <w:tcPr>
            <w:tcW w:type="dxa" w:w="2541"/>
            <w:shd w:fill="D9EAF7"/>
          </w:tcPr>
          <w:p>
            <w:pPr>
              <w:spacing w:after="0"/>
            </w:pPr>
            <w:r/>
            <w:r>
              <w:rPr>
                <w:rFonts w:ascii="Aptos" w:hAnsi="Aptos"/>
                <w:b/>
                <w:sz w:val="15"/>
              </w:rPr>
              <w:t>Authority/use</w:t>
            </w:r>
          </w:p>
        </w:tc>
        <w:tc>
          <w:tcPr>
            <w:tcW w:type="dxa" w:w="2541"/>
            <w:shd w:fill="D9EAF7"/>
          </w:tcPr>
          <w:p>
            <w:pPr>
              <w:spacing w:after="0"/>
            </w:pPr>
            <w:r/>
            <w:r>
              <w:rPr>
                <w:rFonts w:ascii="Aptos" w:hAnsi="Aptos"/>
                <w:b/>
                <w:sz w:val="15"/>
              </w:rPr>
              <w:t>Version/date used</w:t>
            </w:r>
          </w:p>
        </w:tc>
      </w:tr>
      <w:tr>
        <w:tc>
          <w:tcPr>
            <w:tcW w:type="dxa" w:w="2541"/>
            <w:vAlign w:val="top"/>
          </w:tcPr>
          <w:p>
            <w:pPr>
              <w:spacing w:after="0"/>
            </w:pPr>
            <w:r/>
            <w:r>
              <w:rPr>
                <w:rFonts w:ascii="Aptos" w:hAnsi="Aptos"/>
                <w:b w:val="0"/>
                <w:sz w:val="14"/>
              </w:rPr>
              <w:t>S1</w:t>
            </w:r>
          </w:p>
        </w:tc>
        <w:tc>
          <w:tcPr>
            <w:tcW w:type="dxa" w:w="2541"/>
            <w:vAlign w:val="top"/>
          </w:tcPr>
          <w:p>
            <w:pPr>
              <w:spacing w:after="0"/>
            </w:pPr>
            <w:r/>
            <w:r>
              <w:rPr>
                <w:rFonts w:ascii="Aptos" w:hAnsi="Aptos"/>
                <w:b w:val="0"/>
                <w:sz w:val="14"/>
              </w:rPr>
              <w:t>ILAE Updated Classification of Epileptic Seizures</w:t>
            </w:r>
          </w:p>
        </w:tc>
        <w:tc>
          <w:tcPr>
            <w:tcW w:type="dxa" w:w="2541"/>
            <w:vAlign w:val="top"/>
          </w:tcPr>
          <w:p>
            <w:pPr>
              <w:spacing w:after="0"/>
            </w:pPr>
            <w:r/>
            <w:r>
              <w:rPr>
                <w:rFonts w:ascii="Aptos" w:hAnsi="Aptos"/>
                <w:b w:val="0"/>
                <w:sz w:val="14"/>
              </w:rPr>
              <w:t>Seizure classification and descriptors; four main classes; 2025 revision.</w:t>
            </w:r>
          </w:p>
        </w:tc>
        <w:tc>
          <w:tcPr>
            <w:tcW w:type="dxa" w:w="2541"/>
            <w:vAlign w:val="top"/>
          </w:tcPr>
          <w:p>
            <w:pPr>
              <w:spacing w:after="0"/>
            </w:pPr>
            <w:r/>
            <w:r>
              <w:rPr>
                <w:rFonts w:ascii="Aptos" w:hAnsi="Aptos"/>
                <w:b w:val="0"/>
                <w:sz w:val="14"/>
              </w:rPr>
              <w:t>2025 position paper</w:t>
            </w:r>
          </w:p>
        </w:tc>
      </w:tr>
      <w:tr>
        <w:tc>
          <w:tcPr>
            <w:tcW w:type="dxa" w:w="2541"/>
            <w:vAlign w:val="top"/>
          </w:tcPr>
          <w:p>
            <w:pPr>
              <w:spacing w:after="0"/>
            </w:pPr>
            <w:r/>
            <w:r>
              <w:rPr>
                <w:rFonts w:ascii="Aptos" w:hAnsi="Aptos"/>
                <w:b w:val="0"/>
                <w:sz w:val="14"/>
              </w:rPr>
              <w:t>S2</w:t>
            </w:r>
          </w:p>
        </w:tc>
        <w:tc>
          <w:tcPr>
            <w:tcW w:type="dxa" w:w="2541"/>
            <w:vAlign w:val="top"/>
          </w:tcPr>
          <w:p>
            <w:pPr>
              <w:spacing w:after="0"/>
            </w:pPr>
            <w:r/>
            <w:r>
              <w:rPr>
                <w:rFonts w:ascii="Aptos" w:hAnsi="Aptos"/>
                <w:b w:val="0"/>
                <w:sz w:val="14"/>
              </w:rPr>
              <w:t>ILAE Classification of the Epilepsies</w:t>
            </w:r>
          </w:p>
        </w:tc>
        <w:tc>
          <w:tcPr>
            <w:tcW w:type="dxa" w:w="2541"/>
            <w:vAlign w:val="top"/>
          </w:tcPr>
          <w:p>
            <w:pPr>
              <w:spacing w:after="0"/>
            </w:pPr>
            <w:r/>
            <w:r>
              <w:rPr>
                <w:rFonts w:ascii="Aptos" w:hAnsi="Aptos"/>
                <w:b w:val="0"/>
                <w:sz w:val="14"/>
              </w:rPr>
              <w:t>Epilepsy type and syndrome framework; etiology considered across diagnostic stages.</w:t>
            </w:r>
          </w:p>
        </w:tc>
        <w:tc>
          <w:tcPr>
            <w:tcW w:type="dxa" w:w="2541"/>
            <w:vAlign w:val="top"/>
          </w:tcPr>
          <w:p>
            <w:pPr>
              <w:spacing w:after="0"/>
            </w:pPr>
            <w:r/>
            <w:r>
              <w:rPr>
                <w:rFonts w:ascii="Aptos" w:hAnsi="Aptos"/>
                <w:b w:val="0"/>
                <w:sz w:val="14"/>
              </w:rPr>
              <w:t>2017</w:t>
            </w:r>
          </w:p>
        </w:tc>
      </w:tr>
      <w:tr>
        <w:tc>
          <w:tcPr>
            <w:tcW w:type="dxa" w:w="2541"/>
            <w:vAlign w:val="top"/>
          </w:tcPr>
          <w:p>
            <w:pPr>
              <w:spacing w:after="0"/>
            </w:pPr>
            <w:r/>
            <w:r>
              <w:rPr>
                <w:rFonts w:ascii="Aptos" w:hAnsi="Aptos"/>
                <w:b w:val="0"/>
                <w:sz w:val="14"/>
              </w:rPr>
              <w:t>S3</w:t>
            </w:r>
          </w:p>
        </w:tc>
        <w:tc>
          <w:tcPr>
            <w:tcW w:type="dxa" w:w="2541"/>
            <w:vAlign w:val="top"/>
          </w:tcPr>
          <w:p>
            <w:pPr>
              <w:spacing w:after="0"/>
            </w:pPr>
            <w:r/>
            <w:r>
              <w:rPr>
                <w:rFonts w:ascii="Aptos" w:hAnsi="Aptos"/>
                <w:b w:val="0"/>
                <w:sz w:val="14"/>
              </w:rPr>
              <w:t>ILAE Epilepsy Syndrome definitions</w:t>
            </w:r>
          </w:p>
        </w:tc>
        <w:tc>
          <w:tcPr>
            <w:tcW w:type="dxa" w:w="2541"/>
            <w:vAlign w:val="top"/>
          </w:tcPr>
          <w:p>
            <w:pPr>
              <w:spacing w:after="0"/>
            </w:pPr>
            <w:r/>
            <w:r>
              <w:rPr>
                <w:rFonts w:ascii="Aptos" w:hAnsi="Aptos"/>
                <w:b w:val="0"/>
                <w:sz w:val="14"/>
              </w:rPr>
              <w:t>Syndrome definitions and methodology.</w:t>
            </w:r>
          </w:p>
        </w:tc>
        <w:tc>
          <w:tcPr>
            <w:tcW w:type="dxa" w:w="2541"/>
            <w:vAlign w:val="top"/>
          </w:tcPr>
          <w:p>
            <w:pPr>
              <w:spacing w:after="0"/>
            </w:pPr>
            <w:r/>
            <w:r>
              <w:rPr>
                <w:rFonts w:ascii="Aptos" w:hAnsi="Aptos"/>
                <w:b w:val="0"/>
                <w:sz w:val="14"/>
              </w:rPr>
              <w:t>2022</w:t>
            </w:r>
          </w:p>
        </w:tc>
      </w:tr>
      <w:tr>
        <w:tc>
          <w:tcPr>
            <w:tcW w:type="dxa" w:w="2541"/>
            <w:vAlign w:val="top"/>
          </w:tcPr>
          <w:p>
            <w:pPr>
              <w:spacing w:after="0"/>
            </w:pPr>
            <w:r/>
            <w:r>
              <w:rPr>
                <w:rFonts w:ascii="Aptos" w:hAnsi="Aptos"/>
                <w:b w:val="0"/>
                <w:sz w:val="14"/>
              </w:rPr>
              <w:t>S4</w:t>
            </w:r>
          </w:p>
        </w:tc>
        <w:tc>
          <w:tcPr>
            <w:tcW w:type="dxa" w:w="2541"/>
            <w:vAlign w:val="top"/>
          </w:tcPr>
          <w:p>
            <w:pPr>
              <w:spacing w:after="0"/>
            </w:pPr>
            <w:r/>
            <w:r>
              <w:rPr>
                <w:rFonts w:ascii="Aptos" w:hAnsi="Aptos"/>
                <w:b w:val="0"/>
                <w:sz w:val="14"/>
              </w:rPr>
              <w:t>Epilepsy and Seizure Ontology (EpSO), BioPortal</w:t>
            </w:r>
          </w:p>
        </w:tc>
        <w:tc>
          <w:tcPr>
            <w:tcW w:type="dxa" w:w="2541"/>
            <w:vAlign w:val="top"/>
          </w:tcPr>
          <w:p>
            <w:pPr>
              <w:spacing w:after="0"/>
            </w:pPr>
            <w:r/>
            <w:r>
              <w:rPr>
                <w:rFonts w:ascii="Aptos" w:hAnsi="Aptos"/>
                <w:b w:val="0"/>
                <w:sz w:val="14"/>
              </w:rPr>
              <w:t>Formal epilepsy-domain ontology covering seizure types, syndromes, etiology, electrophysiology, medication, neuropathology, anatomy.</w:t>
            </w:r>
          </w:p>
        </w:tc>
        <w:tc>
          <w:tcPr>
            <w:tcW w:type="dxa" w:w="2541"/>
            <w:vAlign w:val="top"/>
          </w:tcPr>
          <w:p>
            <w:pPr>
              <w:spacing w:after="0"/>
            </w:pPr>
            <w:r/>
            <w:r>
              <w:rPr>
                <w:rFonts w:ascii="Aptos" w:hAnsi="Aptos"/>
                <w:b w:val="0"/>
                <w:sz w:val="14"/>
              </w:rPr>
              <w:t>v3.1, uploaded 2025-05-29</w:t>
            </w:r>
          </w:p>
        </w:tc>
      </w:tr>
      <w:tr>
        <w:tc>
          <w:tcPr>
            <w:tcW w:type="dxa" w:w="2541"/>
            <w:vAlign w:val="top"/>
          </w:tcPr>
          <w:p>
            <w:pPr>
              <w:spacing w:after="0"/>
            </w:pPr>
            <w:r/>
            <w:r>
              <w:rPr>
                <w:rFonts w:ascii="Aptos" w:hAnsi="Aptos"/>
                <w:b w:val="0"/>
                <w:sz w:val="14"/>
              </w:rPr>
              <w:t>S5</w:t>
            </w:r>
          </w:p>
        </w:tc>
        <w:tc>
          <w:tcPr>
            <w:tcW w:type="dxa" w:w="2541"/>
            <w:vAlign w:val="top"/>
          </w:tcPr>
          <w:p>
            <w:pPr>
              <w:spacing w:after="0"/>
            </w:pPr>
            <w:r/>
            <w:r>
              <w:rPr>
                <w:rFonts w:ascii="Aptos" w:hAnsi="Aptos"/>
                <w:b w:val="0"/>
                <w:sz w:val="14"/>
              </w:rPr>
              <w:t>Sahoo et al., EpSO paper</w:t>
            </w:r>
          </w:p>
        </w:tc>
        <w:tc>
          <w:tcPr>
            <w:tcW w:type="dxa" w:w="2541"/>
            <w:vAlign w:val="top"/>
          </w:tcPr>
          <w:p>
            <w:pPr>
              <w:spacing w:after="0"/>
            </w:pPr>
            <w:r/>
            <w:r>
              <w:rPr>
                <w:rFonts w:ascii="Aptos" w:hAnsi="Aptos"/>
                <w:b w:val="0"/>
                <w:sz w:val="14"/>
              </w:rPr>
              <w:t>Primary peer-reviewed description of EpSO integrating ILAE terminology and NINDS CDEs; used for NLP/cohort identification.</w:t>
            </w:r>
          </w:p>
        </w:tc>
        <w:tc>
          <w:tcPr>
            <w:tcW w:type="dxa" w:w="2541"/>
            <w:vAlign w:val="top"/>
          </w:tcPr>
          <w:p>
            <w:pPr>
              <w:spacing w:after="0"/>
            </w:pPr>
            <w:r/>
            <w:r>
              <w:rPr>
                <w:rFonts w:ascii="Aptos" w:hAnsi="Aptos"/>
                <w:b w:val="0"/>
                <w:sz w:val="14"/>
              </w:rPr>
              <w:t>2014 PMC publication</w:t>
            </w:r>
          </w:p>
        </w:tc>
      </w:tr>
      <w:tr>
        <w:tc>
          <w:tcPr>
            <w:tcW w:type="dxa" w:w="2541"/>
            <w:vAlign w:val="top"/>
          </w:tcPr>
          <w:p>
            <w:pPr>
              <w:spacing w:after="0"/>
            </w:pPr>
            <w:r/>
            <w:r>
              <w:rPr>
                <w:rFonts w:ascii="Aptos" w:hAnsi="Aptos"/>
                <w:b w:val="0"/>
                <w:sz w:val="14"/>
              </w:rPr>
              <w:t>S6</w:t>
            </w:r>
          </w:p>
        </w:tc>
        <w:tc>
          <w:tcPr>
            <w:tcW w:type="dxa" w:w="2541"/>
            <w:vAlign w:val="top"/>
          </w:tcPr>
          <w:p>
            <w:pPr>
              <w:spacing w:after="0"/>
            </w:pPr>
            <w:r/>
            <w:r>
              <w:rPr>
                <w:rFonts w:ascii="Aptos" w:hAnsi="Aptos"/>
                <w:b w:val="0"/>
                <w:sz w:val="14"/>
              </w:rPr>
              <w:t>NINDS Epilepsy CDE</w:t>
            </w:r>
          </w:p>
        </w:tc>
        <w:tc>
          <w:tcPr>
            <w:tcW w:type="dxa" w:w="2541"/>
            <w:vAlign w:val="top"/>
          </w:tcPr>
          <w:p>
            <w:pPr>
              <w:spacing w:after="0"/>
            </w:pPr>
            <w:r/>
            <w:r>
              <w:rPr>
                <w:rFonts w:ascii="Aptos" w:hAnsi="Aptos"/>
                <w:b w:val="0"/>
                <w:sz w:val="14"/>
              </w:rPr>
              <w:t>Research data standards, CRF modules, guidance; CDE categories.</w:t>
            </w:r>
          </w:p>
        </w:tc>
        <w:tc>
          <w:tcPr>
            <w:tcW w:type="dxa" w:w="2541"/>
            <w:vAlign w:val="top"/>
          </w:tcPr>
          <w:p>
            <w:pPr>
              <w:spacing w:after="0"/>
            </w:pPr>
            <w:r/>
            <w:r>
              <w:rPr>
                <w:rFonts w:ascii="Aptos" w:hAnsi="Aptos"/>
                <w:b w:val="0"/>
                <w:sz w:val="14"/>
              </w:rPr>
              <w:t>Current website, accessed 2026-09</w:t>
            </w:r>
          </w:p>
        </w:tc>
      </w:tr>
      <w:tr>
        <w:tc>
          <w:tcPr>
            <w:tcW w:type="dxa" w:w="2541"/>
            <w:vAlign w:val="top"/>
          </w:tcPr>
          <w:p>
            <w:pPr>
              <w:spacing w:after="0"/>
            </w:pPr>
            <w:r/>
            <w:r>
              <w:rPr>
                <w:rFonts w:ascii="Aptos" w:hAnsi="Aptos"/>
                <w:b w:val="0"/>
                <w:sz w:val="14"/>
              </w:rPr>
              <w:t>S7</w:t>
            </w:r>
          </w:p>
        </w:tc>
        <w:tc>
          <w:tcPr>
            <w:tcW w:type="dxa" w:w="2541"/>
            <w:vAlign w:val="top"/>
          </w:tcPr>
          <w:p>
            <w:pPr>
              <w:spacing w:after="0"/>
            </w:pPr>
            <w:r/>
            <w:r>
              <w:rPr>
                <w:rFonts w:ascii="Aptos" w:hAnsi="Aptos"/>
                <w:b w:val="0"/>
                <w:sz w:val="14"/>
              </w:rPr>
              <w:t>RxNorm, NLM</w:t>
            </w:r>
          </w:p>
        </w:tc>
        <w:tc>
          <w:tcPr>
            <w:tcW w:type="dxa" w:w="2541"/>
            <w:vAlign w:val="top"/>
          </w:tcPr>
          <w:p>
            <w:pPr>
              <w:spacing w:after="0"/>
            </w:pPr>
            <w:r/>
            <w:r>
              <w:rPr>
                <w:rFonts w:ascii="Aptos" w:hAnsi="Aptos"/>
                <w:b w:val="0"/>
                <w:sz w:val="14"/>
              </w:rPr>
              <w:t>Normalized generic/branded drug names and identifiers for semantic interoperability.</w:t>
            </w:r>
          </w:p>
        </w:tc>
        <w:tc>
          <w:tcPr>
            <w:tcW w:type="dxa" w:w="2541"/>
            <w:vAlign w:val="top"/>
          </w:tcPr>
          <w:p>
            <w:pPr>
              <w:spacing w:after="0"/>
            </w:pPr>
            <w:r/>
            <w:r>
              <w:rPr>
                <w:rFonts w:ascii="Aptos" w:hAnsi="Aptos"/>
                <w:b w:val="0"/>
                <w:sz w:val="14"/>
              </w:rPr>
              <w:t>Current NLM documentation</w:t>
            </w:r>
          </w:p>
        </w:tc>
      </w:tr>
      <w:tr>
        <w:tc>
          <w:tcPr>
            <w:tcW w:type="dxa" w:w="2541"/>
            <w:vAlign w:val="top"/>
          </w:tcPr>
          <w:p>
            <w:pPr>
              <w:spacing w:after="0"/>
            </w:pPr>
            <w:r/>
            <w:r>
              <w:rPr>
                <w:rFonts w:ascii="Aptos" w:hAnsi="Aptos"/>
                <w:b w:val="0"/>
                <w:sz w:val="14"/>
              </w:rPr>
              <w:t>S8</w:t>
            </w:r>
          </w:p>
        </w:tc>
        <w:tc>
          <w:tcPr>
            <w:tcW w:type="dxa" w:w="2541"/>
            <w:vAlign w:val="top"/>
          </w:tcPr>
          <w:p>
            <w:pPr>
              <w:spacing w:after="0"/>
            </w:pPr>
            <w:r/>
            <w:r>
              <w:rPr>
                <w:rFonts w:ascii="Aptos" w:hAnsi="Aptos"/>
                <w:b w:val="0"/>
                <w:sz w:val="14"/>
              </w:rPr>
              <w:t>SNOMED CT</w:t>
            </w:r>
          </w:p>
        </w:tc>
        <w:tc>
          <w:tcPr>
            <w:tcW w:type="dxa" w:w="2541"/>
            <w:vAlign w:val="top"/>
          </w:tcPr>
          <w:p>
            <w:pPr>
              <w:spacing w:after="0"/>
            </w:pPr>
            <w:r/>
            <w:r>
              <w:rPr>
                <w:rFonts w:ascii="Aptos" w:hAnsi="Aptos"/>
                <w:b w:val="0"/>
                <w:sz w:val="14"/>
              </w:rPr>
              <w:t>General clinical terminology.</w:t>
            </w:r>
          </w:p>
        </w:tc>
        <w:tc>
          <w:tcPr>
            <w:tcW w:type="dxa" w:w="2541"/>
            <w:vAlign w:val="top"/>
          </w:tcPr>
          <w:p>
            <w:pPr>
              <w:spacing w:after="0"/>
            </w:pPr>
            <w:r/>
            <w:r>
              <w:rPr>
                <w:rFonts w:ascii="Aptos" w:hAnsi="Aptos"/>
                <w:b w:val="0"/>
                <w:sz w:val="14"/>
              </w:rPr>
              <w:t>Current SNOMED documentation</w:t>
            </w:r>
          </w:p>
        </w:tc>
      </w:tr>
      <w:tr>
        <w:tc>
          <w:tcPr>
            <w:tcW w:type="dxa" w:w="2541"/>
            <w:vAlign w:val="top"/>
          </w:tcPr>
          <w:p>
            <w:pPr>
              <w:spacing w:after="0"/>
            </w:pPr>
            <w:r/>
            <w:r>
              <w:rPr>
                <w:rFonts w:ascii="Aptos" w:hAnsi="Aptos"/>
                <w:b w:val="0"/>
                <w:sz w:val="14"/>
              </w:rPr>
              <w:t>S9</w:t>
            </w:r>
          </w:p>
        </w:tc>
        <w:tc>
          <w:tcPr>
            <w:tcW w:type="dxa" w:w="2541"/>
            <w:vAlign w:val="top"/>
          </w:tcPr>
          <w:p>
            <w:pPr>
              <w:spacing w:after="0"/>
            </w:pPr>
            <w:r/>
            <w:r>
              <w:rPr>
                <w:rFonts w:ascii="Aptos" w:hAnsi="Aptos"/>
                <w:b w:val="0"/>
                <w:sz w:val="14"/>
              </w:rPr>
              <w:t>RadLex, RSNA</w:t>
            </w:r>
          </w:p>
        </w:tc>
        <w:tc>
          <w:tcPr>
            <w:tcW w:type="dxa" w:w="2541"/>
            <w:vAlign w:val="top"/>
          </w:tcPr>
          <w:p>
            <w:pPr>
              <w:spacing w:after="0"/>
            </w:pPr>
            <w:r/>
            <w:r>
              <w:rPr>
                <w:rFonts w:ascii="Aptos" w:hAnsi="Aptos"/>
                <w:b w:val="0"/>
                <w:sz w:val="14"/>
              </w:rPr>
              <w:t>Radiology lexicon for reporting, mining, registries, education and research.</w:t>
            </w:r>
          </w:p>
        </w:tc>
        <w:tc>
          <w:tcPr>
            <w:tcW w:type="dxa" w:w="2541"/>
            <w:vAlign w:val="top"/>
          </w:tcPr>
          <w:p>
            <w:pPr>
              <w:spacing w:after="0"/>
            </w:pPr>
            <w:r/>
            <w:r>
              <w:rPr>
                <w:rFonts w:ascii="Aptos" w:hAnsi="Aptos"/>
                <w:b w:val="0"/>
                <w:sz w:val="14"/>
              </w:rPr>
              <w:t>Current RSNA documentation</w:t>
            </w:r>
          </w:p>
        </w:tc>
      </w:tr>
      <w:tr>
        <w:tc>
          <w:tcPr>
            <w:tcW w:type="dxa" w:w="2541"/>
            <w:vAlign w:val="top"/>
          </w:tcPr>
          <w:p>
            <w:pPr>
              <w:spacing w:after="0"/>
            </w:pPr>
            <w:r/>
            <w:r>
              <w:rPr>
                <w:rFonts w:ascii="Aptos" w:hAnsi="Aptos"/>
                <w:b w:val="0"/>
                <w:sz w:val="14"/>
              </w:rPr>
              <w:t>S10</w:t>
            </w:r>
          </w:p>
        </w:tc>
        <w:tc>
          <w:tcPr>
            <w:tcW w:type="dxa" w:w="2541"/>
            <w:vAlign w:val="top"/>
          </w:tcPr>
          <w:p>
            <w:pPr>
              <w:spacing w:after="0"/>
            </w:pPr>
            <w:r/>
            <w:r>
              <w:rPr>
                <w:rFonts w:ascii="Aptos" w:hAnsi="Aptos"/>
                <w:b w:val="0"/>
                <w:sz w:val="14"/>
              </w:rPr>
              <w:t>SCORE v2</w:t>
            </w:r>
          </w:p>
        </w:tc>
        <w:tc>
          <w:tcPr>
            <w:tcW w:type="dxa" w:w="2541"/>
            <w:vAlign w:val="top"/>
          </w:tcPr>
          <w:p>
            <w:pPr>
              <w:spacing w:after="0"/>
            </w:pPr>
            <w:r/>
            <w:r>
              <w:rPr>
                <w:rFonts w:ascii="Aptos" w:hAnsi="Aptos"/>
                <w:b w:val="0"/>
                <w:sz w:val="14"/>
              </w:rPr>
              <w:t>International consensus structured EEG reporting terminology; tested on 12,160 EEG recordings.</w:t>
            </w:r>
          </w:p>
        </w:tc>
        <w:tc>
          <w:tcPr>
            <w:tcW w:type="dxa" w:w="2541"/>
            <w:vAlign w:val="top"/>
          </w:tcPr>
          <w:p>
            <w:pPr>
              <w:spacing w:after="0"/>
            </w:pPr>
            <w:r/>
            <w:r>
              <w:rPr>
                <w:rFonts w:ascii="Aptos" w:hAnsi="Aptos"/>
                <w:b w:val="0"/>
                <w:sz w:val="14"/>
              </w:rPr>
              <w:t>2017</w:t>
            </w:r>
          </w:p>
        </w:tc>
      </w:tr>
      <w:tr>
        <w:tc>
          <w:tcPr>
            <w:tcW w:type="dxa" w:w="2541"/>
            <w:vAlign w:val="top"/>
          </w:tcPr>
          <w:p>
            <w:pPr>
              <w:spacing w:after="0"/>
            </w:pPr>
            <w:r/>
            <w:r>
              <w:rPr>
                <w:rFonts w:ascii="Aptos" w:hAnsi="Aptos"/>
                <w:b w:val="0"/>
                <w:sz w:val="14"/>
              </w:rPr>
              <w:t>S11</w:t>
            </w:r>
          </w:p>
        </w:tc>
        <w:tc>
          <w:tcPr>
            <w:tcW w:type="dxa" w:w="2541"/>
            <w:vAlign w:val="top"/>
          </w:tcPr>
          <w:p>
            <w:pPr>
              <w:spacing w:after="0"/>
            </w:pPr>
            <w:r/>
            <w:r>
              <w:rPr>
                <w:rFonts w:ascii="Aptos" w:hAnsi="Aptos"/>
                <w:b w:val="0"/>
                <w:sz w:val="14"/>
              </w:rPr>
              <w:t>ACNS standardized EEG terminology</w:t>
            </w:r>
          </w:p>
        </w:tc>
        <w:tc>
          <w:tcPr>
            <w:tcW w:type="dxa" w:w="2541"/>
            <w:vAlign w:val="top"/>
          </w:tcPr>
          <w:p>
            <w:pPr>
              <w:spacing w:after="0"/>
            </w:pPr>
            <w:r/>
            <w:r>
              <w:rPr>
                <w:rFonts w:ascii="Aptos" w:hAnsi="Aptos"/>
                <w:b w:val="0"/>
                <w:sz w:val="14"/>
              </w:rPr>
              <w:t>Critical-care EEG terminology and related guideline resources.</w:t>
            </w:r>
          </w:p>
        </w:tc>
        <w:tc>
          <w:tcPr>
            <w:tcW w:type="dxa" w:w="2541"/>
            <w:vAlign w:val="top"/>
          </w:tcPr>
          <w:p>
            <w:pPr>
              <w:spacing w:after="0"/>
            </w:pPr>
            <w:r/>
            <w:r>
              <w:rPr>
                <w:rFonts w:ascii="Aptos" w:hAnsi="Aptos"/>
                <w:b w:val="0"/>
                <w:sz w:val="14"/>
              </w:rPr>
              <w:t>2021 terminology listed by ACNS</w:t>
            </w:r>
          </w:p>
        </w:tc>
      </w:tr>
      <w:tr>
        <w:tc>
          <w:tcPr>
            <w:tcW w:type="dxa" w:w="2541"/>
            <w:vAlign w:val="top"/>
          </w:tcPr>
          <w:p>
            <w:pPr>
              <w:spacing w:after="0"/>
            </w:pPr>
            <w:r/>
            <w:r>
              <w:rPr>
                <w:rFonts w:ascii="Aptos" w:hAnsi="Aptos"/>
                <w:b w:val="0"/>
                <w:sz w:val="14"/>
              </w:rPr>
              <w:t>S12</w:t>
            </w:r>
          </w:p>
        </w:tc>
        <w:tc>
          <w:tcPr>
            <w:tcW w:type="dxa" w:w="2541"/>
            <w:vAlign w:val="top"/>
          </w:tcPr>
          <w:p>
            <w:pPr>
              <w:spacing w:after="0"/>
            </w:pPr>
            <w:r/>
            <w:r>
              <w:rPr>
                <w:rFonts w:ascii="Aptos" w:hAnsi="Aptos"/>
                <w:b w:val="0"/>
                <w:sz w:val="14"/>
              </w:rPr>
              <w:t>ILAE Drug-Resistant Epilepsy definition</w:t>
            </w:r>
          </w:p>
        </w:tc>
        <w:tc>
          <w:tcPr>
            <w:tcW w:type="dxa" w:w="2541"/>
            <w:vAlign w:val="top"/>
          </w:tcPr>
          <w:p>
            <w:pPr>
              <w:spacing w:after="0"/>
            </w:pPr>
            <w:r/>
            <w:r>
              <w:rPr>
                <w:rFonts w:ascii="Aptos" w:hAnsi="Aptos"/>
                <w:b w:val="0"/>
                <w:sz w:val="14"/>
              </w:rPr>
              <w:t>Failure of adequate trials of two tolerated, appropriately chosen and used ASM schedules to achieve sustained seizure freedom.</w:t>
            </w:r>
          </w:p>
        </w:tc>
        <w:tc>
          <w:tcPr>
            <w:tcW w:type="dxa" w:w="2541"/>
            <w:vAlign w:val="top"/>
          </w:tcPr>
          <w:p>
            <w:pPr>
              <w:spacing w:after="0"/>
            </w:pPr>
            <w:r/>
            <w:r>
              <w:rPr>
                <w:rFonts w:ascii="Aptos" w:hAnsi="Aptos"/>
                <w:b w:val="0"/>
                <w:sz w:val="14"/>
              </w:rPr>
              <w:t>2010 consensus</w:t>
            </w:r>
          </w:p>
        </w:tc>
      </w:tr>
      <w:tr>
        <w:tc>
          <w:tcPr>
            <w:tcW w:type="dxa" w:w="2541"/>
            <w:vAlign w:val="top"/>
          </w:tcPr>
          <w:p>
            <w:pPr>
              <w:spacing w:after="0"/>
            </w:pPr>
            <w:r/>
            <w:r>
              <w:rPr>
                <w:rFonts w:ascii="Aptos" w:hAnsi="Aptos"/>
                <w:b w:val="0"/>
                <w:sz w:val="14"/>
              </w:rPr>
              <w:t>S13</w:t>
            </w:r>
          </w:p>
        </w:tc>
        <w:tc>
          <w:tcPr>
            <w:tcW w:type="dxa" w:w="2541"/>
            <w:vAlign w:val="top"/>
          </w:tcPr>
          <w:p>
            <w:pPr>
              <w:spacing w:after="0"/>
            </w:pPr>
            <w:r/>
            <w:r>
              <w:rPr>
                <w:rFonts w:ascii="Aptos" w:hAnsi="Aptos"/>
                <w:b w:val="0"/>
                <w:sz w:val="14"/>
              </w:rPr>
              <w:t>ILAE HS consensus classification</w:t>
            </w:r>
          </w:p>
        </w:tc>
        <w:tc>
          <w:tcPr>
            <w:tcW w:type="dxa" w:w="2541"/>
            <w:vAlign w:val="top"/>
          </w:tcPr>
          <w:p>
            <w:pPr>
              <w:spacing w:after="0"/>
            </w:pPr>
            <w:r/>
            <w:r>
              <w:rPr>
                <w:rFonts w:ascii="Aptos" w:hAnsi="Aptos"/>
                <w:b w:val="0"/>
                <w:sz w:val="14"/>
              </w:rPr>
              <w:t>Neuropathologic hippocampal sclerosis classification.</w:t>
            </w:r>
          </w:p>
        </w:tc>
        <w:tc>
          <w:tcPr>
            <w:tcW w:type="dxa" w:w="2541"/>
            <w:vAlign w:val="top"/>
          </w:tcPr>
          <w:p>
            <w:pPr>
              <w:spacing w:after="0"/>
            </w:pPr>
            <w:r/>
            <w:r>
              <w:rPr>
                <w:rFonts w:ascii="Aptos" w:hAnsi="Aptos"/>
                <w:b w:val="0"/>
                <w:sz w:val="14"/>
              </w:rPr>
              <w:t>2013</w:t>
            </w:r>
          </w:p>
        </w:tc>
      </w:tr>
      <w:tr>
        <w:tc>
          <w:tcPr>
            <w:tcW w:type="dxa" w:w="2541"/>
            <w:vAlign w:val="top"/>
          </w:tcPr>
          <w:p>
            <w:pPr>
              <w:spacing w:after="0"/>
            </w:pPr>
            <w:r/>
            <w:r>
              <w:rPr>
                <w:rFonts w:ascii="Aptos" w:hAnsi="Aptos"/>
                <w:b w:val="0"/>
                <w:sz w:val="14"/>
              </w:rPr>
              <w:t>S14</w:t>
            </w:r>
          </w:p>
        </w:tc>
        <w:tc>
          <w:tcPr>
            <w:tcW w:type="dxa" w:w="2541"/>
            <w:vAlign w:val="top"/>
          </w:tcPr>
          <w:p>
            <w:pPr>
              <w:spacing w:after="0"/>
            </w:pPr>
            <w:r/>
            <w:r>
              <w:rPr>
                <w:rFonts w:ascii="Aptos" w:hAnsi="Aptos"/>
                <w:b w:val="0"/>
                <w:sz w:val="14"/>
              </w:rPr>
              <w:t>ILAE FCD consensus update</w:t>
            </w:r>
          </w:p>
        </w:tc>
        <w:tc>
          <w:tcPr>
            <w:tcW w:type="dxa" w:w="2541"/>
            <w:vAlign w:val="top"/>
          </w:tcPr>
          <w:p>
            <w:pPr>
              <w:spacing w:after="0"/>
            </w:pPr>
            <w:r/>
            <w:r>
              <w:rPr>
                <w:rFonts w:ascii="Aptos" w:hAnsi="Aptos"/>
                <w:b w:val="0"/>
                <w:sz w:val="14"/>
              </w:rPr>
              <w:t>Updated clinicopathologic/genetic FCD classification.</w:t>
            </w:r>
          </w:p>
        </w:tc>
        <w:tc>
          <w:tcPr>
            <w:tcW w:type="dxa" w:w="2541"/>
            <w:vAlign w:val="top"/>
          </w:tcPr>
          <w:p>
            <w:pPr>
              <w:spacing w:after="0"/>
            </w:pPr>
            <w:r/>
            <w:r>
              <w:rPr>
                <w:rFonts w:ascii="Aptos" w:hAnsi="Aptos"/>
                <w:b w:val="0"/>
                <w:sz w:val="14"/>
              </w:rPr>
              <w:t>2022</w:t>
            </w:r>
          </w:p>
        </w:tc>
      </w:tr>
      <w:tr>
        <w:tc>
          <w:tcPr>
            <w:tcW w:type="dxa" w:w="2541"/>
            <w:vAlign w:val="top"/>
          </w:tcPr>
          <w:p>
            <w:pPr>
              <w:spacing w:after="0"/>
            </w:pPr>
            <w:r/>
            <w:r>
              <w:rPr>
                <w:rFonts w:ascii="Aptos" w:hAnsi="Aptos"/>
                <w:b w:val="0"/>
                <w:sz w:val="14"/>
              </w:rPr>
              <w:t>S15</w:t>
            </w:r>
          </w:p>
        </w:tc>
        <w:tc>
          <w:tcPr>
            <w:tcW w:type="dxa" w:w="2541"/>
            <w:vAlign w:val="top"/>
          </w:tcPr>
          <w:p>
            <w:pPr>
              <w:spacing w:after="0"/>
            </w:pPr>
            <w:r/>
            <w:r>
              <w:rPr>
                <w:rFonts w:ascii="Aptos" w:hAnsi="Aptos"/>
                <w:b w:val="0"/>
                <w:sz w:val="14"/>
              </w:rPr>
              <w:t>Synthetic epilepsy clinic letters / ExECTv2 validation</w:t>
            </w:r>
          </w:p>
        </w:tc>
        <w:tc>
          <w:tcPr>
            <w:tcW w:type="dxa" w:w="2541"/>
            <w:vAlign w:val="top"/>
          </w:tcPr>
          <w:p>
            <w:pPr>
              <w:spacing w:after="0"/>
            </w:pPr>
            <w:r/>
            <w:r>
              <w:rPr>
                <w:rFonts w:ascii="Aptos" w:hAnsi="Aptos"/>
                <w:b w:val="0"/>
                <w:sz w:val="14"/>
              </w:rPr>
              <w:t>200 clinician-written synthetic epilepsy letters; double annotation; adjudicated gold standard; public annotations/guidelines.</w:t>
            </w:r>
          </w:p>
        </w:tc>
        <w:tc>
          <w:tcPr>
            <w:tcW w:type="dxa" w:w="2541"/>
            <w:vAlign w:val="top"/>
          </w:tcPr>
          <w:p>
            <w:pPr>
              <w:spacing w:after="0"/>
            </w:pPr>
            <w:r/>
            <w:r>
              <w:rPr>
                <w:rFonts w:ascii="Aptos" w:hAnsi="Aptos"/>
                <w:b w:val="0"/>
                <w:sz w:val="14"/>
              </w:rPr>
              <w:t>2024</w:t>
            </w:r>
          </w:p>
        </w:tc>
      </w:tr>
      <w:tr>
        <w:tc>
          <w:tcPr>
            <w:tcW w:type="dxa" w:w="2541"/>
            <w:vAlign w:val="top"/>
          </w:tcPr>
          <w:p>
            <w:pPr>
              <w:spacing w:after="0"/>
            </w:pPr>
            <w:r/>
            <w:r>
              <w:rPr>
                <w:rFonts w:ascii="Aptos" w:hAnsi="Aptos"/>
                <w:b w:val="0"/>
                <w:sz w:val="14"/>
              </w:rPr>
              <w:t>S16</w:t>
            </w:r>
          </w:p>
        </w:tc>
        <w:tc>
          <w:tcPr>
            <w:tcW w:type="dxa" w:w="2541"/>
            <w:vAlign w:val="top"/>
          </w:tcPr>
          <w:p>
            <w:pPr>
              <w:spacing w:after="0"/>
            </w:pPr>
            <w:r/>
            <w:r>
              <w:rPr>
                <w:rFonts w:ascii="Aptos" w:hAnsi="Aptos"/>
                <w:b w:val="0"/>
                <w:sz w:val="14"/>
              </w:rPr>
              <w:t>OMOP Common Data Model / OHDSI</w:t>
            </w:r>
          </w:p>
        </w:tc>
        <w:tc>
          <w:tcPr>
            <w:tcW w:type="dxa" w:w="2541"/>
            <w:vAlign w:val="top"/>
          </w:tcPr>
          <w:p>
            <w:pPr>
              <w:spacing w:after="0"/>
            </w:pPr>
            <w:r/>
            <w:r>
              <w:rPr>
                <w:rFonts w:ascii="Aptos" w:hAnsi="Aptos"/>
                <w:b w:val="0"/>
                <w:sz w:val="14"/>
              </w:rPr>
              <w:t>Standardized observational research data representation and vocabularies.</w:t>
            </w:r>
          </w:p>
        </w:tc>
        <w:tc>
          <w:tcPr>
            <w:tcW w:type="dxa" w:w="2541"/>
            <w:vAlign w:val="top"/>
          </w:tcPr>
          <w:p>
            <w:pPr>
              <w:spacing w:after="0"/>
            </w:pPr>
            <w:r/>
            <w:r>
              <w:rPr>
                <w:rFonts w:ascii="Aptos" w:hAnsi="Aptos"/>
                <w:b w:val="0"/>
                <w:sz w:val="14"/>
              </w:rPr>
              <w:t>Current OHDSI documentation</w:t>
            </w:r>
          </w:p>
        </w:tc>
      </w:tr>
    </w:tbl>
    <w:p/>
    <w:p>
      <w:pPr>
        <w:pStyle w:val="Heading1"/>
      </w:pPr>
      <w:r>
        <w:t>3. Canonical semantic hierarchy</w:t>
      </w:r>
    </w:p>
    <w:p>
      <w:r>
        <w:t>The hierarchy below is the required conceptual separation for generation and extraction. A seizure classification, an epilepsy type, an epilepsy syndrome, an etiology, and an EEG/MRI finding are distinct variables and must not be collapsed. ILAE's 2017 epilepsy framework separates seizure type, epilepsy type, and epilepsy syndrome and incorporates etiology across stages [S2]. The 2025 seizure classification maintains four main seizure classes and distinguishes classifiers from descriptors [S1].</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pPr>
              <w:spacing w:after="0"/>
            </w:pPr>
            <w:r/>
            <w:r>
              <w:rPr>
                <w:rFonts w:ascii="Aptos" w:hAnsi="Aptos"/>
                <w:b/>
                <w:sz w:val="15"/>
              </w:rPr>
              <w:t>Layer</w:t>
            </w:r>
          </w:p>
        </w:tc>
        <w:tc>
          <w:tcPr>
            <w:tcW w:type="dxa" w:w="2541"/>
            <w:shd w:fill="D9EAF7"/>
          </w:tcPr>
          <w:p>
            <w:pPr>
              <w:spacing w:after="0"/>
            </w:pPr>
            <w:r/>
            <w:r>
              <w:rPr>
                <w:rFonts w:ascii="Aptos" w:hAnsi="Aptos"/>
                <w:b/>
                <w:sz w:val="15"/>
              </w:rPr>
              <w:t>Canonical concept family</w:t>
            </w:r>
          </w:p>
        </w:tc>
        <w:tc>
          <w:tcPr>
            <w:tcW w:type="dxa" w:w="2541"/>
            <w:shd w:fill="D9EAF7"/>
          </w:tcPr>
          <w:p>
            <w:pPr>
              <w:spacing w:after="0"/>
            </w:pPr>
            <w:r/>
            <w:r>
              <w:rPr>
                <w:rFonts w:ascii="Aptos" w:hAnsi="Aptos"/>
                <w:b/>
                <w:sz w:val="15"/>
              </w:rPr>
              <w:t>Source</w:t>
            </w:r>
          </w:p>
        </w:tc>
        <w:tc>
          <w:tcPr>
            <w:tcW w:type="dxa" w:w="2541"/>
            <w:shd w:fill="D9EAF7"/>
          </w:tcPr>
          <w:p>
            <w:pPr>
              <w:spacing w:after="0"/>
            </w:pPr>
            <w:r/>
            <w:r>
              <w:rPr>
                <w:rFonts w:ascii="Aptos" w:hAnsi="Aptos"/>
                <w:b/>
                <w:sz w:val="15"/>
              </w:rPr>
              <w:t>MedAI rule</w:t>
            </w:r>
          </w:p>
        </w:tc>
      </w:tr>
      <w:tr>
        <w:tc>
          <w:tcPr>
            <w:tcW w:type="dxa" w:w="2541"/>
            <w:vAlign w:val="top"/>
          </w:tcPr>
          <w:p>
            <w:pPr>
              <w:spacing w:after="0"/>
            </w:pPr>
            <w:r/>
            <w:r>
              <w:rPr>
                <w:rFonts w:ascii="Aptos" w:hAnsi="Aptos"/>
                <w:b w:val="0"/>
                <w:sz w:val="14"/>
              </w:rPr>
              <w:t>Seizure</w:t>
            </w:r>
          </w:p>
        </w:tc>
        <w:tc>
          <w:tcPr>
            <w:tcW w:type="dxa" w:w="2541"/>
            <w:vAlign w:val="top"/>
          </w:tcPr>
          <w:p>
            <w:pPr>
              <w:spacing w:after="0"/>
            </w:pPr>
            <w:r/>
            <w:r>
              <w:rPr>
                <w:rFonts w:ascii="Aptos" w:hAnsi="Aptos"/>
                <w:b w:val="0"/>
                <w:sz w:val="14"/>
              </w:rPr>
              <w:t>Focal; generalized; unknown whether focal/generalized; unclassified; supported seizure types/descriptors</w:t>
            </w:r>
          </w:p>
        </w:tc>
        <w:tc>
          <w:tcPr>
            <w:tcW w:type="dxa" w:w="2541"/>
            <w:vAlign w:val="top"/>
          </w:tcPr>
          <w:p>
            <w:pPr>
              <w:spacing w:after="0"/>
            </w:pPr>
            <w:r/>
            <w:r>
              <w:rPr>
                <w:rFonts w:ascii="Aptos" w:hAnsi="Aptos"/>
                <w:b w:val="0"/>
                <w:sz w:val="14"/>
              </w:rPr>
              <w:t>ILAE 2025 [S1]</w:t>
            </w:r>
          </w:p>
        </w:tc>
        <w:tc>
          <w:tcPr>
            <w:tcW w:type="dxa" w:w="2541"/>
            <w:vAlign w:val="top"/>
          </w:tcPr>
          <w:p>
            <w:pPr>
              <w:spacing w:after="0"/>
            </w:pPr>
            <w:r/>
            <w:r>
              <w:rPr>
                <w:rFonts w:ascii="Aptos" w:hAnsi="Aptos"/>
                <w:b w:val="0"/>
                <w:sz w:val="14"/>
              </w:rPr>
              <w:t>Store source phrase + normalized current concept.</w:t>
            </w:r>
          </w:p>
        </w:tc>
      </w:tr>
      <w:tr>
        <w:tc>
          <w:tcPr>
            <w:tcW w:type="dxa" w:w="2541"/>
            <w:vAlign w:val="top"/>
          </w:tcPr>
          <w:p>
            <w:pPr>
              <w:spacing w:after="0"/>
            </w:pPr>
            <w:r/>
            <w:r>
              <w:rPr>
                <w:rFonts w:ascii="Aptos" w:hAnsi="Aptos"/>
                <w:b w:val="0"/>
                <w:sz w:val="14"/>
              </w:rPr>
              <w:t>Epilepsy type</w:t>
            </w:r>
          </w:p>
        </w:tc>
        <w:tc>
          <w:tcPr>
            <w:tcW w:type="dxa" w:w="2541"/>
            <w:vAlign w:val="top"/>
          </w:tcPr>
          <w:p>
            <w:pPr>
              <w:spacing w:after="0"/>
            </w:pPr>
            <w:r/>
            <w:r>
              <w:rPr>
                <w:rFonts w:ascii="Aptos" w:hAnsi="Aptos"/>
                <w:b w:val="0"/>
                <w:sz w:val="14"/>
              </w:rPr>
              <w:t>Focal; generalized; combined generalized and focal; unknown</w:t>
            </w:r>
          </w:p>
        </w:tc>
        <w:tc>
          <w:tcPr>
            <w:tcW w:type="dxa" w:w="2541"/>
            <w:vAlign w:val="top"/>
          </w:tcPr>
          <w:p>
            <w:pPr>
              <w:spacing w:after="0"/>
            </w:pPr>
            <w:r/>
            <w:r>
              <w:rPr>
                <w:rFonts w:ascii="Aptos" w:hAnsi="Aptos"/>
                <w:b w:val="0"/>
                <w:sz w:val="14"/>
              </w:rPr>
              <w:t>ILAE 2017 [S2]</w:t>
            </w:r>
          </w:p>
        </w:tc>
        <w:tc>
          <w:tcPr>
            <w:tcW w:type="dxa" w:w="2541"/>
            <w:vAlign w:val="top"/>
          </w:tcPr>
          <w:p>
            <w:pPr>
              <w:spacing w:after="0"/>
            </w:pPr>
            <w:r/>
            <w:r>
              <w:rPr>
                <w:rFonts w:ascii="Aptos" w:hAnsi="Aptos"/>
                <w:b w:val="0"/>
                <w:sz w:val="14"/>
              </w:rPr>
              <w:t>Do not infer from one seizure mention unless scenario truth explicitly defines it.</w:t>
            </w:r>
          </w:p>
        </w:tc>
      </w:tr>
      <w:tr>
        <w:tc>
          <w:tcPr>
            <w:tcW w:type="dxa" w:w="2541"/>
            <w:vAlign w:val="top"/>
          </w:tcPr>
          <w:p>
            <w:pPr>
              <w:spacing w:after="0"/>
            </w:pPr>
            <w:r/>
            <w:r>
              <w:rPr>
                <w:rFonts w:ascii="Aptos" w:hAnsi="Aptos"/>
                <w:b w:val="0"/>
                <w:sz w:val="14"/>
              </w:rPr>
              <w:t>Syndrome</w:t>
            </w:r>
          </w:p>
        </w:tc>
        <w:tc>
          <w:tcPr>
            <w:tcW w:type="dxa" w:w="2541"/>
            <w:vAlign w:val="top"/>
          </w:tcPr>
          <w:p>
            <w:pPr>
              <w:spacing w:after="0"/>
            </w:pPr>
            <w:r/>
            <w:r>
              <w:rPr>
                <w:rFonts w:ascii="Aptos" w:hAnsi="Aptos"/>
                <w:b w:val="0"/>
                <w:sz w:val="14"/>
              </w:rPr>
              <w:t>Named ILAE syndrome</w:t>
            </w:r>
          </w:p>
        </w:tc>
        <w:tc>
          <w:tcPr>
            <w:tcW w:type="dxa" w:w="2541"/>
            <w:vAlign w:val="top"/>
          </w:tcPr>
          <w:p>
            <w:pPr>
              <w:spacing w:after="0"/>
            </w:pPr>
            <w:r/>
            <w:r>
              <w:rPr>
                <w:rFonts w:ascii="Aptos" w:hAnsi="Aptos"/>
                <w:b w:val="0"/>
                <w:sz w:val="14"/>
              </w:rPr>
              <w:t>ILAE 2022 [S3]</w:t>
            </w:r>
          </w:p>
        </w:tc>
        <w:tc>
          <w:tcPr>
            <w:tcW w:type="dxa" w:w="2541"/>
            <w:vAlign w:val="top"/>
          </w:tcPr>
          <w:p>
            <w:pPr>
              <w:spacing w:after="0"/>
            </w:pPr>
            <w:r/>
            <w:r>
              <w:rPr>
                <w:rFonts w:ascii="Aptos" w:hAnsi="Aptos"/>
                <w:b w:val="0"/>
                <w:sz w:val="14"/>
              </w:rPr>
              <w:t>Generate only from a curated syndrome template; do not free-generate syndrome criteria.</w:t>
            </w:r>
          </w:p>
        </w:tc>
      </w:tr>
      <w:tr>
        <w:tc>
          <w:tcPr>
            <w:tcW w:type="dxa" w:w="2541"/>
            <w:vAlign w:val="top"/>
          </w:tcPr>
          <w:p>
            <w:pPr>
              <w:spacing w:after="0"/>
            </w:pPr>
            <w:r/>
            <w:r>
              <w:rPr>
                <w:rFonts w:ascii="Aptos" w:hAnsi="Aptos"/>
                <w:b w:val="0"/>
                <w:sz w:val="14"/>
              </w:rPr>
              <w:t>Etiology</w:t>
            </w:r>
          </w:p>
        </w:tc>
        <w:tc>
          <w:tcPr>
            <w:tcW w:type="dxa" w:w="2541"/>
            <w:vAlign w:val="top"/>
          </w:tcPr>
          <w:p>
            <w:pPr>
              <w:spacing w:after="0"/>
            </w:pPr>
            <w:r/>
            <w:r>
              <w:rPr>
                <w:rFonts w:ascii="Aptos" w:hAnsi="Aptos"/>
                <w:b w:val="0"/>
                <w:sz w:val="14"/>
              </w:rPr>
              <w:t>Structural; genetic; infectious; metabolic; immune; unknown; combinations as supported</w:t>
            </w:r>
          </w:p>
        </w:tc>
        <w:tc>
          <w:tcPr>
            <w:tcW w:type="dxa" w:w="2541"/>
            <w:vAlign w:val="top"/>
          </w:tcPr>
          <w:p>
            <w:pPr>
              <w:spacing w:after="0"/>
            </w:pPr>
            <w:r/>
            <w:r>
              <w:rPr>
                <w:rFonts w:ascii="Aptos" w:hAnsi="Aptos"/>
                <w:b w:val="0"/>
                <w:sz w:val="14"/>
              </w:rPr>
              <w:t>ILAE framework [S2]</w:t>
            </w:r>
          </w:p>
        </w:tc>
        <w:tc>
          <w:tcPr>
            <w:tcW w:type="dxa" w:w="2541"/>
            <w:vAlign w:val="top"/>
          </w:tcPr>
          <w:p>
            <w:pPr>
              <w:spacing w:after="0"/>
            </w:pPr>
            <w:r/>
            <w:r>
              <w:rPr>
                <w:rFonts w:ascii="Aptos" w:hAnsi="Aptos"/>
                <w:b w:val="0"/>
                <w:sz w:val="14"/>
              </w:rPr>
              <w:t>Represent class separately from subtype and certainty.</w:t>
            </w:r>
          </w:p>
        </w:tc>
      </w:tr>
      <w:tr>
        <w:tc>
          <w:tcPr>
            <w:tcW w:type="dxa" w:w="2541"/>
            <w:vAlign w:val="top"/>
          </w:tcPr>
          <w:p>
            <w:pPr>
              <w:spacing w:after="0"/>
            </w:pPr>
            <w:r/>
            <w:r>
              <w:rPr>
                <w:rFonts w:ascii="Aptos" w:hAnsi="Aptos"/>
                <w:b w:val="0"/>
                <w:sz w:val="14"/>
              </w:rPr>
              <w:t>Investigations</w:t>
            </w:r>
          </w:p>
        </w:tc>
        <w:tc>
          <w:tcPr>
            <w:tcW w:type="dxa" w:w="2541"/>
            <w:vAlign w:val="top"/>
          </w:tcPr>
          <w:p>
            <w:pPr>
              <w:spacing w:after="0"/>
            </w:pPr>
            <w:r/>
            <w:r>
              <w:rPr>
                <w:rFonts w:ascii="Aptos" w:hAnsi="Aptos"/>
                <w:b w:val="0"/>
                <w:sz w:val="14"/>
              </w:rPr>
              <w:t>EEG and imaging findings</w:t>
            </w:r>
          </w:p>
        </w:tc>
        <w:tc>
          <w:tcPr>
            <w:tcW w:type="dxa" w:w="2541"/>
            <w:vAlign w:val="top"/>
          </w:tcPr>
          <w:p>
            <w:pPr>
              <w:spacing w:after="0"/>
            </w:pPr>
            <w:r/>
            <w:r>
              <w:rPr>
                <w:rFonts w:ascii="Aptos" w:hAnsi="Aptos"/>
                <w:b w:val="0"/>
                <w:sz w:val="14"/>
              </w:rPr>
              <w:t>SCORE/ACNS/RadLex + EpSO [S4,S9-S11]</w:t>
            </w:r>
          </w:p>
        </w:tc>
        <w:tc>
          <w:tcPr>
            <w:tcW w:type="dxa" w:w="2541"/>
            <w:vAlign w:val="top"/>
          </w:tcPr>
          <w:p>
            <w:pPr>
              <w:spacing w:after="0"/>
            </w:pPr>
            <w:r/>
            <w:r>
              <w:rPr>
                <w:rFonts w:ascii="Aptos" w:hAnsi="Aptos"/>
                <w:b w:val="0"/>
                <w:sz w:val="14"/>
              </w:rPr>
              <w:t>Findings are evidence; they are not automatically equivalent to diagnosis.</w:t>
            </w:r>
          </w:p>
        </w:tc>
      </w:tr>
      <w:tr>
        <w:tc>
          <w:tcPr>
            <w:tcW w:type="dxa" w:w="2541"/>
            <w:vAlign w:val="top"/>
          </w:tcPr>
          <w:p>
            <w:pPr>
              <w:spacing w:after="0"/>
            </w:pPr>
            <w:r/>
            <w:r>
              <w:rPr>
                <w:rFonts w:ascii="Aptos" w:hAnsi="Aptos"/>
                <w:b w:val="0"/>
                <w:sz w:val="14"/>
              </w:rPr>
              <w:t>Treatment/outcome</w:t>
            </w:r>
          </w:p>
        </w:tc>
        <w:tc>
          <w:tcPr>
            <w:tcW w:type="dxa" w:w="2541"/>
            <w:vAlign w:val="top"/>
          </w:tcPr>
          <w:p>
            <w:pPr>
              <w:spacing w:after="0"/>
            </w:pPr>
            <w:r/>
            <w:r>
              <w:rPr>
                <w:rFonts w:ascii="Aptos" w:hAnsi="Aptos"/>
                <w:b w:val="0"/>
                <w:sz w:val="14"/>
              </w:rPr>
              <w:t>ASM exposure, treatment response, procedures, outcomes</w:t>
            </w:r>
          </w:p>
        </w:tc>
        <w:tc>
          <w:tcPr>
            <w:tcW w:type="dxa" w:w="2541"/>
            <w:vAlign w:val="top"/>
          </w:tcPr>
          <w:p>
            <w:pPr>
              <w:spacing w:after="0"/>
            </w:pPr>
            <w:r/>
            <w:r>
              <w:rPr>
                <w:rFonts w:ascii="Aptos" w:hAnsi="Aptos"/>
                <w:b w:val="0"/>
                <w:sz w:val="14"/>
              </w:rPr>
              <w:t>RxNorm + ILAE DRE where applicable [S7,S12]</w:t>
            </w:r>
          </w:p>
        </w:tc>
        <w:tc>
          <w:tcPr>
            <w:tcW w:type="dxa" w:w="2541"/>
            <w:vAlign w:val="top"/>
          </w:tcPr>
          <w:p>
            <w:pPr>
              <w:spacing w:after="0"/>
            </w:pPr>
            <w:r/>
            <w:r>
              <w:rPr>
                <w:rFonts w:ascii="Aptos" w:hAnsi="Aptos"/>
                <w:b w:val="0"/>
                <w:sz w:val="14"/>
              </w:rPr>
              <w:t>Drug identity normalization is separate from adequacy/failure assessment.</w:t>
            </w:r>
          </w:p>
        </w:tc>
      </w:tr>
    </w:tbl>
    <w:p/>
    <w:p>
      <w:pPr>
        <w:pStyle w:val="Heading1"/>
      </w:pPr>
      <w:r>
        <w:t>4. MedAI Phenotype Assertion Model (MPAM)</w:t>
      </w:r>
    </w:p>
    <w:p>
      <w:r>
        <w:t>MPAM is MEDAI-PROPOSED. It is the core data object used both for synthetic truth and extracted predictions. External standards define the clinical concepts; MPAM defines how MedAI records a claim about a patient.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pPr>
              <w:spacing w:after="0"/>
            </w:pPr>
            <w:r/>
            <w:r>
              <w:rPr>
                <w:rFonts w:ascii="Aptos" w:hAnsi="Aptos"/>
                <w:b/>
                <w:sz w:val="15"/>
              </w:rPr>
              <w:t>Field</w:t>
            </w:r>
          </w:p>
        </w:tc>
        <w:tc>
          <w:tcPr>
            <w:tcW w:type="dxa" w:w="2541"/>
            <w:shd w:fill="D9EAF7"/>
          </w:tcPr>
          <w:p>
            <w:pPr>
              <w:spacing w:after="0"/>
            </w:pPr>
            <w:r/>
            <w:r>
              <w:rPr>
                <w:rFonts w:ascii="Aptos" w:hAnsi="Aptos"/>
                <w:b/>
                <w:sz w:val="15"/>
              </w:rPr>
              <w:t>Allowed representation</w:t>
            </w:r>
          </w:p>
        </w:tc>
        <w:tc>
          <w:tcPr>
            <w:tcW w:type="dxa" w:w="2541"/>
            <w:shd w:fill="D9EAF7"/>
          </w:tcPr>
          <w:p>
            <w:pPr>
              <w:spacing w:after="0"/>
            </w:pPr>
            <w:r/>
            <w:r>
              <w:rPr>
                <w:rFonts w:ascii="Aptos" w:hAnsi="Aptos"/>
                <w:b/>
                <w:sz w:val="15"/>
              </w:rPr>
              <w:t>Required?</w:t>
            </w:r>
          </w:p>
        </w:tc>
        <w:tc>
          <w:tcPr>
            <w:tcW w:type="dxa" w:w="2541"/>
            <w:shd w:fill="D9EAF7"/>
          </w:tcPr>
          <w:p>
            <w:pPr>
              <w:spacing w:after="0"/>
            </w:pPr>
            <w:r/>
            <w:r>
              <w:rPr>
                <w:rFonts w:ascii="Aptos" w:hAnsi="Aptos"/>
                <w:b/>
                <w:sz w:val="15"/>
              </w:rPr>
              <w:t>Source/status</w:t>
            </w:r>
          </w:p>
        </w:tc>
      </w:tr>
      <w:tr>
        <w:tc>
          <w:tcPr>
            <w:tcW w:type="dxa" w:w="2541"/>
            <w:vAlign w:val="top"/>
          </w:tcPr>
          <w:p>
            <w:pPr>
              <w:spacing w:after="0"/>
            </w:pPr>
            <w:r/>
            <w:r>
              <w:rPr>
                <w:rFonts w:ascii="Aptos" w:hAnsi="Aptos"/>
                <w:b w:val="0"/>
                <w:sz w:val="14"/>
              </w:rPr>
              <w:t>assertion_id</w:t>
            </w:r>
          </w:p>
        </w:tc>
        <w:tc>
          <w:tcPr>
            <w:tcW w:type="dxa" w:w="2541"/>
            <w:vAlign w:val="top"/>
          </w:tcPr>
          <w:p>
            <w:pPr>
              <w:spacing w:after="0"/>
            </w:pPr>
            <w:r/>
            <w:r>
              <w:rPr>
                <w:rFonts w:ascii="Aptos" w:hAnsi="Aptos"/>
                <w:b w:val="0"/>
                <w:sz w:val="14"/>
              </w:rPr>
              <w:t>UUID/string</w:t>
            </w:r>
          </w:p>
        </w:tc>
        <w:tc>
          <w:tcPr>
            <w:tcW w:type="dxa" w:w="2541"/>
            <w:vAlign w:val="top"/>
          </w:tcPr>
          <w:p>
            <w:pPr>
              <w:spacing w:after="0"/>
            </w:pPr>
            <w:r/>
            <w:r>
              <w:rPr>
                <w:rFonts w:ascii="Aptos" w:hAnsi="Aptos"/>
                <w:b w:val="0"/>
                <w:sz w:val="14"/>
              </w:rPr>
              <w:t>Yes</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patient_id</w:t>
            </w:r>
          </w:p>
        </w:tc>
        <w:tc>
          <w:tcPr>
            <w:tcW w:type="dxa" w:w="2541"/>
            <w:vAlign w:val="top"/>
          </w:tcPr>
          <w:p>
            <w:pPr>
              <w:spacing w:after="0"/>
            </w:pPr>
            <w:r/>
            <w:r>
              <w:rPr>
                <w:rFonts w:ascii="Aptos" w:hAnsi="Aptos"/>
                <w:b w:val="0"/>
                <w:sz w:val="14"/>
              </w:rPr>
              <w:t>pseudonymous/synthetic ID</w:t>
            </w:r>
          </w:p>
        </w:tc>
        <w:tc>
          <w:tcPr>
            <w:tcW w:type="dxa" w:w="2541"/>
            <w:vAlign w:val="top"/>
          </w:tcPr>
          <w:p>
            <w:pPr>
              <w:spacing w:after="0"/>
            </w:pPr>
            <w:r/>
            <w:r>
              <w:rPr>
                <w:rFonts w:ascii="Aptos" w:hAnsi="Aptos"/>
                <w:b w:val="0"/>
                <w:sz w:val="14"/>
              </w:rPr>
              <w:t>Yes</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concept_system</w:t>
            </w:r>
          </w:p>
        </w:tc>
        <w:tc>
          <w:tcPr>
            <w:tcW w:type="dxa" w:w="2541"/>
            <w:vAlign w:val="top"/>
          </w:tcPr>
          <w:p>
            <w:pPr>
              <w:spacing w:after="0"/>
            </w:pPr>
            <w:r/>
            <w:r>
              <w:rPr>
                <w:rFonts w:ascii="Aptos" w:hAnsi="Aptos"/>
                <w:b w:val="0"/>
                <w:sz w:val="14"/>
              </w:rPr>
              <w:t>ILAE/EpSO/SNOMED/RxNorm/RadLex/SCORE/ACNS/MedAI</w:t>
            </w:r>
          </w:p>
        </w:tc>
        <w:tc>
          <w:tcPr>
            <w:tcW w:type="dxa" w:w="2541"/>
            <w:vAlign w:val="top"/>
          </w:tcPr>
          <w:p>
            <w:pPr>
              <w:spacing w:after="0"/>
            </w:pPr>
            <w:r/>
            <w:r>
              <w:rPr>
                <w:rFonts w:ascii="Aptos" w:hAnsi="Aptos"/>
                <w:b w:val="0"/>
                <w:sz w:val="14"/>
              </w:rPr>
              <w:t>Yes</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concept_id</w:t>
            </w:r>
          </w:p>
        </w:tc>
        <w:tc>
          <w:tcPr>
            <w:tcW w:type="dxa" w:w="2541"/>
            <w:vAlign w:val="top"/>
          </w:tcPr>
          <w:p>
            <w:pPr>
              <w:spacing w:after="0"/>
            </w:pPr>
            <w:r/>
            <w:r>
              <w:rPr>
                <w:rFonts w:ascii="Aptos" w:hAnsi="Aptos"/>
                <w:b w:val="0"/>
                <w:sz w:val="14"/>
              </w:rPr>
              <w:t>external identifier when verified; otherwise MedAI local ID</w:t>
            </w:r>
          </w:p>
        </w:tc>
        <w:tc>
          <w:tcPr>
            <w:tcW w:type="dxa" w:w="2541"/>
            <w:vAlign w:val="top"/>
          </w:tcPr>
          <w:p>
            <w:pPr>
              <w:spacing w:after="0"/>
            </w:pPr>
            <w:r/>
            <w:r>
              <w:rPr>
                <w:rFonts w:ascii="Aptos" w:hAnsi="Aptos"/>
                <w:b w:val="0"/>
                <w:sz w:val="14"/>
              </w:rPr>
              <w:t>Yes</w:t>
            </w:r>
          </w:p>
        </w:tc>
        <w:tc>
          <w:tcPr>
            <w:tcW w:type="dxa" w:w="2541"/>
            <w:vAlign w:val="top"/>
          </w:tcPr>
          <w:p>
            <w:pPr>
              <w:spacing w:after="0"/>
            </w:pPr>
            <w:r/>
            <w:r>
              <w:rPr>
                <w:rFonts w:ascii="Aptos" w:hAnsi="Aptos"/>
                <w:b w:val="0"/>
                <w:sz w:val="14"/>
              </w:rPr>
              <w:t>ONTOLOGY/MEDAI-PROPOSED</w:t>
            </w:r>
          </w:p>
        </w:tc>
      </w:tr>
      <w:tr>
        <w:tc>
          <w:tcPr>
            <w:tcW w:type="dxa" w:w="2541"/>
            <w:vAlign w:val="top"/>
          </w:tcPr>
          <w:p>
            <w:pPr>
              <w:spacing w:after="0"/>
            </w:pPr>
            <w:r/>
            <w:r>
              <w:rPr>
                <w:rFonts w:ascii="Aptos" w:hAnsi="Aptos"/>
                <w:b w:val="0"/>
                <w:sz w:val="14"/>
              </w:rPr>
              <w:t>canonical_label</w:t>
            </w:r>
          </w:p>
        </w:tc>
        <w:tc>
          <w:tcPr>
            <w:tcW w:type="dxa" w:w="2541"/>
            <w:vAlign w:val="top"/>
          </w:tcPr>
          <w:p>
            <w:pPr>
              <w:spacing w:after="0"/>
            </w:pPr>
            <w:r/>
            <w:r>
              <w:rPr>
                <w:rFonts w:ascii="Aptos" w:hAnsi="Aptos"/>
                <w:b w:val="0"/>
                <w:sz w:val="14"/>
              </w:rPr>
              <w:t>human-readable canonical term</w:t>
            </w:r>
          </w:p>
        </w:tc>
        <w:tc>
          <w:tcPr>
            <w:tcW w:type="dxa" w:w="2541"/>
            <w:vAlign w:val="top"/>
          </w:tcPr>
          <w:p>
            <w:pPr>
              <w:spacing w:after="0"/>
            </w:pPr>
            <w:r/>
            <w:r>
              <w:rPr>
                <w:rFonts w:ascii="Aptos" w:hAnsi="Aptos"/>
                <w:b w:val="0"/>
                <w:sz w:val="14"/>
              </w:rPr>
              <w:t>Yes</w:t>
            </w:r>
          </w:p>
        </w:tc>
        <w:tc>
          <w:tcPr>
            <w:tcW w:type="dxa" w:w="2541"/>
            <w:vAlign w:val="top"/>
          </w:tcPr>
          <w:p>
            <w:pPr>
              <w:spacing w:after="0"/>
            </w:pPr>
            <w:r/>
            <w:r>
              <w:rPr>
                <w:rFonts w:ascii="Aptos" w:hAnsi="Aptos"/>
                <w:b w:val="0"/>
                <w:sz w:val="14"/>
              </w:rPr>
              <w:t>Mapped to source terminology</w:t>
            </w:r>
          </w:p>
        </w:tc>
      </w:tr>
      <w:tr>
        <w:tc>
          <w:tcPr>
            <w:tcW w:type="dxa" w:w="2541"/>
            <w:vAlign w:val="top"/>
          </w:tcPr>
          <w:p>
            <w:pPr>
              <w:spacing w:after="0"/>
            </w:pPr>
            <w:r/>
            <w:r>
              <w:rPr>
                <w:rFonts w:ascii="Aptos" w:hAnsi="Aptos"/>
                <w:b w:val="0"/>
                <w:sz w:val="14"/>
              </w:rPr>
              <w:t>value</w:t>
            </w:r>
          </w:p>
        </w:tc>
        <w:tc>
          <w:tcPr>
            <w:tcW w:type="dxa" w:w="2541"/>
            <w:vAlign w:val="top"/>
          </w:tcPr>
          <w:p>
            <w:pPr>
              <w:spacing w:after="0"/>
            </w:pPr>
            <w:r/>
            <w:r>
              <w:rPr>
                <w:rFonts w:ascii="Aptos" w:hAnsi="Aptos"/>
                <w:b w:val="0"/>
                <w:sz w:val="14"/>
              </w:rPr>
              <w:t>boolean/categorical/numeric/string/object</w:t>
            </w:r>
          </w:p>
        </w:tc>
        <w:tc>
          <w:tcPr>
            <w:tcW w:type="dxa" w:w="2541"/>
            <w:vAlign w:val="top"/>
          </w:tcPr>
          <w:p>
            <w:pPr>
              <w:spacing w:after="0"/>
            </w:pPr>
            <w:r/>
            <w:r>
              <w:rPr>
                <w:rFonts w:ascii="Aptos" w:hAnsi="Aptos"/>
                <w:b w:val="0"/>
                <w:sz w:val="14"/>
              </w:rPr>
              <w:t>Yes</w:t>
            </w:r>
          </w:p>
        </w:tc>
        <w:tc>
          <w:tcPr>
            <w:tcW w:type="dxa" w:w="2541"/>
            <w:vAlign w:val="top"/>
          </w:tcPr>
          <w:p>
            <w:pPr>
              <w:spacing w:after="0"/>
            </w:pPr>
            <w:r/>
            <w:r>
              <w:rPr>
                <w:rFonts w:ascii="Aptos" w:hAnsi="Aptos"/>
                <w:b w:val="0"/>
                <w:sz w:val="14"/>
              </w:rPr>
              <w:t>Schema-specific</w:t>
            </w:r>
          </w:p>
        </w:tc>
      </w:tr>
      <w:tr>
        <w:tc>
          <w:tcPr>
            <w:tcW w:type="dxa" w:w="2541"/>
            <w:vAlign w:val="top"/>
          </w:tcPr>
          <w:p>
            <w:pPr>
              <w:spacing w:after="0"/>
            </w:pPr>
            <w:r/>
            <w:r>
              <w:rPr>
                <w:rFonts w:ascii="Aptos" w:hAnsi="Aptos"/>
                <w:b w:val="0"/>
                <w:sz w:val="14"/>
              </w:rPr>
              <w:t>assertion_status</w:t>
            </w:r>
          </w:p>
        </w:tc>
        <w:tc>
          <w:tcPr>
            <w:tcW w:type="dxa" w:w="2541"/>
            <w:vAlign w:val="top"/>
          </w:tcPr>
          <w:p>
            <w:pPr>
              <w:spacing w:after="0"/>
            </w:pPr>
            <w:r/>
            <w:r>
              <w:rPr>
                <w:rFonts w:ascii="Aptos" w:hAnsi="Aptos"/>
                <w:b w:val="0"/>
                <w:sz w:val="14"/>
              </w:rPr>
              <w:t>present/absent/unknown/not_assessed</w:t>
            </w:r>
          </w:p>
        </w:tc>
        <w:tc>
          <w:tcPr>
            <w:tcW w:type="dxa" w:w="2541"/>
            <w:vAlign w:val="top"/>
          </w:tcPr>
          <w:p>
            <w:pPr>
              <w:spacing w:after="0"/>
            </w:pPr>
            <w:r/>
            <w:r>
              <w:rPr>
                <w:rFonts w:ascii="Aptos" w:hAnsi="Aptos"/>
                <w:b w:val="0"/>
                <w:sz w:val="14"/>
              </w:rPr>
              <w:t>Yes</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certainty</w:t>
            </w:r>
          </w:p>
        </w:tc>
        <w:tc>
          <w:tcPr>
            <w:tcW w:type="dxa" w:w="2541"/>
            <w:vAlign w:val="top"/>
          </w:tcPr>
          <w:p>
            <w:pPr>
              <w:spacing w:after="0"/>
            </w:pPr>
            <w:r/>
            <w:r>
              <w:rPr>
                <w:rFonts w:ascii="Aptos" w:hAnsi="Aptos"/>
                <w:b w:val="0"/>
                <w:sz w:val="14"/>
              </w:rPr>
              <w:t>definite/probable/possible/uncertain/not_stated</w:t>
            </w:r>
          </w:p>
        </w:tc>
        <w:tc>
          <w:tcPr>
            <w:tcW w:type="dxa" w:w="2541"/>
            <w:vAlign w:val="top"/>
          </w:tcPr>
          <w:p>
            <w:pPr>
              <w:spacing w:after="0"/>
            </w:pPr>
            <w:r/>
            <w:r>
              <w:rPr>
                <w:rFonts w:ascii="Aptos" w:hAnsi="Aptos"/>
                <w:b w:val="0"/>
                <w:sz w:val="14"/>
              </w:rPr>
              <w:t>Yes</w:t>
            </w:r>
          </w:p>
        </w:tc>
        <w:tc>
          <w:tcPr>
            <w:tcW w:type="dxa" w:w="2541"/>
            <w:vAlign w:val="top"/>
          </w:tcPr>
          <w:p>
            <w:pPr>
              <w:spacing w:after="0"/>
            </w:pPr>
            <w:r/>
            <w:r>
              <w:rPr>
                <w:rFonts w:ascii="Aptos" w:hAnsi="Aptos"/>
                <w:b w:val="0"/>
                <w:sz w:val="14"/>
              </w:rPr>
              <w:t>MEDAI-PROPOSED; clinician review needed</w:t>
            </w:r>
          </w:p>
        </w:tc>
      </w:tr>
      <w:tr>
        <w:tc>
          <w:tcPr>
            <w:tcW w:type="dxa" w:w="2541"/>
            <w:vAlign w:val="top"/>
          </w:tcPr>
          <w:p>
            <w:pPr>
              <w:spacing w:after="0"/>
            </w:pPr>
            <w:r/>
            <w:r>
              <w:rPr>
                <w:rFonts w:ascii="Aptos" w:hAnsi="Aptos"/>
                <w:b w:val="0"/>
                <w:sz w:val="14"/>
              </w:rPr>
              <w:t>temporality</w:t>
            </w:r>
          </w:p>
        </w:tc>
        <w:tc>
          <w:tcPr>
            <w:tcW w:type="dxa" w:w="2541"/>
            <w:vAlign w:val="top"/>
          </w:tcPr>
          <w:p>
            <w:pPr>
              <w:spacing w:after="0"/>
            </w:pPr>
            <w:r/>
            <w:r>
              <w:rPr>
                <w:rFonts w:ascii="Aptos" w:hAnsi="Aptos"/>
                <w:b w:val="0"/>
                <w:sz w:val="14"/>
              </w:rPr>
              <w:t>current/historical/planned/resolved/unknown + interval</w:t>
            </w:r>
          </w:p>
        </w:tc>
        <w:tc>
          <w:tcPr>
            <w:tcW w:type="dxa" w:w="2541"/>
            <w:vAlign w:val="top"/>
          </w:tcPr>
          <w:p>
            <w:pPr>
              <w:spacing w:after="0"/>
            </w:pPr>
            <w:r/>
            <w:r>
              <w:rPr>
                <w:rFonts w:ascii="Aptos" w:hAnsi="Aptos"/>
                <w:b w:val="0"/>
                <w:sz w:val="14"/>
              </w:rPr>
              <w:t>Yes</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laterality</w:t>
            </w:r>
          </w:p>
        </w:tc>
        <w:tc>
          <w:tcPr>
            <w:tcW w:type="dxa" w:w="2541"/>
            <w:vAlign w:val="top"/>
          </w:tcPr>
          <w:p>
            <w:pPr>
              <w:spacing w:after="0"/>
            </w:pPr>
            <w:r/>
            <w:r>
              <w:rPr>
                <w:rFonts w:ascii="Aptos" w:hAnsi="Aptos"/>
                <w:b w:val="0"/>
                <w:sz w:val="14"/>
              </w:rPr>
              <w:t>left/right/bilateral/midline/not_applicable/unknown</w:t>
            </w:r>
          </w:p>
        </w:tc>
        <w:tc>
          <w:tcPr>
            <w:tcW w:type="dxa" w:w="2541"/>
            <w:vAlign w:val="top"/>
          </w:tcPr>
          <w:p>
            <w:pPr>
              <w:spacing w:after="0"/>
            </w:pPr>
            <w:r/>
            <w:r>
              <w:rPr>
                <w:rFonts w:ascii="Aptos" w:hAnsi="Aptos"/>
                <w:b w:val="0"/>
                <w:sz w:val="14"/>
              </w:rPr>
              <w:t>Conditional</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anatomical_site</w:t>
            </w:r>
          </w:p>
        </w:tc>
        <w:tc>
          <w:tcPr>
            <w:tcW w:type="dxa" w:w="2541"/>
            <w:vAlign w:val="top"/>
          </w:tcPr>
          <w:p>
            <w:pPr>
              <w:spacing w:after="0"/>
            </w:pPr>
            <w:r/>
            <w:r>
              <w:rPr>
                <w:rFonts w:ascii="Aptos" w:hAnsi="Aptos"/>
                <w:b w:val="0"/>
                <w:sz w:val="14"/>
              </w:rPr>
              <w:t>normalized concept + source text</w:t>
            </w:r>
          </w:p>
        </w:tc>
        <w:tc>
          <w:tcPr>
            <w:tcW w:type="dxa" w:w="2541"/>
            <w:vAlign w:val="top"/>
          </w:tcPr>
          <w:p>
            <w:pPr>
              <w:spacing w:after="0"/>
            </w:pPr>
            <w:r/>
            <w:r>
              <w:rPr>
                <w:rFonts w:ascii="Aptos" w:hAnsi="Aptos"/>
                <w:b w:val="0"/>
                <w:sz w:val="14"/>
              </w:rPr>
              <w:t>Conditional</w:t>
            </w:r>
          </w:p>
        </w:tc>
        <w:tc>
          <w:tcPr>
            <w:tcW w:type="dxa" w:w="2541"/>
            <w:vAlign w:val="top"/>
          </w:tcPr>
          <w:p>
            <w:pPr>
              <w:spacing w:after="0"/>
            </w:pPr>
            <w:r/>
            <w:r>
              <w:rPr>
                <w:rFonts w:ascii="Aptos" w:hAnsi="Aptos"/>
                <w:b w:val="0"/>
                <w:sz w:val="14"/>
              </w:rPr>
              <w:t>RadLex/SNOMED/EpSO mapping</w:t>
            </w:r>
          </w:p>
        </w:tc>
      </w:tr>
      <w:tr>
        <w:tc>
          <w:tcPr>
            <w:tcW w:type="dxa" w:w="2541"/>
            <w:vAlign w:val="top"/>
          </w:tcPr>
          <w:p>
            <w:pPr>
              <w:spacing w:after="0"/>
            </w:pPr>
            <w:r/>
            <w:r>
              <w:rPr>
                <w:rFonts w:ascii="Aptos" w:hAnsi="Aptos"/>
                <w:b w:val="0"/>
                <w:sz w:val="14"/>
              </w:rPr>
              <w:t>evidence_text</w:t>
            </w:r>
          </w:p>
        </w:tc>
        <w:tc>
          <w:tcPr>
            <w:tcW w:type="dxa" w:w="2541"/>
            <w:vAlign w:val="top"/>
          </w:tcPr>
          <w:p>
            <w:pPr>
              <w:spacing w:after="0"/>
            </w:pPr>
            <w:r/>
            <w:r>
              <w:rPr>
                <w:rFonts w:ascii="Aptos" w:hAnsi="Aptos"/>
                <w:b w:val="0"/>
                <w:sz w:val="14"/>
              </w:rPr>
              <w:t>minimal supporting span</w:t>
            </w:r>
          </w:p>
        </w:tc>
        <w:tc>
          <w:tcPr>
            <w:tcW w:type="dxa" w:w="2541"/>
            <w:vAlign w:val="top"/>
          </w:tcPr>
          <w:p>
            <w:pPr>
              <w:spacing w:after="0"/>
            </w:pPr>
            <w:r/>
            <w:r>
              <w:rPr>
                <w:rFonts w:ascii="Aptos" w:hAnsi="Aptos"/>
                <w:b w:val="0"/>
                <w:sz w:val="14"/>
              </w:rPr>
              <w:t>For extracted assertions</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source_document_id</w:t>
            </w:r>
          </w:p>
        </w:tc>
        <w:tc>
          <w:tcPr>
            <w:tcW w:type="dxa" w:w="2541"/>
            <w:vAlign w:val="top"/>
          </w:tcPr>
          <w:p>
            <w:pPr>
              <w:spacing w:after="0"/>
            </w:pPr>
            <w:r/>
            <w:r>
              <w:rPr>
                <w:rFonts w:ascii="Aptos" w:hAnsi="Aptos"/>
                <w:b w:val="0"/>
                <w:sz w:val="14"/>
              </w:rPr>
              <w:t>document key</w:t>
            </w:r>
          </w:p>
        </w:tc>
        <w:tc>
          <w:tcPr>
            <w:tcW w:type="dxa" w:w="2541"/>
            <w:vAlign w:val="top"/>
          </w:tcPr>
          <w:p>
            <w:pPr>
              <w:spacing w:after="0"/>
            </w:pPr>
            <w:r/>
            <w:r>
              <w:rPr>
                <w:rFonts w:ascii="Aptos" w:hAnsi="Aptos"/>
                <w:b w:val="0"/>
                <w:sz w:val="14"/>
              </w:rPr>
              <w:t>For document-derived assertions</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source_document_type</w:t>
            </w:r>
          </w:p>
        </w:tc>
        <w:tc>
          <w:tcPr>
            <w:tcW w:type="dxa" w:w="2541"/>
            <w:vAlign w:val="top"/>
          </w:tcPr>
          <w:p>
            <w:pPr>
              <w:spacing w:after="0"/>
            </w:pPr>
            <w:r/>
            <w:r>
              <w:rPr>
                <w:rFonts w:ascii="Aptos" w:hAnsi="Aptos"/>
                <w:b w:val="0"/>
                <w:sz w:val="14"/>
              </w:rPr>
              <w:t>controlled document type</w:t>
            </w:r>
          </w:p>
        </w:tc>
        <w:tc>
          <w:tcPr>
            <w:tcW w:type="dxa" w:w="2541"/>
            <w:vAlign w:val="top"/>
          </w:tcPr>
          <w:p>
            <w:pPr>
              <w:spacing w:after="0"/>
            </w:pPr>
            <w:r/>
            <w:r>
              <w:rPr>
                <w:rFonts w:ascii="Aptos" w:hAnsi="Aptos"/>
                <w:b w:val="0"/>
                <w:sz w:val="14"/>
              </w:rPr>
              <w:t>For document-derived assertions</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document_datetime</w:t>
            </w:r>
          </w:p>
        </w:tc>
        <w:tc>
          <w:tcPr>
            <w:tcW w:type="dxa" w:w="2541"/>
            <w:vAlign w:val="top"/>
          </w:tcPr>
          <w:p>
            <w:pPr>
              <w:spacing w:after="0"/>
            </w:pPr>
            <w:r/>
            <w:r>
              <w:rPr>
                <w:rFonts w:ascii="Aptos" w:hAnsi="Aptos"/>
                <w:b w:val="0"/>
                <w:sz w:val="14"/>
              </w:rPr>
              <w:t>ISO date/time where known</w:t>
            </w:r>
          </w:p>
        </w:tc>
        <w:tc>
          <w:tcPr>
            <w:tcW w:type="dxa" w:w="2541"/>
            <w:vAlign w:val="top"/>
          </w:tcPr>
          <w:p>
            <w:pPr>
              <w:spacing w:after="0"/>
            </w:pPr>
            <w:r/>
            <w:r>
              <w:rPr>
                <w:rFonts w:ascii="Aptos" w:hAnsi="Aptos"/>
                <w:b w:val="0"/>
                <w:sz w:val="14"/>
              </w:rPr>
              <w:t>Recommended</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model_provenance</w:t>
            </w:r>
          </w:p>
        </w:tc>
        <w:tc>
          <w:tcPr>
            <w:tcW w:type="dxa" w:w="2541"/>
            <w:vAlign w:val="top"/>
          </w:tcPr>
          <w:p>
            <w:pPr>
              <w:spacing w:after="0"/>
            </w:pPr>
            <w:r/>
            <w:r>
              <w:rPr>
                <w:rFonts w:ascii="Aptos" w:hAnsi="Aptos"/>
                <w:b w:val="0"/>
                <w:sz w:val="14"/>
              </w:rPr>
              <w:t>model, version/hash, prompt, decoder</w:t>
            </w:r>
          </w:p>
        </w:tc>
        <w:tc>
          <w:tcPr>
            <w:tcW w:type="dxa" w:w="2541"/>
            <w:vAlign w:val="top"/>
          </w:tcPr>
          <w:p>
            <w:pPr>
              <w:spacing w:after="0"/>
            </w:pPr>
            <w:r/>
            <w:r>
              <w:rPr>
                <w:rFonts w:ascii="Aptos" w:hAnsi="Aptos"/>
                <w:b w:val="0"/>
                <w:sz w:val="14"/>
              </w:rPr>
              <w:t>For model outputs</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verification</w:t>
            </w:r>
          </w:p>
        </w:tc>
        <w:tc>
          <w:tcPr>
            <w:tcW w:type="dxa" w:w="2541"/>
            <w:vAlign w:val="top"/>
          </w:tcPr>
          <w:p>
            <w:pPr>
              <w:spacing w:after="0"/>
            </w:pPr>
            <w:r/>
            <w:r>
              <w:rPr>
                <w:rFonts w:ascii="Aptos" w:hAnsi="Aptos"/>
                <w:b w:val="0"/>
                <w:sz w:val="14"/>
              </w:rPr>
              <w:t>unverified/supported/conflicted/rejected</w:t>
            </w:r>
          </w:p>
        </w:tc>
        <w:tc>
          <w:tcPr>
            <w:tcW w:type="dxa" w:w="2541"/>
            <w:vAlign w:val="top"/>
          </w:tcPr>
          <w:p>
            <w:pPr>
              <w:spacing w:after="0"/>
            </w:pPr>
            <w:r/>
            <w:r>
              <w:rPr>
                <w:rFonts w:ascii="Aptos" w:hAnsi="Aptos"/>
                <w:b w:val="0"/>
                <w:sz w:val="14"/>
              </w:rPr>
              <w:t>Yes for extracted output</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human_review</w:t>
            </w:r>
          </w:p>
        </w:tc>
        <w:tc>
          <w:tcPr>
            <w:tcW w:type="dxa" w:w="2541"/>
            <w:vAlign w:val="top"/>
          </w:tcPr>
          <w:p>
            <w:pPr>
              <w:spacing w:after="0"/>
            </w:pPr>
            <w:r/>
            <w:r>
              <w:rPr>
                <w:rFonts w:ascii="Aptos" w:hAnsi="Aptos"/>
                <w:b w:val="0"/>
                <w:sz w:val="14"/>
              </w:rPr>
              <w:t>not_reviewed/accepted/modified/rejected</w:t>
            </w:r>
          </w:p>
        </w:tc>
        <w:tc>
          <w:tcPr>
            <w:tcW w:type="dxa" w:w="2541"/>
            <w:vAlign w:val="top"/>
          </w:tcPr>
          <w:p>
            <w:pPr>
              <w:spacing w:after="0"/>
            </w:pPr>
            <w:r/>
            <w:r>
              <w:rPr>
                <w:rFonts w:ascii="Aptos" w:hAnsi="Aptos"/>
                <w:b w:val="0"/>
                <w:sz w:val="14"/>
              </w:rPr>
              <w:t>Yes</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mapping_provenance</w:t>
            </w:r>
          </w:p>
        </w:tc>
        <w:tc>
          <w:tcPr>
            <w:tcW w:type="dxa" w:w="2541"/>
            <w:vAlign w:val="top"/>
          </w:tcPr>
          <w:p>
            <w:pPr>
              <w:spacing w:after="0"/>
            </w:pPr>
            <w:r/>
            <w:r>
              <w:rPr>
                <w:rFonts w:ascii="Aptos" w:hAnsi="Aptos"/>
                <w:b w:val="0"/>
                <w:sz w:val="14"/>
              </w:rPr>
              <w:t>source ID, source version, mapping type</w:t>
            </w:r>
          </w:p>
        </w:tc>
        <w:tc>
          <w:tcPr>
            <w:tcW w:type="dxa" w:w="2541"/>
            <w:vAlign w:val="top"/>
          </w:tcPr>
          <w:p>
            <w:pPr>
              <w:spacing w:after="0"/>
            </w:pPr>
            <w:r/>
            <w:r>
              <w:rPr>
                <w:rFonts w:ascii="Aptos" w:hAnsi="Aptos"/>
                <w:b w:val="0"/>
                <w:sz w:val="14"/>
              </w:rPr>
              <w:t>Recommended</w:t>
            </w:r>
          </w:p>
        </w:tc>
        <w:tc>
          <w:tcPr>
            <w:tcW w:type="dxa" w:w="2541"/>
            <w:vAlign w:val="top"/>
          </w:tcPr>
          <w:p>
            <w:pPr>
              <w:spacing w:after="0"/>
            </w:pPr>
            <w:r/>
            <w:r>
              <w:rPr>
                <w:rFonts w:ascii="Aptos" w:hAnsi="Aptos"/>
                <w:b w:val="0"/>
                <w:sz w:val="14"/>
              </w:rPr>
              <w:t>MEDAI-PROPOSED</w:t>
            </w:r>
          </w:p>
        </w:tc>
      </w:tr>
    </w:tbl>
    <w:p/>
    <w:p>
      <w:pPr>
        <w:pStyle w:val="CodeBlock"/>
      </w:pPr>
      <w:r>
        <w:t>{</w:t>
        <w:br/>
        <w:t xml:space="preserve">  "assertion_id": "A-000143",</w:t>
        <w:br/>
        <w:t xml:space="preserve">  "patient_id": "SYN-000143",</w:t>
        <w:br/>
        <w:t xml:space="preserve">  "concept_system": "MedAI",</w:t>
        <w:br/>
        <w:t xml:space="preserve">  "concept_id": "MEDAI:MRI_HS",</w:t>
        <w:br/>
        <w:t xml:space="preserve">  "canonical_label": "hippocampal sclerosis on MRI",</w:t>
        <w:br/>
        <w:t xml:space="preserve">  "value": true,</w:t>
        <w:br/>
        <w:t xml:space="preserve">  "assertion_status": "present",</w:t>
        <w:br/>
        <w:t xml:space="preserve">  "certainty": "probable",</w:t>
        <w:br/>
        <w:t xml:space="preserve">  "temporality": {"status": "current", "start": "2025-03-01", "end": null},</w:t>
        <w:br/>
        <w:t xml:space="preserve">  "laterality": "left",</w:t>
        <w:br/>
        <w:t xml:space="preserve">  "evidence_text": null,</w:t>
        <w:br/>
        <w:t xml:space="preserve">  "source_document_id": null,</w:t>
        <w:br/>
        <w:t xml:space="preserve">  "provenance": {"origin": "synthetic_latent_truth", "schema_version": "1.0"}</w:t>
        <w:br/>
        <w:t>}</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8"/>
              </w:rPr>
              <w:t>Important HS distinction</w:t>
              <w:br/>
            </w:r>
            <w:r>
              <w:rPr>
                <w:sz w:val="17"/>
              </w:rPr>
              <w:t>ILAE's 2013 HS consensus is a neuropathologic classification of resected hippocampal tissue [S13]. MedAI must not label an MRI impression as 'ILAE HS type 1/2/3' unless histopathology actually establishes that subtype. MRI-level HS and pathology-level HS are separate concepts.</w:t>
            </w:r>
          </w:p>
        </w:tc>
      </w:tr>
    </w:tbl>
    <w:p/>
    <w:p>
      <w:pPr>
        <w:pStyle w:val="Heading1"/>
      </w:pPr>
      <w:r>
        <w:t>5. MedAI Epilepsy Data Dictionary v1.0</w:t>
      </w:r>
    </w:p>
    <w:p>
      <w:r>
        <w:t>The v1 data dictionary intentionally prioritizes variables that are clinically meaningful, likely to occur in heterogeneous epilepsy documentation, and useful for research. It is not a claim that every NINDS CDE or EpSO class is represented.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D9EAF7"/>
          </w:tcPr>
          <w:p>
            <w:pPr>
              <w:spacing w:after="0"/>
            </w:pPr>
            <w:r/>
            <w:r>
              <w:rPr>
                <w:rFonts w:ascii="Aptos" w:hAnsi="Aptos"/>
                <w:b/>
                <w:sz w:val="15"/>
              </w:rPr>
              <w:t>ID</w:t>
            </w:r>
          </w:p>
        </w:tc>
        <w:tc>
          <w:tcPr>
            <w:tcW w:type="dxa" w:w="1694"/>
            <w:shd w:fill="D9EAF7"/>
          </w:tcPr>
          <w:p>
            <w:pPr>
              <w:spacing w:after="0"/>
            </w:pPr>
            <w:r/>
            <w:r>
              <w:rPr>
                <w:rFonts w:ascii="Aptos" w:hAnsi="Aptos"/>
                <w:b/>
                <w:sz w:val="15"/>
              </w:rPr>
              <w:t>Variable</w:t>
            </w:r>
          </w:p>
        </w:tc>
        <w:tc>
          <w:tcPr>
            <w:tcW w:type="dxa" w:w="1694"/>
            <w:shd w:fill="D9EAF7"/>
          </w:tcPr>
          <w:p>
            <w:pPr>
              <w:spacing w:after="0"/>
            </w:pPr>
            <w:r/>
            <w:r>
              <w:rPr>
                <w:rFonts w:ascii="Aptos" w:hAnsi="Aptos"/>
                <w:b/>
                <w:sz w:val="15"/>
              </w:rPr>
              <w:t>Definition</w:t>
            </w:r>
          </w:p>
        </w:tc>
        <w:tc>
          <w:tcPr>
            <w:tcW w:type="dxa" w:w="1694"/>
            <w:shd w:fill="D9EAF7"/>
          </w:tcPr>
          <w:p>
            <w:pPr>
              <w:spacing w:after="0"/>
            </w:pPr>
            <w:r/>
            <w:r>
              <w:rPr>
                <w:rFonts w:ascii="Aptos" w:hAnsi="Aptos"/>
                <w:b/>
                <w:sz w:val="15"/>
              </w:rPr>
              <w:t>Type</w:t>
            </w:r>
          </w:p>
        </w:tc>
        <w:tc>
          <w:tcPr>
            <w:tcW w:type="dxa" w:w="1694"/>
            <w:shd w:fill="D9EAF7"/>
          </w:tcPr>
          <w:p>
            <w:pPr>
              <w:spacing w:after="0"/>
            </w:pPr>
            <w:r/>
            <w:r>
              <w:rPr>
                <w:rFonts w:ascii="Aptos" w:hAnsi="Aptos"/>
                <w:b/>
                <w:sz w:val="15"/>
              </w:rPr>
              <w:t>v1 values/structure</w:t>
            </w:r>
          </w:p>
        </w:tc>
        <w:tc>
          <w:tcPr>
            <w:tcW w:type="dxa" w:w="1694"/>
            <w:shd w:fill="D9EAF7"/>
          </w:tcPr>
          <w:p>
            <w:pPr>
              <w:spacing w:after="0"/>
            </w:pPr>
            <w:r/>
            <w:r>
              <w:rPr>
                <w:rFonts w:ascii="Aptos" w:hAnsi="Aptos"/>
                <w:b/>
                <w:sz w:val="15"/>
              </w:rPr>
              <w:t>Authority/status</w:t>
            </w:r>
          </w:p>
        </w:tc>
      </w:tr>
      <w:tr>
        <w:tc>
          <w:tcPr>
            <w:tcW w:type="dxa" w:w="1694"/>
            <w:vAlign w:val="top"/>
          </w:tcPr>
          <w:p>
            <w:pPr>
              <w:spacing w:after="0"/>
            </w:pPr>
            <w:r/>
            <w:r>
              <w:rPr>
                <w:rFonts w:ascii="Aptos" w:hAnsi="Aptos"/>
                <w:b w:val="0"/>
                <w:sz w:val="14"/>
              </w:rPr>
              <w:t>EP001</w:t>
            </w:r>
          </w:p>
        </w:tc>
        <w:tc>
          <w:tcPr>
            <w:tcW w:type="dxa" w:w="1694"/>
            <w:vAlign w:val="top"/>
          </w:tcPr>
          <w:p>
            <w:pPr>
              <w:spacing w:after="0"/>
            </w:pPr>
            <w:r/>
            <w:r>
              <w:rPr>
                <w:rFonts w:ascii="Aptos" w:hAnsi="Aptos"/>
                <w:b w:val="0"/>
                <w:sz w:val="14"/>
              </w:rPr>
              <w:t>epilepsy_status</w:t>
            </w:r>
          </w:p>
        </w:tc>
        <w:tc>
          <w:tcPr>
            <w:tcW w:type="dxa" w:w="1694"/>
            <w:vAlign w:val="top"/>
          </w:tcPr>
          <w:p>
            <w:pPr>
              <w:spacing w:after="0"/>
            </w:pPr>
            <w:r/>
            <w:r>
              <w:rPr>
                <w:rFonts w:ascii="Aptos" w:hAnsi="Aptos"/>
                <w:b w:val="0"/>
                <w:sz w:val="14"/>
              </w:rPr>
              <w:t>Epilepsy diagnostic status</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documented_epilepsy / possible_epilepsy / no_epilepsy / unknown</w:t>
            </w:r>
          </w:p>
        </w:tc>
        <w:tc>
          <w:tcPr>
            <w:tcW w:type="dxa" w:w="1694"/>
            <w:vAlign w:val="top"/>
          </w:tcPr>
          <w:p>
            <w:pPr>
              <w:spacing w:after="0"/>
            </w:pPr>
            <w:r/>
            <w:r>
              <w:rPr>
                <w:rFonts w:ascii="Aptos" w:hAnsi="Aptos"/>
                <w:b w:val="0"/>
                <w:sz w:val="14"/>
              </w:rPr>
              <w:t>ILAE-aligned; MEDAI-PROPOSED value set</w:t>
            </w:r>
          </w:p>
        </w:tc>
      </w:tr>
      <w:tr>
        <w:tc>
          <w:tcPr>
            <w:tcW w:type="dxa" w:w="1694"/>
            <w:vAlign w:val="top"/>
          </w:tcPr>
          <w:p>
            <w:pPr>
              <w:spacing w:after="0"/>
            </w:pPr>
            <w:r/>
            <w:r>
              <w:rPr>
                <w:rFonts w:ascii="Aptos" w:hAnsi="Aptos"/>
                <w:b w:val="0"/>
                <w:sz w:val="14"/>
              </w:rPr>
              <w:t>EP002</w:t>
            </w:r>
          </w:p>
        </w:tc>
        <w:tc>
          <w:tcPr>
            <w:tcW w:type="dxa" w:w="1694"/>
            <w:vAlign w:val="top"/>
          </w:tcPr>
          <w:p>
            <w:pPr>
              <w:spacing w:after="0"/>
            </w:pPr>
            <w:r/>
            <w:r>
              <w:rPr>
                <w:rFonts w:ascii="Aptos" w:hAnsi="Aptos"/>
                <w:b w:val="0"/>
                <w:sz w:val="14"/>
              </w:rPr>
              <w:t>epilepsy_type</w:t>
            </w:r>
          </w:p>
        </w:tc>
        <w:tc>
          <w:tcPr>
            <w:tcW w:type="dxa" w:w="1694"/>
            <w:vAlign w:val="top"/>
          </w:tcPr>
          <w:p>
            <w:pPr>
              <w:spacing w:after="0"/>
            </w:pPr>
            <w:r/>
            <w:r>
              <w:rPr>
                <w:rFonts w:ascii="Aptos" w:hAnsi="Aptos"/>
                <w:b w:val="0"/>
                <w:sz w:val="14"/>
              </w:rPr>
              <w:t>Epilepsy type</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focal / generalized / combined_generalized_and_focal / unknown</w:t>
            </w:r>
          </w:p>
        </w:tc>
        <w:tc>
          <w:tcPr>
            <w:tcW w:type="dxa" w:w="1694"/>
            <w:vAlign w:val="top"/>
          </w:tcPr>
          <w:p>
            <w:pPr>
              <w:spacing w:after="0"/>
            </w:pPr>
            <w:r/>
            <w:r>
              <w:rPr>
                <w:rFonts w:ascii="Aptos" w:hAnsi="Aptos"/>
                <w:b w:val="0"/>
                <w:sz w:val="14"/>
              </w:rPr>
              <w:t>ILAE 2017 [S2]</w:t>
            </w:r>
          </w:p>
        </w:tc>
      </w:tr>
      <w:tr>
        <w:tc>
          <w:tcPr>
            <w:tcW w:type="dxa" w:w="1694"/>
            <w:vAlign w:val="top"/>
          </w:tcPr>
          <w:p>
            <w:pPr>
              <w:spacing w:after="0"/>
            </w:pPr>
            <w:r/>
            <w:r>
              <w:rPr>
                <w:rFonts w:ascii="Aptos" w:hAnsi="Aptos"/>
                <w:b w:val="0"/>
                <w:sz w:val="14"/>
              </w:rPr>
              <w:t>EP003</w:t>
            </w:r>
          </w:p>
        </w:tc>
        <w:tc>
          <w:tcPr>
            <w:tcW w:type="dxa" w:w="1694"/>
            <w:vAlign w:val="top"/>
          </w:tcPr>
          <w:p>
            <w:pPr>
              <w:spacing w:after="0"/>
            </w:pPr>
            <w:r/>
            <w:r>
              <w:rPr>
                <w:rFonts w:ascii="Aptos" w:hAnsi="Aptos"/>
                <w:b w:val="0"/>
                <w:sz w:val="14"/>
              </w:rPr>
              <w:t>epilepsy_syndrome</w:t>
            </w:r>
          </w:p>
        </w:tc>
        <w:tc>
          <w:tcPr>
            <w:tcW w:type="dxa" w:w="1694"/>
            <w:vAlign w:val="top"/>
          </w:tcPr>
          <w:p>
            <w:pPr>
              <w:spacing w:after="0"/>
            </w:pPr>
            <w:r/>
            <w:r>
              <w:rPr>
                <w:rFonts w:ascii="Aptos" w:hAnsi="Aptos"/>
                <w:b w:val="0"/>
                <w:sz w:val="14"/>
              </w:rPr>
              <w:t>Named epilepsy syndrome</w:t>
            </w:r>
          </w:p>
        </w:tc>
        <w:tc>
          <w:tcPr>
            <w:tcW w:type="dxa" w:w="1694"/>
            <w:vAlign w:val="top"/>
          </w:tcPr>
          <w:p>
            <w:pPr>
              <w:spacing w:after="0"/>
            </w:pPr>
            <w:r/>
            <w:r>
              <w:rPr>
                <w:rFonts w:ascii="Aptos" w:hAnsi="Aptos"/>
                <w:b w:val="0"/>
                <w:sz w:val="14"/>
              </w:rPr>
              <w:t>coded text</w:t>
            </w:r>
          </w:p>
        </w:tc>
        <w:tc>
          <w:tcPr>
            <w:tcW w:type="dxa" w:w="1694"/>
            <w:vAlign w:val="top"/>
          </w:tcPr>
          <w:p>
            <w:pPr>
              <w:spacing w:after="0"/>
            </w:pPr>
            <w:r/>
            <w:r>
              <w:rPr>
                <w:rFonts w:ascii="Aptos" w:hAnsi="Aptos"/>
                <w:b w:val="0"/>
                <w:sz w:val="14"/>
              </w:rPr>
              <w:t>Curated ILAE syndrome list only</w:t>
            </w:r>
          </w:p>
        </w:tc>
        <w:tc>
          <w:tcPr>
            <w:tcW w:type="dxa" w:w="1694"/>
            <w:vAlign w:val="top"/>
          </w:tcPr>
          <w:p>
            <w:pPr>
              <w:spacing w:after="0"/>
            </w:pPr>
            <w:r/>
            <w:r>
              <w:rPr>
                <w:rFonts w:ascii="Aptos" w:hAnsi="Aptos"/>
                <w:b w:val="0"/>
                <w:sz w:val="14"/>
              </w:rPr>
              <w:t>ILAE 2022 [S3]</w:t>
            </w:r>
          </w:p>
        </w:tc>
      </w:tr>
      <w:tr>
        <w:tc>
          <w:tcPr>
            <w:tcW w:type="dxa" w:w="1694"/>
            <w:vAlign w:val="top"/>
          </w:tcPr>
          <w:p>
            <w:pPr>
              <w:spacing w:after="0"/>
            </w:pPr>
            <w:r/>
            <w:r>
              <w:rPr>
                <w:rFonts w:ascii="Aptos" w:hAnsi="Aptos"/>
                <w:b w:val="0"/>
                <w:sz w:val="14"/>
              </w:rPr>
              <w:t>SZ001</w:t>
            </w:r>
          </w:p>
        </w:tc>
        <w:tc>
          <w:tcPr>
            <w:tcW w:type="dxa" w:w="1694"/>
            <w:vAlign w:val="top"/>
          </w:tcPr>
          <w:p>
            <w:pPr>
              <w:spacing w:after="0"/>
            </w:pPr>
            <w:r/>
            <w:r>
              <w:rPr>
                <w:rFonts w:ascii="Aptos" w:hAnsi="Aptos"/>
                <w:b w:val="0"/>
                <w:sz w:val="14"/>
              </w:rPr>
              <w:t>seizure_main_class</w:t>
            </w:r>
          </w:p>
        </w:tc>
        <w:tc>
          <w:tcPr>
            <w:tcW w:type="dxa" w:w="1694"/>
            <w:vAlign w:val="top"/>
          </w:tcPr>
          <w:p>
            <w:pPr>
              <w:spacing w:after="0"/>
            </w:pPr>
            <w:r/>
            <w:r>
              <w:rPr>
                <w:rFonts w:ascii="Aptos" w:hAnsi="Aptos"/>
                <w:b w:val="0"/>
                <w:sz w:val="14"/>
              </w:rPr>
              <w:t>Main seizure class</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focal / generalized / unknown_focal_or_generalized / unclassified</w:t>
            </w:r>
          </w:p>
        </w:tc>
        <w:tc>
          <w:tcPr>
            <w:tcW w:type="dxa" w:w="1694"/>
            <w:vAlign w:val="top"/>
          </w:tcPr>
          <w:p>
            <w:pPr>
              <w:spacing w:after="0"/>
            </w:pPr>
            <w:r/>
            <w:r>
              <w:rPr>
                <w:rFonts w:ascii="Aptos" w:hAnsi="Aptos"/>
                <w:b w:val="0"/>
                <w:sz w:val="14"/>
              </w:rPr>
              <w:t>ILAE 2025 [S1]</w:t>
            </w:r>
          </w:p>
        </w:tc>
      </w:tr>
      <w:tr>
        <w:tc>
          <w:tcPr>
            <w:tcW w:type="dxa" w:w="1694"/>
            <w:vAlign w:val="top"/>
          </w:tcPr>
          <w:p>
            <w:pPr>
              <w:spacing w:after="0"/>
            </w:pPr>
            <w:r/>
            <w:r>
              <w:rPr>
                <w:rFonts w:ascii="Aptos" w:hAnsi="Aptos"/>
                <w:b w:val="0"/>
                <w:sz w:val="14"/>
              </w:rPr>
              <w:t>SZ002</w:t>
            </w:r>
          </w:p>
        </w:tc>
        <w:tc>
          <w:tcPr>
            <w:tcW w:type="dxa" w:w="1694"/>
            <w:vAlign w:val="top"/>
          </w:tcPr>
          <w:p>
            <w:pPr>
              <w:spacing w:after="0"/>
            </w:pPr>
            <w:r/>
            <w:r>
              <w:rPr>
                <w:rFonts w:ascii="Aptos" w:hAnsi="Aptos"/>
                <w:b w:val="0"/>
                <w:sz w:val="14"/>
              </w:rPr>
              <w:t>seizure_type</w:t>
            </w:r>
          </w:p>
        </w:tc>
        <w:tc>
          <w:tcPr>
            <w:tcW w:type="dxa" w:w="1694"/>
            <w:vAlign w:val="top"/>
          </w:tcPr>
          <w:p>
            <w:pPr>
              <w:spacing w:after="0"/>
            </w:pPr>
            <w:r/>
            <w:r>
              <w:rPr>
                <w:rFonts w:ascii="Aptos" w:hAnsi="Aptos"/>
                <w:b w:val="0"/>
                <w:sz w:val="14"/>
              </w:rPr>
              <w:t>Specific seizure type</w:t>
            </w:r>
          </w:p>
        </w:tc>
        <w:tc>
          <w:tcPr>
            <w:tcW w:type="dxa" w:w="1694"/>
            <w:vAlign w:val="top"/>
          </w:tcPr>
          <w:p>
            <w:pPr>
              <w:spacing w:after="0"/>
            </w:pPr>
            <w:r/>
            <w:r>
              <w:rPr>
                <w:rFonts w:ascii="Aptos" w:hAnsi="Aptos"/>
                <w:b w:val="0"/>
                <w:sz w:val="14"/>
              </w:rPr>
              <w:t>coded text</w:t>
            </w:r>
          </w:p>
        </w:tc>
        <w:tc>
          <w:tcPr>
            <w:tcW w:type="dxa" w:w="1694"/>
            <w:vAlign w:val="top"/>
          </w:tcPr>
          <w:p>
            <w:pPr>
              <w:spacing w:after="0"/>
            </w:pPr>
            <w:r/>
            <w:r>
              <w:rPr>
                <w:rFonts w:ascii="Aptos" w:hAnsi="Aptos"/>
                <w:b w:val="0"/>
                <w:sz w:val="14"/>
              </w:rPr>
              <w:t>Curated ILAE 2025 types</w:t>
            </w:r>
          </w:p>
        </w:tc>
        <w:tc>
          <w:tcPr>
            <w:tcW w:type="dxa" w:w="1694"/>
            <w:vAlign w:val="top"/>
          </w:tcPr>
          <w:p>
            <w:pPr>
              <w:spacing w:after="0"/>
            </w:pPr>
            <w:r/>
            <w:r>
              <w:rPr>
                <w:rFonts w:ascii="Aptos" w:hAnsi="Aptos"/>
                <w:b w:val="0"/>
                <w:sz w:val="14"/>
              </w:rPr>
              <w:t>ILAE 2025 [S1]</w:t>
            </w:r>
          </w:p>
        </w:tc>
      </w:tr>
      <w:tr>
        <w:tc>
          <w:tcPr>
            <w:tcW w:type="dxa" w:w="1694"/>
            <w:vAlign w:val="top"/>
          </w:tcPr>
          <w:p>
            <w:pPr>
              <w:spacing w:after="0"/>
            </w:pPr>
            <w:r/>
            <w:r>
              <w:rPr>
                <w:rFonts w:ascii="Aptos" w:hAnsi="Aptos"/>
                <w:b w:val="0"/>
                <w:sz w:val="14"/>
              </w:rPr>
              <w:t>SZ003</w:t>
            </w:r>
          </w:p>
        </w:tc>
        <w:tc>
          <w:tcPr>
            <w:tcW w:type="dxa" w:w="1694"/>
            <w:vAlign w:val="top"/>
          </w:tcPr>
          <w:p>
            <w:pPr>
              <w:spacing w:after="0"/>
            </w:pPr>
            <w:r/>
            <w:r>
              <w:rPr>
                <w:rFonts w:ascii="Aptos" w:hAnsi="Aptos"/>
                <w:b w:val="0"/>
                <w:sz w:val="14"/>
              </w:rPr>
              <w:t>consciousness</w:t>
            </w:r>
          </w:p>
        </w:tc>
        <w:tc>
          <w:tcPr>
            <w:tcW w:type="dxa" w:w="1694"/>
            <w:vAlign w:val="top"/>
          </w:tcPr>
          <w:p>
            <w:pPr>
              <w:spacing w:after="0"/>
            </w:pPr>
            <w:r/>
            <w:r>
              <w:rPr>
                <w:rFonts w:ascii="Aptos" w:hAnsi="Aptos"/>
                <w:b w:val="0"/>
                <w:sz w:val="14"/>
              </w:rPr>
              <w:t>Consciousness classifier where applicable</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preserved / impaired / unknown / not_applicable</w:t>
            </w:r>
          </w:p>
        </w:tc>
        <w:tc>
          <w:tcPr>
            <w:tcW w:type="dxa" w:w="1694"/>
            <w:vAlign w:val="top"/>
          </w:tcPr>
          <w:p>
            <w:pPr>
              <w:spacing w:after="0"/>
            </w:pPr>
            <w:r/>
            <w:r>
              <w:rPr>
                <w:rFonts w:ascii="Aptos" w:hAnsi="Aptos"/>
                <w:b w:val="0"/>
                <w:sz w:val="14"/>
              </w:rPr>
              <w:t>ILAE 2025 concept; exact operational mapping requires source review [S1]</w:t>
            </w:r>
          </w:p>
        </w:tc>
      </w:tr>
      <w:tr>
        <w:tc>
          <w:tcPr>
            <w:tcW w:type="dxa" w:w="1694"/>
            <w:vAlign w:val="top"/>
          </w:tcPr>
          <w:p>
            <w:pPr>
              <w:spacing w:after="0"/>
            </w:pPr>
            <w:r/>
            <w:r>
              <w:rPr>
                <w:rFonts w:ascii="Aptos" w:hAnsi="Aptos"/>
                <w:b w:val="0"/>
                <w:sz w:val="14"/>
              </w:rPr>
              <w:t>SZ004</w:t>
            </w:r>
          </w:p>
        </w:tc>
        <w:tc>
          <w:tcPr>
            <w:tcW w:type="dxa" w:w="1694"/>
            <w:vAlign w:val="top"/>
          </w:tcPr>
          <w:p>
            <w:pPr>
              <w:spacing w:after="0"/>
            </w:pPr>
            <w:r/>
            <w:r>
              <w:rPr>
                <w:rFonts w:ascii="Aptos" w:hAnsi="Aptos"/>
                <w:b w:val="0"/>
                <w:sz w:val="14"/>
              </w:rPr>
              <w:t>semiology_sequence</w:t>
            </w:r>
          </w:p>
        </w:tc>
        <w:tc>
          <w:tcPr>
            <w:tcW w:type="dxa" w:w="1694"/>
            <w:vAlign w:val="top"/>
          </w:tcPr>
          <w:p>
            <w:pPr>
              <w:spacing w:after="0"/>
            </w:pPr>
            <w:r/>
            <w:r>
              <w:rPr>
                <w:rFonts w:ascii="Aptos" w:hAnsi="Aptos"/>
                <w:b w:val="0"/>
                <w:sz w:val="14"/>
              </w:rPr>
              <w:t>Chronological manifestations</w:t>
            </w:r>
          </w:p>
        </w:tc>
        <w:tc>
          <w:tcPr>
            <w:tcW w:type="dxa" w:w="1694"/>
            <w:vAlign w:val="top"/>
          </w:tcPr>
          <w:p>
            <w:pPr>
              <w:spacing w:after="0"/>
            </w:pPr>
            <w:r/>
            <w:r>
              <w:rPr>
                <w:rFonts w:ascii="Aptos" w:hAnsi="Aptos"/>
                <w:b w:val="0"/>
                <w:sz w:val="14"/>
              </w:rPr>
              <w:t>ordered list</w:t>
            </w:r>
          </w:p>
        </w:tc>
        <w:tc>
          <w:tcPr>
            <w:tcW w:type="dxa" w:w="1694"/>
            <w:vAlign w:val="top"/>
          </w:tcPr>
          <w:p>
            <w:pPr>
              <w:spacing w:after="0"/>
            </w:pPr>
            <w:r/>
            <w:r>
              <w:rPr>
                <w:rFonts w:ascii="Aptos" w:hAnsi="Aptos"/>
                <w:b w:val="0"/>
                <w:sz w:val="14"/>
              </w:rPr>
              <w:t>Curated descriptors</w:t>
            </w:r>
          </w:p>
        </w:tc>
        <w:tc>
          <w:tcPr>
            <w:tcW w:type="dxa" w:w="1694"/>
            <w:vAlign w:val="top"/>
          </w:tcPr>
          <w:p>
            <w:pPr>
              <w:spacing w:after="0"/>
            </w:pPr>
            <w:r/>
            <w:r>
              <w:rPr>
                <w:rFonts w:ascii="Aptos" w:hAnsi="Aptos"/>
                <w:b w:val="0"/>
                <w:sz w:val="14"/>
              </w:rPr>
              <w:t>ILAE 2025 emphasizes chronological sequence [S1]</w:t>
            </w:r>
          </w:p>
        </w:tc>
      </w:tr>
      <w:tr>
        <w:tc>
          <w:tcPr>
            <w:tcW w:type="dxa" w:w="1694"/>
            <w:vAlign w:val="top"/>
          </w:tcPr>
          <w:p>
            <w:pPr>
              <w:spacing w:after="0"/>
            </w:pPr>
            <w:r/>
            <w:r>
              <w:rPr>
                <w:rFonts w:ascii="Aptos" w:hAnsi="Aptos"/>
                <w:b w:val="0"/>
                <w:sz w:val="14"/>
              </w:rPr>
              <w:t>SZ005</w:t>
            </w:r>
          </w:p>
        </w:tc>
        <w:tc>
          <w:tcPr>
            <w:tcW w:type="dxa" w:w="1694"/>
            <w:vAlign w:val="top"/>
          </w:tcPr>
          <w:p>
            <w:pPr>
              <w:spacing w:after="0"/>
            </w:pPr>
            <w:r/>
            <w:r>
              <w:rPr>
                <w:rFonts w:ascii="Aptos" w:hAnsi="Aptos"/>
                <w:b w:val="0"/>
                <w:sz w:val="14"/>
              </w:rPr>
              <w:t>seizure_frequency</w:t>
            </w:r>
          </w:p>
        </w:tc>
        <w:tc>
          <w:tcPr>
            <w:tcW w:type="dxa" w:w="1694"/>
            <w:vAlign w:val="top"/>
          </w:tcPr>
          <w:p>
            <w:pPr>
              <w:spacing w:after="0"/>
            </w:pPr>
            <w:r/>
            <w:r>
              <w:rPr>
                <w:rFonts w:ascii="Aptos" w:hAnsi="Aptos"/>
                <w:b w:val="0"/>
                <w:sz w:val="14"/>
              </w:rPr>
              <w:t>Observed/reported seizure burden</w:t>
            </w:r>
          </w:p>
        </w:tc>
        <w:tc>
          <w:tcPr>
            <w:tcW w:type="dxa" w:w="1694"/>
            <w:vAlign w:val="top"/>
          </w:tcPr>
          <w:p>
            <w:pPr>
              <w:spacing w:after="0"/>
            </w:pPr>
            <w:r/>
            <w:r>
              <w:rPr>
                <w:rFonts w:ascii="Aptos" w:hAnsi="Aptos"/>
                <w:b w:val="0"/>
                <w:sz w:val="14"/>
              </w:rPr>
              <w:t>quantity+unit+interval</w:t>
            </w:r>
          </w:p>
        </w:tc>
        <w:tc>
          <w:tcPr>
            <w:tcW w:type="dxa" w:w="1694"/>
            <w:vAlign w:val="top"/>
          </w:tcPr>
          <w:p>
            <w:pPr>
              <w:spacing w:after="0"/>
            </w:pPr>
            <w:r/>
            <w:r>
              <w:rPr>
                <w:rFonts w:ascii="Aptos" w:hAnsi="Aptos"/>
                <w:b w:val="0"/>
                <w:sz w:val="14"/>
              </w:rPr>
              <w:t>numeric + normalized period</w:t>
            </w:r>
          </w:p>
        </w:tc>
        <w:tc>
          <w:tcPr>
            <w:tcW w:type="dxa" w:w="1694"/>
            <w:vAlign w:val="top"/>
          </w:tcPr>
          <w:p>
            <w:pPr>
              <w:spacing w:after="0"/>
            </w:pPr>
            <w:r/>
            <w:r>
              <w:rPr>
                <w:rFonts w:ascii="Aptos" w:hAnsi="Aptos"/>
                <w:b w:val="0"/>
                <w:sz w:val="14"/>
              </w:rPr>
              <w:t>MEDAI-PROPOSED representation</w:t>
            </w:r>
          </w:p>
        </w:tc>
      </w:tr>
      <w:tr>
        <w:tc>
          <w:tcPr>
            <w:tcW w:type="dxa" w:w="1694"/>
            <w:vAlign w:val="top"/>
          </w:tcPr>
          <w:p>
            <w:pPr>
              <w:spacing w:after="0"/>
            </w:pPr>
            <w:r/>
            <w:r>
              <w:rPr>
                <w:rFonts w:ascii="Aptos" w:hAnsi="Aptos"/>
                <w:b w:val="0"/>
                <w:sz w:val="14"/>
              </w:rPr>
              <w:t>SZ006</w:t>
            </w:r>
          </w:p>
        </w:tc>
        <w:tc>
          <w:tcPr>
            <w:tcW w:type="dxa" w:w="1694"/>
            <w:vAlign w:val="top"/>
          </w:tcPr>
          <w:p>
            <w:pPr>
              <w:spacing w:after="0"/>
            </w:pPr>
            <w:r/>
            <w:r>
              <w:rPr>
                <w:rFonts w:ascii="Aptos" w:hAnsi="Aptos"/>
                <w:b w:val="0"/>
                <w:sz w:val="14"/>
              </w:rPr>
              <w:t>last_seizure</w:t>
            </w:r>
          </w:p>
        </w:tc>
        <w:tc>
          <w:tcPr>
            <w:tcW w:type="dxa" w:w="1694"/>
            <w:vAlign w:val="top"/>
          </w:tcPr>
          <w:p>
            <w:pPr>
              <w:spacing w:after="0"/>
            </w:pPr>
            <w:r/>
            <w:r>
              <w:rPr>
                <w:rFonts w:ascii="Aptos" w:hAnsi="Aptos"/>
                <w:b w:val="0"/>
                <w:sz w:val="14"/>
              </w:rPr>
              <w:t>Most recent documented seizure time</w:t>
            </w:r>
          </w:p>
        </w:tc>
        <w:tc>
          <w:tcPr>
            <w:tcW w:type="dxa" w:w="1694"/>
            <w:vAlign w:val="top"/>
          </w:tcPr>
          <w:p>
            <w:pPr>
              <w:spacing w:after="0"/>
            </w:pPr>
            <w:r/>
            <w:r>
              <w:rPr>
                <w:rFonts w:ascii="Aptos" w:hAnsi="Aptos"/>
                <w:b w:val="0"/>
                <w:sz w:val="14"/>
              </w:rPr>
              <w:t>date/relative time</w:t>
            </w:r>
          </w:p>
        </w:tc>
        <w:tc>
          <w:tcPr>
            <w:tcW w:type="dxa" w:w="1694"/>
            <w:vAlign w:val="top"/>
          </w:tcPr>
          <w:p>
            <w:pPr>
              <w:spacing w:after="0"/>
            </w:pPr>
            <w:r/>
            <w:r>
              <w:rPr>
                <w:rFonts w:ascii="Aptos" w:hAnsi="Aptos"/>
                <w:b w:val="0"/>
                <w:sz w:val="14"/>
              </w:rPr>
              <w:t>ISO date or normalized interval</w:t>
            </w:r>
          </w:p>
        </w:tc>
        <w:tc>
          <w:tcPr>
            <w:tcW w:type="dxa" w:w="1694"/>
            <w:vAlign w:val="top"/>
          </w:tcPr>
          <w:p>
            <w:pPr>
              <w:spacing w:after="0"/>
            </w:pPr>
            <w:r/>
            <w:r>
              <w:rPr>
                <w:rFonts w:ascii="Aptos" w:hAnsi="Aptos"/>
                <w:b w:val="0"/>
                <w:sz w:val="14"/>
              </w:rPr>
              <w:t>MEDAI-PROPOSED</w:t>
            </w:r>
          </w:p>
        </w:tc>
      </w:tr>
      <w:tr>
        <w:tc>
          <w:tcPr>
            <w:tcW w:type="dxa" w:w="1694"/>
            <w:vAlign w:val="top"/>
          </w:tcPr>
          <w:p>
            <w:pPr>
              <w:spacing w:after="0"/>
            </w:pPr>
            <w:r/>
            <w:r>
              <w:rPr>
                <w:rFonts w:ascii="Aptos" w:hAnsi="Aptos"/>
                <w:b w:val="0"/>
                <w:sz w:val="14"/>
              </w:rPr>
              <w:t>ET001</w:t>
            </w:r>
          </w:p>
        </w:tc>
        <w:tc>
          <w:tcPr>
            <w:tcW w:type="dxa" w:w="1694"/>
            <w:vAlign w:val="top"/>
          </w:tcPr>
          <w:p>
            <w:pPr>
              <w:spacing w:after="0"/>
            </w:pPr>
            <w:r/>
            <w:r>
              <w:rPr>
                <w:rFonts w:ascii="Aptos" w:hAnsi="Aptos"/>
                <w:b w:val="0"/>
                <w:sz w:val="14"/>
              </w:rPr>
              <w:t>etiology_class</w:t>
            </w:r>
          </w:p>
        </w:tc>
        <w:tc>
          <w:tcPr>
            <w:tcW w:type="dxa" w:w="1694"/>
            <w:vAlign w:val="top"/>
          </w:tcPr>
          <w:p>
            <w:pPr>
              <w:spacing w:after="0"/>
            </w:pPr>
            <w:r/>
            <w:r>
              <w:rPr>
                <w:rFonts w:ascii="Aptos" w:hAnsi="Aptos"/>
                <w:b w:val="0"/>
                <w:sz w:val="14"/>
              </w:rPr>
              <w:t>Etiologic category</w:t>
            </w:r>
          </w:p>
        </w:tc>
        <w:tc>
          <w:tcPr>
            <w:tcW w:type="dxa" w:w="1694"/>
            <w:vAlign w:val="top"/>
          </w:tcPr>
          <w:p>
            <w:pPr>
              <w:spacing w:after="0"/>
            </w:pPr>
            <w:r/>
            <w:r>
              <w:rPr>
                <w:rFonts w:ascii="Aptos" w:hAnsi="Aptos"/>
                <w:b w:val="0"/>
                <w:sz w:val="14"/>
              </w:rPr>
              <w:t>multi-categorical</w:t>
            </w:r>
          </w:p>
        </w:tc>
        <w:tc>
          <w:tcPr>
            <w:tcW w:type="dxa" w:w="1694"/>
            <w:vAlign w:val="top"/>
          </w:tcPr>
          <w:p>
            <w:pPr>
              <w:spacing w:after="0"/>
            </w:pPr>
            <w:r/>
            <w:r>
              <w:rPr>
                <w:rFonts w:ascii="Aptos" w:hAnsi="Aptos"/>
                <w:b w:val="0"/>
                <w:sz w:val="14"/>
              </w:rPr>
              <w:t>structural/genetic/infectious/metabolic/immune/unknown; multiple allowed</w:t>
            </w:r>
          </w:p>
        </w:tc>
        <w:tc>
          <w:tcPr>
            <w:tcW w:type="dxa" w:w="1694"/>
            <w:vAlign w:val="top"/>
          </w:tcPr>
          <w:p>
            <w:pPr>
              <w:spacing w:after="0"/>
            </w:pPr>
            <w:r/>
            <w:r>
              <w:rPr>
                <w:rFonts w:ascii="Aptos" w:hAnsi="Aptos"/>
                <w:b w:val="0"/>
                <w:sz w:val="14"/>
              </w:rPr>
              <w:t>ILAE 2017 [S2]</w:t>
            </w:r>
          </w:p>
        </w:tc>
      </w:tr>
      <w:tr>
        <w:tc>
          <w:tcPr>
            <w:tcW w:type="dxa" w:w="1694"/>
            <w:vAlign w:val="top"/>
          </w:tcPr>
          <w:p>
            <w:pPr>
              <w:spacing w:after="0"/>
            </w:pPr>
            <w:r/>
            <w:r>
              <w:rPr>
                <w:rFonts w:ascii="Aptos" w:hAnsi="Aptos"/>
                <w:b w:val="0"/>
                <w:sz w:val="14"/>
              </w:rPr>
              <w:t>ET002</w:t>
            </w:r>
          </w:p>
        </w:tc>
        <w:tc>
          <w:tcPr>
            <w:tcW w:type="dxa" w:w="1694"/>
            <w:vAlign w:val="top"/>
          </w:tcPr>
          <w:p>
            <w:pPr>
              <w:spacing w:after="0"/>
            </w:pPr>
            <w:r/>
            <w:r>
              <w:rPr>
                <w:rFonts w:ascii="Aptos" w:hAnsi="Aptos"/>
                <w:b w:val="0"/>
                <w:sz w:val="14"/>
              </w:rPr>
              <w:t>structural_subtype</w:t>
            </w:r>
          </w:p>
        </w:tc>
        <w:tc>
          <w:tcPr>
            <w:tcW w:type="dxa" w:w="1694"/>
            <w:vAlign w:val="top"/>
          </w:tcPr>
          <w:p>
            <w:pPr>
              <w:spacing w:after="0"/>
            </w:pPr>
            <w:r/>
            <w:r>
              <w:rPr>
                <w:rFonts w:ascii="Aptos" w:hAnsi="Aptos"/>
                <w:b w:val="0"/>
                <w:sz w:val="14"/>
              </w:rPr>
              <w:t>Structural etiology subtype</w:t>
            </w:r>
          </w:p>
        </w:tc>
        <w:tc>
          <w:tcPr>
            <w:tcW w:type="dxa" w:w="1694"/>
            <w:vAlign w:val="top"/>
          </w:tcPr>
          <w:p>
            <w:pPr>
              <w:spacing w:after="0"/>
            </w:pPr>
            <w:r/>
            <w:r>
              <w:rPr>
                <w:rFonts w:ascii="Aptos" w:hAnsi="Aptos"/>
                <w:b w:val="0"/>
                <w:sz w:val="14"/>
              </w:rPr>
              <w:t>coded text</w:t>
            </w:r>
          </w:p>
        </w:tc>
        <w:tc>
          <w:tcPr>
            <w:tcW w:type="dxa" w:w="1694"/>
            <w:vAlign w:val="top"/>
          </w:tcPr>
          <w:p>
            <w:pPr>
              <w:spacing w:after="0"/>
            </w:pPr>
            <w:r/>
            <w:r>
              <w:rPr>
                <w:rFonts w:ascii="Aptos" w:hAnsi="Aptos"/>
                <w:b w:val="0"/>
                <w:sz w:val="14"/>
              </w:rPr>
              <w:t>HS/FCD/tumor/vascular/injury/malformation/other/unknown</w:t>
            </w:r>
          </w:p>
        </w:tc>
        <w:tc>
          <w:tcPr>
            <w:tcW w:type="dxa" w:w="1694"/>
            <w:vAlign w:val="top"/>
          </w:tcPr>
          <w:p>
            <w:pPr>
              <w:spacing w:after="0"/>
            </w:pPr>
            <w:r/>
            <w:r>
              <w:rPr>
                <w:rFonts w:ascii="Aptos" w:hAnsi="Aptos"/>
                <w:b w:val="0"/>
                <w:sz w:val="14"/>
              </w:rPr>
              <w:t>MedAI application set; HS/FCD have ILAE classifications [S13,S14]</w:t>
            </w:r>
          </w:p>
        </w:tc>
      </w:tr>
      <w:tr>
        <w:tc>
          <w:tcPr>
            <w:tcW w:type="dxa" w:w="1694"/>
            <w:vAlign w:val="top"/>
          </w:tcPr>
          <w:p>
            <w:pPr>
              <w:spacing w:after="0"/>
            </w:pPr>
            <w:r/>
            <w:r>
              <w:rPr>
                <w:rFonts w:ascii="Aptos" w:hAnsi="Aptos"/>
                <w:b w:val="0"/>
                <w:sz w:val="14"/>
              </w:rPr>
              <w:t>ET003</w:t>
            </w:r>
          </w:p>
        </w:tc>
        <w:tc>
          <w:tcPr>
            <w:tcW w:type="dxa" w:w="1694"/>
            <w:vAlign w:val="top"/>
          </w:tcPr>
          <w:p>
            <w:pPr>
              <w:spacing w:after="0"/>
            </w:pPr>
            <w:r/>
            <w:r>
              <w:rPr>
                <w:rFonts w:ascii="Aptos" w:hAnsi="Aptos"/>
                <w:b w:val="0"/>
                <w:sz w:val="14"/>
              </w:rPr>
              <w:t>etiology_certainty</w:t>
            </w:r>
          </w:p>
        </w:tc>
        <w:tc>
          <w:tcPr>
            <w:tcW w:type="dxa" w:w="1694"/>
            <w:vAlign w:val="top"/>
          </w:tcPr>
          <w:p>
            <w:pPr>
              <w:spacing w:after="0"/>
            </w:pPr>
            <w:r/>
            <w:r>
              <w:rPr>
                <w:rFonts w:ascii="Aptos" w:hAnsi="Aptos"/>
                <w:b w:val="0"/>
                <w:sz w:val="14"/>
              </w:rPr>
              <w:t>Strength of etiologic assertion</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definite/probable/possible/uncertain/not_stated</w:t>
            </w:r>
          </w:p>
        </w:tc>
        <w:tc>
          <w:tcPr>
            <w:tcW w:type="dxa" w:w="1694"/>
            <w:vAlign w:val="top"/>
          </w:tcPr>
          <w:p>
            <w:pPr>
              <w:spacing w:after="0"/>
            </w:pPr>
            <w:r/>
            <w:r>
              <w:rPr>
                <w:rFonts w:ascii="Aptos" w:hAnsi="Aptos"/>
                <w:b w:val="0"/>
                <w:sz w:val="14"/>
              </w:rPr>
              <w:t>MEDAI-PROPOSED</w:t>
            </w:r>
          </w:p>
        </w:tc>
      </w:tr>
      <w:tr>
        <w:tc>
          <w:tcPr>
            <w:tcW w:type="dxa" w:w="1694"/>
            <w:vAlign w:val="top"/>
          </w:tcPr>
          <w:p>
            <w:pPr>
              <w:spacing w:after="0"/>
            </w:pPr>
            <w:r/>
            <w:r>
              <w:rPr>
                <w:rFonts w:ascii="Aptos" w:hAnsi="Aptos"/>
                <w:b w:val="0"/>
                <w:sz w:val="14"/>
              </w:rPr>
              <w:t>MRI001</w:t>
            </w:r>
          </w:p>
        </w:tc>
        <w:tc>
          <w:tcPr>
            <w:tcW w:type="dxa" w:w="1694"/>
            <w:vAlign w:val="top"/>
          </w:tcPr>
          <w:p>
            <w:pPr>
              <w:spacing w:after="0"/>
            </w:pPr>
            <w:r/>
            <w:r>
              <w:rPr>
                <w:rFonts w:ascii="Aptos" w:hAnsi="Aptos"/>
                <w:b w:val="0"/>
                <w:sz w:val="14"/>
              </w:rPr>
              <w:t>mri_abnormal</w:t>
            </w:r>
          </w:p>
        </w:tc>
        <w:tc>
          <w:tcPr>
            <w:tcW w:type="dxa" w:w="1694"/>
            <w:vAlign w:val="top"/>
          </w:tcPr>
          <w:p>
            <w:pPr>
              <w:spacing w:after="0"/>
            </w:pPr>
            <w:r/>
            <w:r>
              <w:rPr>
                <w:rFonts w:ascii="Aptos" w:hAnsi="Aptos"/>
                <w:b w:val="0"/>
                <w:sz w:val="14"/>
              </w:rPr>
              <w:t>MRI interpreted as abnormal</w:t>
            </w:r>
          </w:p>
        </w:tc>
        <w:tc>
          <w:tcPr>
            <w:tcW w:type="dxa" w:w="1694"/>
            <w:vAlign w:val="top"/>
          </w:tcPr>
          <w:p>
            <w:pPr>
              <w:spacing w:after="0"/>
            </w:pPr>
            <w:r/>
            <w:r>
              <w:rPr>
                <w:rFonts w:ascii="Aptos" w:hAnsi="Aptos"/>
                <w:b w:val="0"/>
                <w:sz w:val="14"/>
              </w:rPr>
              <w:t>boolean/unknown</w:t>
            </w:r>
          </w:p>
        </w:tc>
        <w:tc>
          <w:tcPr>
            <w:tcW w:type="dxa" w:w="1694"/>
            <w:vAlign w:val="top"/>
          </w:tcPr>
          <w:p>
            <w:pPr>
              <w:spacing w:after="0"/>
            </w:pPr>
            <w:r/>
            <w:r>
              <w:rPr>
                <w:rFonts w:ascii="Aptos" w:hAnsi="Aptos"/>
                <w:b w:val="0"/>
                <w:sz w:val="14"/>
              </w:rPr>
              <w:t>true/false/unknown</w:t>
            </w:r>
          </w:p>
        </w:tc>
        <w:tc>
          <w:tcPr>
            <w:tcW w:type="dxa" w:w="1694"/>
            <w:vAlign w:val="top"/>
          </w:tcPr>
          <w:p>
            <w:pPr>
              <w:spacing w:after="0"/>
            </w:pPr>
            <w:r/>
            <w:r>
              <w:rPr>
                <w:rFonts w:ascii="Aptos" w:hAnsi="Aptos"/>
                <w:b w:val="0"/>
                <w:sz w:val="14"/>
              </w:rPr>
              <w:t>MEDAI-PROPOSED</w:t>
            </w:r>
          </w:p>
        </w:tc>
      </w:tr>
      <w:tr>
        <w:tc>
          <w:tcPr>
            <w:tcW w:type="dxa" w:w="1694"/>
            <w:vAlign w:val="top"/>
          </w:tcPr>
          <w:p>
            <w:pPr>
              <w:spacing w:after="0"/>
            </w:pPr>
            <w:r/>
            <w:r>
              <w:rPr>
                <w:rFonts w:ascii="Aptos" w:hAnsi="Aptos"/>
                <w:b w:val="0"/>
                <w:sz w:val="14"/>
              </w:rPr>
              <w:t>MRI002</w:t>
            </w:r>
          </w:p>
        </w:tc>
        <w:tc>
          <w:tcPr>
            <w:tcW w:type="dxa" w:w="1694"/>
            <w:vAlign w:val="top"/>
          </w:tcPr>
          <w:p>
            <w:pPr>
              <w:spacing w:after="0"/>
            </w:pPr>
            <w:r/>
            <w:r>
              <w:rPr>
                <w:rFonts w:ascii="Aptos" w:hAnsi="Aptos"/>
                <w:b w:val="0"/>
                <w:sz w:val="14"/>
              </w:rPr>
              <w:t>mri_epileptogenic_lesion</w:t>
            </w:r>
          </w:p>
        </w:tc>
        <w:tc>
          <w:tcPr>
            <w:tcW w:type="dxa" w:w="1694"/>
            <w:vAlign w:val="top"/>
          </w:tcPr>
          <w:p>
            <w:pPr>
              <w:spacing w:after="0"/>
            </w:pPr>
            <w:r/>
            <w:r>
              <w:rPr>
                <w:rFonts w:ascii="Aptos" w:hAnsi="Aptos"/>
                <w:b w:val="0"/>
                <w:sz w:val="14"/>
              </w:rPr>
              <w:t>Potential epileptogenic structural lesion</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present/absent/possible/unknown</w:t>
            </w:r>
          </w:p>
        </w:tc>
        <w:tc>
          <w:tcPr>
            <w:tcW w:type="dxa" w:w="1694"/>
            <w:vAlign w:val="top"/>
          </w:tcPr>
          <w:p>
            <w:pPr>
              <w:spacing w:after="0"/>
            </w:pPr>
            <w:r/>
            <w:r>
              <w:rPr>
                <w:rFonts w:ascii="Aptos" w:hAnsi="Aptos"/>
                <w:b w:val="0"/>
                <w:sz w:val="14"/>
              </w:rPr>
              <w:t>MEDAI-PROPOSED; must preserve report certainty</w:t>
            </w:r>
          </w:p>
        </w:tc>
      </w:tr>
      <w:tr>
        <w:tc>
          <w:tcPr>
            <w:tcW w:type="dxa" w:w="1694"/>
            <w:vAlign w:val="top"/>
          </w:tcPr>
          <w:p>
            <w:pPr>
              <w:spacing w:after="0"/>
            </w:pPr>
            <w:r/>
            <w:r>
              <w:rPr>
                <w:rFonts w:ascii="Aptos" w:hAnsi="Aptos"/>
                <w:b w:val="0"/>
                <w:sz w:val="14"/>
              </w:rPr>
              <w:t>MRI003</w:t>
            </w:r>
          </w:p>
        </w:tc>
        <w:tc>
          <w:tcPr>
            <w:tcW w:type="dxa" w:w="1694"/>
            <w:vAlign w:val="top"/>
          </w:tcPr>
          <w:p>
            <w:pPr>
              <w:spacing w:after="0"/>
            </w:pPr>
            <w:r/>
            <w:r>
              <w:rPr>
                <w:rFonts w:ascii="Aptos" w:hAnsi="Aptos"/>
                <w:b w:val="0"/>
                <w:sz w:val="14"/>
              </w:rPr>
              <w:t>mri_lesion_type</w:t>
            </w:r>
          </w:p>
        </w:tc>
        <w:tc>
          <w:tcPr>
            <w:tcW w:type="dxa" w:w="1694"/>
            <w:vAlign w:val="top"/>
          </w:tcPr>
          <w:p>
            <w:pPr>
              <w:spacing w:after="0"/>
            </w:pPr>
            <w:r/>
            <w:r>
              <w:rPr>
                <w:rFonts w:ascii="Aptos" w:hAnsi="Aptos"/>
                <w:b w:val="0"/>
                <w:sz w:val="14"/>
              </w:rPr>
              <w:t>Imaging lesion/finding type</w:t>
            </w:r>
          </w:p>
        </w:tc>
        <w:tc>
          <w:tcPr>
            <w:tcW w:type="dxa" w:w="1694"/>
            <w:vAlign w:val="top"/>
          </w:tcPr>
          <w:p>
            <w:pPr>
              <w:spacing w:after="0"/>
            </w:pPr>
            <w:r/>
            <w:r>
              <w:rPr>
                <w:rFonts w:ascii="Aptos" w:hAnsi="Aptos"/>
                <w:b w:val="0"/>
                <w:sz w:val="14"/>
              </w:rPr>
              <w:t>coded text</w:t>
            </w:r>
          </w:p>
        </w:tc>
        <w:tc>
          <w:tcPr>
            <w:tcW w:type="dxa" w:w="1694"/>
            <w:vAlign w:val="top"/>
          </w:tcPr>
          <w:p>
            <w:pPr>
              <w:spacing w:after="0"/>
            </w:pPr>
            <w:r/>
            <w:r>
              <w:rPr>
                <w:rFonts w:ascii="Aptos" w:hAnsi="Aptos"/>
                <w:b w:val="0"/>
                <w:sz w:val="14"/>
              </w:rPr>
              <w:t>HS/FCD/tumor/vascular/malformation/injury/other</w:t>
            </w:r>
          </w:p>
        </w:tc>
        <w:tc>
          <w:tcPr>
            <w:tcW w:type="dxa" w:w="1694"/>
            <w:vAlign w:val="top"/>
          </w:tcPr>
          <w:p>
            <w:pPr>
              <w:spacing w:after="0"/>
            </w:pPr>
            <w:r/>
            <w:r>
              <w:rPr>
                <w:rFonts w:ascii="Aptos" w:hAnsi="Aptos"/>
                <w:b w:val="0"/>
                <w:sz w:val="14"/>
              </w:rPr>
              <w:t>RadLex/SNOMED/EpSO mappings where verified [S4,S8,S9]</w:t>
            </w:r>
          </w:p>
        </w:tc>
      </w:tr>
      <w:tr>
        <w:tc>
          <w:tcPr>
            <w:tcW w:type="dxa" w:w="1694"/>
            <w:vAlign w:val="top"/>
          </w:tcPr>
          <w:p>
            <w:pPr>
              <w:spacing w:after="0"/>
            </w:pPr>
            <w:r/>
            <w:r>
              <w:rPr>
                <w:rFonts w:ascii="Aptos" w:hAnsi="Aptos"/>
                <w:b w:val="0"/>
                <w:sz w:val="14"/>
              </w:rPr>
              <w:t>MRI004</w:t>
            </w:r>
          </w:p>
        </w:tc>
        <w:tc>
          <w:tcPr>
            <w:tcW w:type="dxa" w:w="1694"/>
            <w:vAlign w:val="top"/>
          </w:tcPr>
          <w:p>
            <w:pPr>
              <w:spacing w:after="0"/>
            </w:pPr>
            <w:r/>
            <w:r>
              <w:rPr>
                <w:rFonts w:ascii="Aptos" w:hAnsi="Aptos"/>
                <w:b w:val="0"/>
                <w:sz w:val="14"/>
              </w:rPr>
              <w:t>mri_location</w:t>
            </w:r>
          </w:p>
        </w:tc>
        <w:tc>
          <w:tcPr>
            <w:tcW w:type="dxa" w:w="1694"/>
            <w:vAlign w:val="top"/>
          </w:tcPr>
          <w:p>
            <w:pPr>
              <w:spacing w:after="0"/>
            </w:pPr>
            <w:r/>
            <w:r>
              <w:rPr>
                <w:rFonts w:ascii="Aptos" w:hAnsi="Aptos"/>
                <w:b w:val="0"/>
                <w:sz w:val="14"/>
              </w:rPr>
              <w:t>Anatomical location</w:t>
            </w:r>
          </w:p>
        </w:tc>
        <w:tc>
          <w:tcPr>
            <w:tcW w:type="dxa" w:w="1694"/>
            <w:vAlign w:val="top"/>
          </w:tcPr>
          <w:p>
            <w:pPr>
              <w:spacing w:after="0"/>
            </w:pPr>
            <w:r/>
            <w:r>
              <w:rPr>
                <w:rFonts w:ascii="Aptos" w:hAnsi="Aptos"/>
                <w:b w:val="0"/>
                <w:sz w:val="14"/>
              </w:rPr>
              <w:t>coded text</w:t>
            </w:r>
          </w:p>
        </w:tc>
        <w:tc>
          <w:tcPr>
            <w:tcW w:type="dxa" w:w="1694"/>
            <w:vAlign w:val="top"/>
          </w:tcPr>
          <w:p>
            <w:pPr>
              <w:spacing w:after="0"/>
            </w:pPr>
            <w:r/>
            <w:r>
              <w:rPr>
                <w:rFonts w:ascii="Aptos" w:hAnsi="Aptos"/>
                <w:b w:val="0"/>
                <w:sz w:val="14"/>
              </w:rPr>
              <w:t>normalized anatomy</w:t>
            </w:r>
          </w:p>
        </w:tc>
        <w:tc>
          <w:tcPr>
            <w:tcW w:type="dxa" w:w="1694"/>
            <w:vAlign w:val="top"/>
          </w:tcPr>
          <w:p>
            <w:pPr>
              <w:spacing w:after="0"/>
            </w:pPr>
            <w:r/>
            <w:r>
              <w:rPr>
                <w:rFonts w:ascii="Aptos" w:hAnsi="Aptos"/>
                <w:b w:val="0"/>
                <w:sz w:val="14"/>
              </w:rPr>
              <w:t>RadLex/SNOMED/EpSO [S4,S8,S9]</w:t>
            </w:r>
          </w:p>
        </w:tc>
      </w:tr>
      <w:tr>
        <w:tc>
          <w:tcPr>
            <w:tcW w:type="dxa" w:w="1694"/>
            <w:vAlign w:val="top"/>
          </w:tcPr>
          <w:p>
            <w:pPr>
              <w:spacing w:after="0"/>
            </w:pPr>
            <w:r/>
            <w:r>
              <w:rPr>
                <w:rFonts w:ascii="Aptos" w:hAnsi="Aptos"/>
                <w:b w:val="0"/>
                <w:sz w:val="14"/>
              </w:rPr>
              <w:t>MRI005</w:t>
            </w:r>
          </w:p>
        </w:tc>
        <w:tc>
          <w:tcPr>
            <w:tcW w:type="dxa" w:w="1694"/>
            <w:vAlign w:val="top"/>
          </w:tcPr>
          <w:p>
            <w:pPr>
              <w:spacing w:after="0"/>
            </w:pPr>
            <w:r/>
            <w:r>
              <w:rPr>
                <w:rFonts w:ascii="Aptos" w:hAnsi="Aptos"/>
                <w:b w:val="0"/>
                <w:sz w:val="14"/>
              </w:rPr>
              <w:t>mri_laterality</w:t>
            </w:r>
          </w:p>
        </w:tc>
        <w:tc>
          <w:tcPr>
            <w:tcW w:type="dxa" w:w="1694"/>
            <w:vAlign w:val="top"/>
          </w:tcPr>
          <w:p>
            <w:pPr>
              <w:spacing w:after="0"/>
            </w:pPr>
            <w:r/>
            <w:r>
              <w:rPr>
                <w:rFonts w:ascii="Aptos" w:hAnsi="Aptos"/>
                <w:b w:val="0"/>
                <w:sz w:val="14"/>
              </w:rPr>
              <w:t>Imaging laterality</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left/right/bilateral/midline/not_applicable/unknown</w:t>
            </w:r>
          </w:p>
        </w:tc>
        <w:tc>
          <w:tcPr>
            <w:tcW w:type="dxa" w:w="1694"/>
            <w:vAlign w:val="top"/>
          </w:tcPr>
          <w:p>
            <w:pPr>
              <w:spacing w:after="0"/>
            </w:pPr>
            <w:r/>
            <w:r>
              <w:rPr>
                <w:rFonts w:ascii="Aptos" w:hAnsi="Aptos"/>
                <w:b w:val="0"/>
                <w:sz w:val="14"/>
              </w:rPr>
              <w:t>MEDAI-PROPOSED</w:t>
            </w:r>
          </w:p>
        </w:tc>
      </w:tr>
      <w:tr>
        <w:tc>
          <w:tcPr>
            <w:tcW w:type="dxa" w:w="1694"/>
            <w:vAlign w:val="top"/>
          </w:tcPr>
          <w:p>
            <w:pPr>
              <w:spacing w:after="0"/>
            </w:pPr>
            <w:r/>
            <w:r>
              <w:rPr>
                <w:rFonts w:ascii="Aptos" w:hAnsi="Aptos"/>
                <w:b w:val="0"/>
                <w:sz w:val="14"/>
              </w:rPr>
              <w:t>EEG001</w:t>
            </w:r>
          </w:p>
        </w:tc>
        <w:tc>
          <w:tcPr>
            <w:tcW w:type="dxa" w:w="1694"/>
            <w:vAlign w:val="top"/>
          </w:tcPr>
          <w:p>
            <w:pPr>
              <w:spacing w:after="0"/>
            </w:pPr>
            <w:r/>
            <w:r>
              <w:rPr>
                <w:rFonts w:ascii="Aptos" w:hAnsi="Aptos"/>
                <w:b w:val="0"/>
                <w:sz w:val="14"/>
              </w:rPr>
              <w:t>eeg_study_type</w:t>
            </w:r>
          </w:p>
        </w:tc>
        <w:tc>
          <w:tcPr>
            <w:tcW w:type="dxa" w:w="1694"/>
            <w:vAlign w:val="top"/>
          </w:tcPr>
          <w:p>
            <w:pPr>
              <w:spacing w:after="0"/>
            </w:pPr>
            <w:r/>
            <w:r>
              <w:rPr>
                <w:rFonts w:ascii="Aptos" w:hAnsi="Aptos"/>
                <w:b w:val="0"/>
                <w:sz w:val="14"/>
              </w:rPr>
              <w:t>EEG context</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routine/ambulatory/EMU_video/continuous/other</w:t>
            </w:r>
          </w:p>
        </w:tc>
        <w:tc>
          <w:tcPr>
            <w:tcW w:type="dxa" w:w="1694"/>
            <w:vAlign w:val="top"/>
          </w:tcPr>
          <w:p>
            <w:pPr>
              <w:spacing w:after="0"/>
            </w:pPr>
            <w:r/>
            <w:r>
              <w:rPr>
                <w:rFonts w:ascii="Aptos" w:hAnsi="Aptos"/>
                <w:b w:val="0"/>
                <w:sz w:val="14"/>
              </w:rPr>
              <w:t>MEDAI-PROPOSED; terminology source recorded</w:t>
            </w:r>
          </w:p>
        </w:tc>
      </w:tr>
      <w:tr>
        <w:tc>
          <w:tcPr>
            <w:tcW w:type="dxa" w:w="1694"/>
            <w:vAlign w:val="top"/>
          </w:tcPr>
          <w:p>
            <w:pPr>
              <w:spacing w:after="0"/>
            </w:pPr>
            <w:r/>
            <w:r>
              <w:rPr>
                <w:rFonts w:ascii="Aptos" w:hAnsi="Aptos"/>
                <w:b w:val="0"/>
                <w:sz w:val="14"/>
              </w:rPr>
              <w:t>EEG002</w:t>
            </w:r>
          </w:p>
        </w:tc>
        <w:tc>
          <w:tcPr>
            <w:tcW w:type="dxa" w:w="1694"/>
            <w:vAlign w:val="top"/>
          </w:tcPr>
          <w:p>
            <w:pPr>
              <w:spacing w:after="0"/>
            </w:pPr>
            <w:r/>
            <w:r>
              <w:rPr>
                <w:rFonts w:ascii="Aptos" w:hAnsi="Aptos"/>
                <w:b w:val="0"/>
                <w:sz w:val="14"/>
              </w:rPr>
              <w:t>eeg_background</w:t>
            </w:r>
          </w:p>
        </w:tc>
        <w:tc>
          <w:tcPr>
            <w:tcW w:type="dxa" w:w="1694"/>
            <w:vAlign w:val="top"/>
          </w:tcPr>
          <w:p>
            <w:pPr>
              <w:spacing w:after="0"/>
            </w:pPr>
            <w:r/>
            <w:r>
              <w:rPr>
                <w:rFonts w:ascii="Aptos" w:hAnsi="Aptos"/>
                <w:b w:val="0"/>
                <w:sz w:val="14"/>
              </w:rPr>
              <w:t>Background description</w:t>
            </w:r>
          </w:p>
        </w:tc>
        <w:tc>
          <w:tcPr>
            <w:tcW w:type="dxa" w:w="1694"/>
            <w:vAlign w:val="top"/>
          </w:tcPr>
          <w:p>
            <w:pPr>
              <w:spacing w:after="0"/>
            </w:pPr>
            <w:r/>
            <w:r>
              <w:rPr>
                <w:rFonts w:ascii="Aptos" w:hAnsi="Aptos"/>
                <w:b w:val="0"/>
                <w:sz w:val="14"/>
              </w:rPr>
              <w:t>structured text</w:t>
            </w:r>
          </w:p>
        </w:tc>
        <w:tc>
          <w:tcPr>
            <w:tcW w:type="dxa" w:w="1694"/>
            <w:vAlign w:val="top"/>
          </w:tcPr>
          <w:p>
            <w:pPr>
              <w:spacing w:after="0"/>
            </w:pPr>
            <w:r/>
            <w:r>
              <w:rPr>
                <w:rFonts w:ascii="Aptos" w:hAnsi="Aptos"/>
                <w:b w:val="0"/>
                <w:sz w:val="14"/>
              </w:rPr>
              <w:t>controlled subset + source text</w:t>
            </w:r>
          </w:p>
        </w:tc>
        <w:tc>
          <w:tcPr>
            <w:tcW w:type="dxa" w:w="1694"/>
            <w:vAlign w:val="top"/>
          </w:tcPr>
          <w:p>
            <w:pPr>
              <w:spacing w:after="0"/>
            </w:pPr>
            <w:r/>
            <w:r>
              <w:rPr>
                <w:rFonts w:ascii="Aptos" w:hAnsi="Aptos"/>
                <w:b w:val="0"/>
                <w:sz w:val="14"/>
              </w:rPr>
              <w:t>SCORE/ACNS [S10,S11]</w:t>
            </w:r>
          </w:p>
        </w:tc>
      </w:tr>
      <w:tr>
        <w:tc>
          <w:tcPr>
            <w:tcW w:type="dxa" w:w="1694"/>
            <w:vAlign w:val="top"/>
          </w:tcPr>
          <w:p>
            <w:pPr>
              <w:spacing w:after="0"/>
            </w:pPr>
            <w:r/>
            <w:r>
              <w:rPr>
                <w:rFonts w:ascii="Aptos" w:hAnsi="Aptos"/>
                <w:b w:val="0"/>
                <w:sz w:val="14"/>
              </w:rPr>
              <w:t>EEG003</w:t>
            </w:r>
          </w:p>
        </w:tc>
        <w:tc>
          <w:tcPr>
            <w:tcW w:type="dxa" w:w="1694"/>
            <w:vAlign w:val="top"/>
          </w:tcPr>
          <w:p>
            <w:pPr>
              <w:spacing w:after="0"/>
            </w:pPr>
            <w:r/>
            <w:r>
              <w:rPr>
                <w:rFonts w:ascii="Aptos" w:hAnsi="Aptos"/>
                <w:b w:val="0"/>
                <w:sz w:val="14"/>
              </w:rPr>
              <w:t>ied_present</w:t>
            </w:r>
          </w:p>
        </w:tc>
        <w:tc>
          <w:tcPr>
            <w:tcW w:type="dxa" w:w="1694"/>
            <w:vAlign w:val="top"/>
          </w:tcPr>
          <w:p>
            <w:pPr>
              <w:spacing w:after="0"/>
            </w:pPr>
            <w:r/>
            <w:r>
              <w:rPr>
                <w:rFonts w:ascii="Aptos" w:hAnsi="Aptos"/>
                <w:b w:val="0"/>
                <w:sz w:val="14"/>
              </w:rPr>
              <w:t>Interictal epileptiform discharge present</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present/absent/unknown</w:t>
            </w:r>
          </w:p>
        </w:tc>
        <w:tc>
          <w:tcPr>
            <w:tcW w:type="dxa" w:w="1694"/>
            <w:vAlign w:val="top"/>
          </w:tcPr>
          <w:p>
            <w:pPr>
              <w:spacing w:after="0"/>
            </w:pPr>
            <w:r/>
            <w:r>
              <w:rPr>
                <w:rFonts w:ascii="Aptos" w:hAnsi="Aptos"/>
                <w:b w:val="0"/>
                <w:sz w:val="14"/>
              </w:rPr>
              <w:t>SCORE-informed [S10]</w:t>
            </w:r>
          </w:p>
        </w:tc>
      </w:tr>
      <w:tr>
        <w:tc>
          <w:tcPr>
            <w:tcW w:type="dxa" w:w="1694"/>
            <w:vAlign w:val="top"/>
          </w:tcPr>
          <w:p>
            <w:pPr>
              <w:spacing w:after="0"/>
            </w:pPr>
            <w:r/>
            <w:r>
              <w:rPr>
                <w:rFonts w:ascii="Aptos" w:hAnsi="Aptos"/>
                <w:b w:val="0"/>
                <w:sz w:val="14"/>
              </w:rPr>
              <w:t>EEG004</w:t>
            </w:r>
          </w:p>
        </w:tc>
        <w:tc>
          <w:tcPr>
            <w:tcW w:type="dxa" w:w="1694"/>
            <w:vAlign w:val="top"/>
          </w:tcPr>
          <w:p>
            <w:pPr>
              <w:spacing w:after="0"/>
            </w:pPr>
            <w:r/>
            <w:r>
              <w:rPr>
                <w:rFonts w:ascii="Aptos" w:hAnsi="Aptos"/>
                <w:b w:val="0"/>
                <w:sz w:val="14"/>
              </w:rPr>
              <w:t>ied_location</w:t>
            </w:r>
          </w:p>
        </w:tc>
        <w:tc>
          <w:tcPr>
            <w:tcW w:type="dxa" w:w="1694"/>
            <w:vAlign w:val="top"/>
          </w:tcPr>
          <w:p>
            <w:pPr>
              <w:spacing w:after="0"/>
            </w:pPr>
            <w:r/>
            <w:r>
              <w:rPr>
                <w:rFonts w:ascii="Aptos" w:hAnsi="Aptos"/>
                <w:b w:val="0"/>
                <w:sz w:val="14"/>
              </w:rPr>
              <w:t>IED anatomical distribution</w:t>
            </w:r>
          </w:p>
        </w:tc>
        <w:tc>
          <w:tcPr>
            <w:tcW w:type="dxa" w:w="1694"/>
            <w:vAlign w:val="top"/>
          </w:tcPr>
          <w:p>
            <w:pPr>
              <w:spacing w:after="0"/>
            </w:pPr>
            <w:r/>
            <w:r>
              <w:rPr>
                <w:rFonts w:ascii="Aptos" w:hAnsi="Aptos"/>
                <w:b w:val="0"/>
                <w:sz w:val="14"/>
              </w:rPr>
              <w:t>coded text</w:t>
            </w:r>
          </w:p>
        </w:tc>
        <w:tc>
          <w:tcPr>
            <w:tcW w:type="dxa" w:w="1694"/>
            <w:vAlign w:val="top"/>
          </w:tcPr>
          <w:p>
            <w:pPr>
              <w:spacing w:after="0"/>
            </w:pPr>
            <w:r/>
            <w:r>
              <w:rPr>
                <w:rFonts w:ascii="Aptos" w:hAnsi="Aptos"/>
                <w:b w:val="0"/>
                <w:sz w:val="14"/>
              </w:rPr>
              <w:t>normalized region</w:t>
            </w:r>
          </w:p>
        </w:tc>
        <w:tc>
          <w:tcPr>
            <w:tcW w:type="dxa" w:w="1694"/>
            <w:vAlign w:val="top"/>
          </w:tcPr>
          <w:p>
            <w:pPr>
              <w:spacing w:after="0"/>
            </w:pPr>
            <w:r/>
            <w:r>
              <w:rPr>
                <w:rFonts w:ascii="Aptos" w:hAnsi="Aptos"/>
                <w:b w:val="0"/>
                <w:sz w:val="14"/>
              </w:rPr>
              <w:t>SCORE/EpSO mapping [S4,S10]</w:t>
            </w:r>
          </w:p>
        </w:tc>
      </w:tr>
      <w:tr>
        <w:tc>
          <w:tcPr>
            <w:tcW w:type="dxa" w:w="1694"/>
            <w:vAlign w:val="top"/>
          </w:tcPr>
          <w:p>
            <w:pPr>
              <w:spacing w:after="0"/>
            </w:pPr>
            <w:r/>
            <w:r>
              <w:rPr>
                <w:rFonts w:ascii="Aptos" w:hAnsi="Aptos"/>
                <w:b w:val="0"/>
                <w:sz w:val="14"/>
              </w:rPr>
              <w:t>EEG005</w:t>
            </w:r>
          </w:p>
        </w:tc>
        <w:tc>
          <w:tcPr>
            <w:tcW w:type="dxa" w:w="1694"/>
            <w:vAlign w:val="top"/>
          </w:tcPr>
          <w:p>
            <w:pPr>
              <w:spacing w:after="0"/>
            </w:pPr>
            <w:r/>
            <w:r>
              <w:rPr>
                <w:rFonts w:ascii="Aptos" w:hAnsi="Aptos"/>
                <w:b w:val="0"/>
                <w:sz w:val="14"/>
              </w:rPr>
              <w:t>ied_laterality</w:t>
            </w:r>
          </w:p>
        </w:tc>
        <w:tc>
          <w:tcPr>
            <w:tcW w:type="dxa" w:w="1694"/>
            <w:vAlign w:val="top"/>
          </w:tcPr>
          <w:p>
            <w:pPr>
              <w:spacing w:after="0"/>
            </w:pPr>
            <w:r/>
            <w:r>
              <w:rPr>
                <w:rFonts w:ascii="Aptos" w:hAnsi="Aptos"/>
                <w:b w:val="0"/>
                <w:sz w:val="14"/>
              </w:rPr>
              <w:t>IED laterality</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left/right/bilateral/generalized/multifocal/unknown</w:t>
            </w:r>
          </w:p>
        </w:tc>
        <w:tc>
          <w:tcPr>
            <w:tcW w:type="dxa" w:w="1694"/>
            <w:vAlign w:val="top"/>
          </w:tcPr>
          <w:p>
            <w:pPr>
              <w:spacing w:after="0"/>
            </w:pPr>
            <w:r/>
            <w:r>
              <w:rPr>
                <w:rFonts w:ascii="Aptos" w:hAnsi="Aptos"/>
                <w:b w:val="0"/>
                <w:sz w:val="14"/>
              </w:rPr>
              <w:t>MEDAI-PROPOSED value set; clinician review</w:t>
            </w:r>
          </w:p>
        </w:tc>
      </w:tr>
      <w:tr>
        <w:tc>
          <w:tcPr>
            <w:tcW w:type="dxa" w:w="1694"/>
            <w:vAlign w:val="top"/>
          </w:tcPr>
          <w:p>
            <w:pPr>
              <w:spacing w:after="0"/>
            </w:pPr>
            <w:r/>
            <w:r>
              <w:rPr>
                <w:rFonts w:ascii="Aptos" w:hAnsi="Aptos"/>
                <w:b w:val="0"/>
                <w:sz w:val="14"/>
              </w:rPr>
              <w:t>EEG006</w:t>
            </w:r>
          </w:p>
        </w:tc>
        <w:tc>
          <w:tcPr>
            <w:tcW w:type="dxa" w:w="1694"/>
            <w:vAlign w:val="top"/>
          </w:tcPr>
          <w:p>
            <w:pPr>
              <w:spacing w:after="0"/>
            </w:pPr>
            <w:r/>
            <w:r>
              <w:rPr>
                <w:rFonts w:ascii="Aptos" w:hAnsi="Aptos"/>
                <w:b w:val="0"/>
                <w:sz w:val="14"/>
              </w:rPr>
              <w:t>seizures_captured</w:t>
            </w:r>
          </w:p>
        </w:tc>
        <w:tc>
          <w:tcPr>
            <w:tcW w:type="dxa" w:w="1694"/>
            <w:vAlign w:val="top"/>
          </w:tcPr>
          <w:p>
            <w:pPr>
              <w:spacing w:after="0"/>
            </w:pPr>
            <w:r/>
            <w:r>
              <w:rPr>
                <w:rFonts w:ascii="Aptos" w:hAnsi="Aptos"/>
                <w:b w:val="0"/>
                <w:sz w:val="14"/>
              </w:rPr>
              <w:t>Electrographic/electroclinical seizures captured</w:t>
            </w:r>
          </w:p>
        </w:tc>
        <w:tc>
          <w:tcPr>
            <w:tcW w:type="dxa" w:w="1694"/>
            <w:vAlign w:val="top"/>
          </w:tcPr>
          <w:p>
            <w:pPr>
              <w:spacing w:after="0"/>
            </w:pPr>
            <w:r/>
            <w:r>
              <w:rPr>
                <w:rFonts w:ascii="Aptos" w:hAnsi="Aptos"/>
                <w:b w:val="0"/>
                <w:sz w:val="14"/>
              </w:rPr>
              <w:t>boolean/unknown</w:t>
            </w:r>
          </w:p>
        </w:tc>
        <w:tc>
          <w:tcPr>
            <w:tcW w:type="dxa" w:w="1694"/>
            <w:vAlign w:val="top"/>
          </w:tcPr>
          <w:p>
            <w:pPr>
              <w:spacing w:after="0"/>
            </w:pPr>
            <w:r/>
            <w:r>
              <w:rPr>
                <w:rFonts w:ascii="Aptos" w:hAnsi="Aptos"/>
                <w:b w:val="0"/>
                <w:sz w:val="14"/>
              </w:rPr>
              <w:t>true/false/unknown</w:t>
            </w:r>
          </w:p>
        </w:tc>
        <w:tc>
          <w:tcPr>
            <w:tcW w:type="dxa" w:w="1694"/>
            <w:vAlign w:val="top"/>
          </w:tcPr>
          <w:p>
            <w:pPr>
              <w:spacing w:after="0"/>
            </w:pPr>
            <w:r/>
            <w:r>
              <w:rPr>
                <w:rFonts w:ascii="Aptos" w:hAnsi="Aptos"/>
                <w:b w:val="0"/>
                <w:sz w:val="14"/>
              </w:rPr>
              <w:t>SCORE/ACNS context [S10,S11]</w:t>
            </w:r>
          </w:p>
        </w:tc>
      </w:tr>
      <w:tr>
        <w:tc>
          <w:tcPr>
            <w:tcW w:type="dxa" w:w="1694"/>
            <w:vAlign w:val="top"/>
          </w:tcPr>
          <w:p>
            <w:pPr>
              <w:spacing w:after="0"/>
            </w:pPr>
            <w:r/>
            <w:r>
              <w:rPr>
                <w:rFonts w:ascii="Aptos" w:hAnsi="Aptos"/>
                <w:b w:val="0"/>
                <w:sz w:val="14"/>
              </w:rPr>
              <w:t>EEG007</w:t>
            </w:r>
          </w:p>
        </w:tc>
        <w:tc>
          <w:tcPr>
            <w:tcW w:type="dxa" w:w="1694"/>
            <w:vAlign w:val="top"/>
          </w:tcPr>
          <w:p>
            <w:pPr>
              <w:spacing w:after="0"/>
            </w:pPr>
            <w:r/>
            <w:r>
              <w:rPr>
                <w:rFonts w:ascii="Aptos" w:hAnsi="Aptos"/>
                <w:b w:val="0"/>
                <w:sz w:val="14"/>
              </w:rPr>
              <w:t>ictal_location</w:t>
            </w:r>
          </w:p>
        </w:tc>
        <w:tc>
          <w:tcPr>
            <w:tcW w:type="dxa" w:w="1694"/>
            <w:vAlign w:val="top"/>
          </w:tcPr>
          <w:p>
            <w:pPr>
              <w:spacing w:after="0"/>
            </w:pPr>
            <w:r/>
            <w:r>
              <w:rPr>
                <w:rFonts w:ascii="Aptos" w:hAnsi="Aptos"/>
                <w:b w:val="0"/>
                <w:sz w:val="14"/>
              </w:rPr>
              <w:t>Ictal EEG localization</w:t>
            </w:r>
          </w:p>
        </w:tc>
        <w:tc>
          <w:tcPr>
            <w:tcW w:type="dxa" w:w="1694"/>
            <w:vAlign w:val="top"/>
          </w:tcPr>
          <w:p>
            <w:pPr>
              <w:spacing w:after="0"/>
            </w:pPr>
            <w:r/>
            <w:r>
              <w:rPr>
                <w:rFonts w:ascii="Aptos" w:hAnsi="Aptos"/>
                <w:b w:val="0"/>
                <w:sz w:val="14"/>
              </w:rPr>
              <w:t>coded text</w:t>
            </w:r>
          </w:p>
        </w:tc>
        <w:tc>
          <w:tcPr>
            <w:tcW w:type="dxa" w:w="1694"/>
            <w:vAlign w:val="top"/>
          </w:tcPr>
          <w:p>
            <w:pPr>
              <w:spacing w:after="0"/>
            </w:pPr>
            <w:r/>
            <w:r>
              <w:rPr>
                <w:rFonts w:ascii="Aptos" w:hAnsi="Aptos"/>
                <w:b w:val="0"/>
                <w:sz w:val="14"/>
              </w:rPr>
              <w:t>normalized region/unknown</w:t>
            </w:r>
          </w:p>
        </w:tc>
        <w:tc>
          <w:tcPr>
            <w:tcW w:type="dxa" w:w="1694"/>
            <w:vAlign w:val="top"/>
          </w:tcPr>
          <w:p>
            <w:pPr>
              <w:spacing w:after="0"/>
            </w:pPr>
            <w:r/>
            <w:r>
              <w:rPr>
                <w:rFonts w:ascii="Aptos" w:hAnsi="Aptos"/>
                <w:b w:val="0"/>
                <w:sz w:val="14"/>
              </w:rPr>
              <w:t>SCORE-informed [S10]</w:t>
            </w:r>
          </w:p>
        </w:tc>
      </w:tr>
      <w:tr>
        <w:tc>
          <w:tcPr>
            <w:tcW w:type="dxa" w:w="1694"/>
            <w:vAlign w:val="top"/>
          </w:tcPr>
          <w:p>
            <w:pPr>
              <w:spacing w:after="0"/>
            </w:pPr>
            <w:r/>
            <w:r>
              <w:rPr>
                <w:rFonts w:ascii="Aptos" w:hAnsi="Aptos"/>
                <w:b w:val="0"/>
                <w:sz w:val="14"/>
              </w:rPr>
              <w:t>EEG008</w:t>
            </w:r>
          </w:p>
        </w:tc>
        <w:tc>
          <w:tcPr>
            <w:tcW w:type="dxa" w:w="1694"/>
            <w:vAlign w:val="top"/>
          </w:tcPr>
          <w:p>
            <w:pPr>
              <w:spacing w:after="0"/>
            </w:pPr>
            <w:r/>
            <w:r>
              <w:rPr>
                <w:rFonts w:ascii="Aptos" w:hAnsi="Aptos"/>
                <w:b w:val="0"/>
                <w:sz w:val="14"/>
              </w:rPr>
              <w:t>ictal_laterality</w:t>
            </w:r>
          </w:p>
        </w:tc>
        <w:tc>
          <w:tcPr>
            <w:tcW w:type="dxa" w:w="1694"/>
            <w:vAlign w:val="top"/>
          </w:tcPr>
          <w:p>
            <w:pPr>
              <w:spacing w:after="0"/>
            </w:pPr>
            <w:r/>
            <w:r>
              <w:rPr>
                <w:rFonts w:ascii="Aptos" w:hAnsi="Aptos"/>
                <w:b w:val="0"/>
                <w:sz w:val="14"/>
              </w:rPr>
              <w:t>Ictal EEG laterality</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left/right/bilateral/generalized/poorly_lateralized/unknown</w:t>
            </w:r>
          </w:p>
        </w:tc>
        <w:tc>
          <w:tcPr>
            <w:tcW w:type="dxa" w:w="1694"/>
            <w:vAlign w:val="top"/>
          </w:tcPr>
          <w:p>
            <w:pPr>
              <w:spacing w:after="0"/>
            </w:pPr>
            <w:r/>
            <w:r>
              <w:rPr>
                <w:rFonts w:ascii="Aptos" w:hAnsi="Aptos"/>
                <w:b w:val="0"/>
                <w:sz w:val="14"/>
              </w:rPr>
              <w:t>MEDAI-PROPOSED; clinician review</w:t>
            </w:r>
          </w:p>
        </w:tc>
      </w:tr>
      <w:tr>
        <w:tc>
          <w:tcPr>
            <w:tcW w:type="dxa" w:w="1694"/>
            <w:vAlign w:val="top"/>
          </w:tcPr>
          <w:p>
            <w:pPr>
              <w:spacing w:after="0"/>
            </w:pPr>
            <w:r/>
            <w:r>
              <w:rPr>
                <w:rFonts w:ascii="Aptos" w:hAnsi="Aptos"/>
                <w:b w:val="0"/>
                <w:sz w:val="14"/>
              </w:rPr>
              <w:t>TX001</w:t>
            </w:r>
          </w:p>
        </w:tc>
        <w:tc>
          <w:tcPr>
            <w:tcW w:type="dxa" w:w="1694"/>
            <w:vAlign w:val="top"/>
          </w:tcPr>
          <w:p>
            <w:pPr>
              <w:spacing w:after="0"/>
            </w:pPr>
            <w:r/>
            <w:r>
              <w:rPr>
                <w:rFonts w:ascii="Aptos" w:hAnsi="Aptos"/>
                <w:b w:val="0"/>
                <w:sz w:val="14"/>
              </w:rPr>
              <w:t>asm_exposure</w:t>
            </w:r>
          </w:p>
        </w:tc>
        <w:tc>
          <w:tcPr>
            <w:tcW w:type="dxa" w:w="1694"/>
            <w:vAlign w:val="top"/>
          </w:tcPr>
          <w:p>
            <w:pPr>
              <w:spacing w:after="0"/>
            </w:pPr>
            <w:r/>
            <w:r>
              <w:rPr>
                <w:rFonts w:ascii="Aptos" w:hAnsi="Aptos"/>
                <w:b w:val="0"/>
                <w:sz w:val="14"/>
              </w:rPr>
              <w:t>Antiseizure medication exposure</w:t>
            </w:r>
          </w:p>
        </w:tc>
        <w:tc>
          <w:tcPr>
            <w:tcW w:type="dxa" w:w="1694"/>
            <w:vAlign w:val="top"/>
          </w:tcPr>
          <w:p>
            <w:pPr>
              <w:spacing w:after="0"/>
            </w:pPr>
            <w:r/>
            <w:r>
              <w:rPr>
                <w:rFonts w:ascii="Aptos" w:hAnsi="Aptos"/>
                <w:b w:val="0"/>
                <w:sz w:val="14"/>
              </w:rPr>
              <w:t>repeatable object</w:t>
            </w:r>
          </w:p>
        </w:tc>
        <w:tc>
          <w:tcPr>
            <w:tcW w:type="dxa" w:w="1694"/>
            <w:vAlign w:val="top"/>
          </w:tcPr>
          <w:p>
            <w:pPr>
              <w:spacing w:after="0"/>
            </w:pPr>
            <w:r/>
            <w:r>
              <w:rPr>
                <w:rFonts w:ascii="Aptos" w:hAnsi="Aptos"/>
                <w:b w:val="0"/>
                <w:sz w:val="14"/>
              </w:rPr>
              <w:t>drug/status/dose/route/frequency/time</w:t>
            </w:r>
          </w:p>
        </w:tc>
        <w:tc>
          <w:tcPr>
            <w:tcW w:type="dxa" w:w="1694"/>
            <w:vAlign w:val="top"/>
          </w:tcPr>
          <w:p>
            <w:pPr>
              <w:spacing w:after="0"/>
            </w:pPr>
            <w:r/>
            <w:r>
              <w:rPr>
                <w:rFonts w:ascii="Aptos" w:hAnsi="Aptos"/>
                <w:b w:val="0"/>
                <w:sz w:val="14"/>
              </w:rPr>
              <w:t>Drug normalized with RxNorm [S7]</w:t>
            </w:r>
          </w:p>
        </w:tc>
      </w:tr>
      <w:tr>
        <w:tc>
          <w:tcPr>
            <w:tcW w:type="dxa" w:w="1694"/>
            <w:vAlign w:val="top"/>
          </w:tcPr>
          <w:p>
            <w:pPr>
              <w:spacing w:after="0"/>
            </w:pPr>
            <w:r/>
            <w:r>
              <w:rPr>
                <w:rFonts w:ascii="Aptos" w:hAnsi="Aptos"/>
                <w:b w:val="0"/>
                <w:sz w:val="14"/>
              </w:rPr>
              <w:t>TX002</w:t>
            </w:r>
          </w:p>
        </w:tc>
        <w:tc>
          <w:tcPr>
            <w:tcW w:type="dxa" w:w="1694"/>
            <w:vAlign w:val="top"/>
          </w:tcPr>
          <w:p>
            <w:pPr>
              <w:spacing w:after="0"/>
            </w:pPr>
            <w:r/>
            <w:r>
              <w:rPr>
                <w:rFonts w:ascii="Aptos" w:hAnsi="Aptos"/>
                <w:b w:val="0"/>
                <w:sz w:val="14"/>
              </w:rPr>
              <w:t>asm_trial_outcome</w:t>
            </w:r>
          </w:p>
        </w:tc>
        <w:tc>
          <w:tcPr>
            <w:tcW w:type="dxa" w:w="1694"/>
            <w:vAlign w:val="top"/>
          </w:tcPr>
          <w:p>
            <w:pPr>
              <w:spacing w:after="0"/>
            </w:pPr>
            <w:r/>
            <w:r>
              <w:rPr>
                <w:rFonts w:ascii="Aptos" w:hAnsi="Aptos"/>
                <w:b w:val="0"/>
                <w:sz w:val="14"/>
              </w:rPr>
              <w:t>Outcome of a medication trial</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seizure_free/partial_response/no_response/stopped_adverse_effect/unknown</w:t>
            </w:r>
          </w:p>
        </w:tc>
        <w:tc>
          <w:tcPr>
            <w:tcW w:type="dxa" w:w="1694"/>
            <w:vAlign w:val="top"/>
          </w:tcPr>
          <w:p>
            <w:pPr>
              <w:spacing w:after="0"/>
            </w:pPr>
            <w:r/>
            <w:r>
              <w:rPr>
                <w:rFonts w:ascii="Aptos" w:hAnsi="Aptos"/>
                <w:b w:val="0"/>
                <w:sz w:val="14"/>
              </w:rPr>
              <w:t>MEDAI-PROPOSED</w:t>
            </w:r>
          </w:p>
        </w:tc>
      </w:tr>
      <w:tr>
        <w:tc>
          <w:tcPr>
            <w:tcW w:type="dxa" w:w="1694"/>
            <w:vAlign w:val="top"/>
          </w:tcPr>
          <w:p>
            <w:pPr>
              <w:spacing w:after="0"/>
            </w:pPr>
            <w:r/>
            <w:r>
              <w:rPr>
                <w:rFonts w:ascii="Aptos" w:hAnsi="Aptos"/>
                <w:b w:val="0"/>
                <w:sz w:val="14"/>
              </w:rPr>
              <w:t>TX003</w:t>
            </w:r>
          </w:p>
        </w:tc>
        <w:tc>
          <w:tcPr>
            <w:tcW w:type="dxa" w:w="1694"/>
            <w:vAlign w:val="top"/>
          </w:tcPr>
          <w:p>
            <w:pPr>
              <w:spacing w:after="0"/>
            </w:pPr>
            <w:r/>
            <w:r>
              <w:rPr>
                <w:rFonts w:ascii="Aptos" w:hAnsi="Aptos"/>
                <w:b w:val="0"/>
                <w:sz w:val="14"/>
              </w:rPr>
              <w:t>asm_trial_adequacy</w:t>
            </w:r>
          </w:p>
        </w:tc>
        <w:tc>
          <w:tcPr>
            <w:tcW w:type="dxa" w:w="1694"/>
            <w:vAlign w:val="top"/>
          </w:tcPr>
          <w:p>
            <w:pPr>
              <w:spacing w:after="0"/>
            </w:pPr>
            <w:r/>
            <w:r>
              <w:rPr>
                <w:rFonts w:ascii="Aptos" w:hAnsi="Aptos"/>
                <w:b w:val="0"/>
                <w:sz w:val="14"/>
              </w:rPr>
              <w:t>Whether documentation is sufficient to call trial adequate</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adequate/inadequate/indeterminate</w:t>
            </w:r>
          </w:p>
        </w:tc>
        <w:tc>
          <w:tcPr>
            <w:tcW w:type="dxa" w:w="1694"/>
            <w:vAlign w:val="top"/>
          </w:tcPr>
          <w:p>
            <w:pPr>
              <w:spacing w:after="0"/>
            </w:pPr>
            <w:r/>
            <w:r>
              <w:rPr>
                <w:rFonts w:ascii="Aptos" w:hAnsi="Aptos"/>
                <w:b w:val="0"/>
                <w:sz w:val="14"/>
              </w:rPr>
              <w:t>ILAE DRE framework + MEDAI-PROPOSED operationalization [S12]</w:t>
            </w:r>
          </w:p>
        </w:tc>
      </w:tr>
      <w:tr>
        <w:tc>
          <w:tcPr>
            <w:tcW w:type="dxa" w:w="1694"/>
            <w:vAlign w:val="top"/>
          </w:tcPr>
          <w:p>
            <w:pPr>
              <w:spacing w:after="0"/>
            </w:pPr>
            <w:r/>
            <w:r>
              <w:rPr>
                <w:rFonts w:ascii="Aptos" w:hAnsi="Aptos"/>
                <w:b w:val="0"/>
                <w:sz w:val="14"/>
              </w:rPr>
              <w:t>TX004</w:t>
            </w:r>
          </w:p>
        </w:tc>
        <w:tc>
          <w:tcPr>
            <w:tcW w:type="dxa" w:w="1694"/>
            <w:vAlign w:val="top"/>
          </w:tcPr>
          <w:p>
            <w:pPr>
              <w:spacing w:after="0"/>
            </w:pPr>
            <w:r/>
            <w:r>
              <w:rPr>
                <w:rFonts w:ascii="Aptos" w:hAnsi="Aptos"/>
                <w:b w:val="0"/>
                <w:sz w:val="14"/>
              </w:rPr>
              <w:t>drug_resistant_epilepsy</w:t>
            </w:r>
          </w:p>
        </w:tc>
        <w:tc>
          <w:tcPr>
            <w:tcW w:type="dxa" w:w="1694"/>
            <w:vAlign w:val="top"/>
          </w:tcPr>
          <w:p>
            <w:pPr>
              <w:spacing w:after="0"/>
            </w:pPr>
            <w:r/>
            <w:r>
              <w:rPr>
                <w:rFonts w:ascii="Aptos" w:hAnsi="Aptos"/>
                <w:b w:val="0"/>
                <w:sz w:val="14"/>
              </w:rPr>
              <w:t>DRE status</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yes/no/indeterminate</w:t>
            </w:r>
          </w:p>
        </w:tc>
        <w:tc>
          <w:tcPr>
            <w:tcW w:type="dxa" w:w="1694"/>
            <w:vAlign w:val="top"/>
          </w:tcPr>
          <w:p>
            <w:pPr>
              <w:spacing w:after="0"/>
            </w:pPr>
            <w:r/>
            <w:r>
              <w:rPr>
                <w:rFonts w:ascii="Aptos" w:hAnsi="Aptos"/>
                <w:b w:val="0"/>
                <w:sz w:val="14"/>
              </w:rPr>
              <w:t>ILAE definition; derive only with sufficient trial evidence [S12]</w:t>
            </w:r>
          </w:p>
        </w:tc>
      </w:tr>
      <w:tr>
        <w:tc>
          <w:tcPr>
            <w:tcW w:type="dxa" w:w="1694"/>
            <w:vAlign w:val="top"/>
          </w:tcPr>
          <w:p>
            <w:pPr>
              <w:spacing w:after="0"/>
            </w:pPr>
            <w:r/>
            <w:r>
              <w:rPr>
                <w:rFonts w:ascii="Aptos" w:hAnsi="Aptos"/>
                <w:b w:val="0"/>
                <w:sz w:val="14"/>
              </w:rPr>
              <w:t>PR001</w:t>
            </w:r>
          </w:p>
        </w:tc>
        <w:tc>
          <w:tcPr>
            <w:tcW w:type="dxa" w:w="1694"/>
            <w:vAlign w:val="top"/>
          </w:tcPr>
          <w:p>
            <w:pPr>
              <w:spacing w:after="0"/>
            </w:pPr>
            <w:r/>
            <w:r>
              <w:rPr>
                <w:rFonts w:ascii="Aptos" w:hAnsi="Aptos"/>
                <w:b w:val="0"/>
                <w:sz w:val="14"/>
              </w:rPr>
              <w:t>procedure</w:t>
            </w:r>
          </w:p>
        </w:tc>
        <w:tc>
          <w:tcPr>
            <w:tcW w:type="dxa" w:w="1694"/>
            <w:vAlign w:val="top"/>
          </w:tcPr>
          <w:p>
            <w:pPr>
              <w:spacing w:after="0"/>
            </w:pPr>
            <w:r/>
            <w:r>
              <w:rPr>
                <w:rFonts w:ascii="Aptos" w:hAnsi="Aptos"/>
                <w:b w:val="0"/>
                <w:sz w:val="14"/>
              </w:rPr>
              <w:t>Epilepsy-related procedure/intervention</w:t>
            </w:r>
          </w:p>
        </w:tc>
        <w:tc>
          <w:tcPr>
            <w:tcW w:type="dxa" w:w="1694"/>
            <w:vAlign w:val="top"/>
          </w:tcPr>
          <w:p>
            <w:pPr>
              <w:spacing w:after="0"/>
            </w:pPr>
            <w:r/>
            <w:r>
              <w:rPr>
                <w:rFonts w:ascii="Aptos" w:hAnsi="Aptos"/>
                <w:b w:val="0"/>
                <w:sz w:val="14"/>
              </w:rPr>
              <w:t>repeatable object</w:t>
            </w:r>
          </w:p>
        </w:tc>
        <w:tc>
          <w:tcPr>
            <w:tcW w:type="dxa" w:w="1694"/>
            <w:vAlign w:val="top"/>
          </w:tcPr>
          <w:p>
            <w:pPr>
              <w:spacing w:after="0"/>
            </w:pPr>
            <w:r/>
            <w:r>
              <w:rPr>
                <w:rFonts w:ascii="Aptos" w:hAnsi="Aptos"/>
                <w:b w:val="0"/>
                <w:sz w:val="14"/>
              </w:rPr>
              <w:t>SEEG/resection/ablation/VNS/RNS/DBS/other</w:t>
            </w:r>
          </w:p>
        </w:tc>
        <w:tc>
          <w:tcPr>
            <w:tcW w:type="dxa" w:w="1694"/>
            <w:vAlign w:val="top"/>
          </w:tcPr>
          <w:p>
            <w:pPr>
              <w:spacing w:after="0"/>
            </w:pPr>
            <w:r/>
            <w:r>
              <w:rPr>
                <w:rFonts w:ascii="Aptos" w:hAnsi="Aptos"/>
                <w:b w:val="0"/>
                <w:sz w:val="14"/>
              </w:rPr>
              <w:t>MEDAI-PROPOSED normalization; SNOMED mapping where verified</w:t>
            </w:r>
          </w:p>
        </w:tc>
      </w:tr>
      <w:tr>
        <w:tc>
          <w:tcPr>
            <w:tcW w:type="dxa" w:w="1694"/>
            <w:vAlign w:val="top"/>
          </w:tcPr>
          <w:p>
            <w:pPr>
              <w:spacing w:after="0"/>
            </w:pPr>
            <w:r/>
            <w:r>
              <w:rPr>
                <w:rFonts w:ascii="Aptos" w:hAnsi="Aptos"/>
                <w:b w:val="0"/>
                <w:sz w:val="14"/>
              </w:rPr>
              <w:t>OUT001</w:t>
            </w:r>
          </w:p>
        </w:tc>
        <w:tc>
          <w:tcPr>
            <w:tcW w:type="dxa" w:w="1694"/>
            <w:vAlign w:val="top"/>
          </w:tcPr>
          <w:p>
            <w:pPr>
              <w:spacing w:after="0"/>
            </w:pPr>
            <w:r/>
            <w:r>
              <w:rPr>
                <w:rFonts w:ascii="Aptos" w:hAnsi="Aptos"/>
                <w:b w:val="0"/>
                <w:sz w:val="14"/>
              </w:rPr>
              <w:t>seizure_freedom</w:t>
            </w:r>
          </w:p>
        </w:tc>
        <w:tc>
          <w:tcPr>
            <w:tcW w:type="dxa" w:w="1694"/>
            <w:vAlign w:val="top"/>
          </w:tcPr>
          <w:p>
            <w:pPr>
              <w:spacing w:after="0"/>
            </w:pPr>
            <w:r/>
            <w:r>
              <w:rPr>
                <w:rFonts w:ascii="Aptos" w:hAnsi="Aptos"/>
                <w:b w:val="0"/>
                <w:sz w:val="14"/>
              </w:rPr>
              <w:t>Documented seizure-free status</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yes/no/uncertain + interval</w:t>
            </w:r>
          </w:p>
        </w:tc>
        <w:tc>
          <w:tcPr>
            <w:tcW w:type="dxa" w:w="1694"/>
            <w:vAlign w:val="top"/>
          </w:tcPr>
          <w:p>
            <w:pPr>
              <w:spacing w:after="0"/>
            </w:pPr>
            <w:r/>
            <w:r>
              <w:rPr>
                <w:rFonts w:ascii="Aptos" w:hAnsi="Aptos"/>
                <w:b w:val="0"/>
                <w:sz w:val="14"/>
              </w:rPr>
              <w:t>MEDAI-PROPOSED</w:t>
            </w:r>
          </w:p>
        </w:tc>
      </w:tr>
      <w:tr>
        <w:tc>
          <w:tcPr>
            <w:tcW w:type="dxa" w:w="1694"/>
            <w:vAlign w:val="top"/>
          </w:tcPr>
          <w:p>
            <w:pPr>
              <w:spacing w:after="0"/>
            </w:pPr>
            <w:r/>
            <w:r>
              <w:rPr>
                <w:rFonts w:ascii="Aptos" w:hAnsi="Aptos"/>
                <w:b w:val="0"/>
                <w:sz w:val="14"/>
              </w:rPr>
              <w:t>OUT002</w:t>
            </w:r>
          </w:p>
        </w:tc>
        <w:tc>
          <w:tcPr>
            <w:tcW w:type="dxa" w:w="1694"/>
            <w:vAlign w:val="top"/>
          </w:tcPr>
          <w:p>
            <w:pPr>
              <w:spacing w:after="0"/>
            </w:pPr>
            <w:r/>
            <w:r>
              <w:rPr>
                <w:rFonts w:ascii="Aptos" w:hAnsi="Aptos"/>
                <w:b w:val="0"/>
                <w:sz w:val="14"/>
              </w:rPr>
              <w:t>engel_outcome</w:t>
            </w:r>
          </w:p>
        </w:tc>
        <w:tc>
          <w:tcPr>
            <w:tcW w:type="dxa" w:w="1694"/>
            <w:vAlign w:val="top"/>
          </w:tcPr>
          <w:p>
            <w:pPr>
              <w:spacing w:after="0"/>
            </w:pPr>
            <w:r/>
            <w:r>
              <w:rPr>
                <w:rFonts w:ascii="Aptos" w:hAnsi="Aptos"/>
                <w:b w:val="0"/>
                <w:sz w:val="14"/>
              </w:rPr>
              <w:t>Documented Engel class</w:t>
            </w:r>
          </w:p>
        </w:tc>
        <w:tc>
          <w:tcPr>
            <w:tcW w:type="dxa" w:w="1694"/>
            <w:vAlign w:val="top"/>
          </w:tcPr>
          <w:p>
            <w:pPr>
              <w:spacing w:after="0"/>
            </w:pPr>
            <w:r/>
            <w:r>
              <w:rPr>
                <w:rFonts w:ascii="Aptos" w:hAnsi="Aptos"/>
                <w:b w:val="0"/>
                <w:sz w:val="14"/>
              </w:rPr>
              <w:t>coded text</w:t>
            </w:r>
          </w:p>
        </w:tc>
        <w:tc>
          <w:tcPr>
            <w:tcW w:type="dxa" w:w="1694"/>
            <w:vAlign w:val="top"/>
          </w:tcPr>
          <w:p>
            <w:pPr>
              <w:spacing w:after="0"/>
            </w:pPr>
            <w:r/>
            <w:r>
              <w:rPr>
                <w:rFonts w:ascii="Aptos" w:hAnsi="Aptos"/>
                <w:b w:val="0"/>
                <w:sz w:val="14"/>
              </w:rPr>
              <w:t>store only when explicitly documented or separately adjudicated</w:t>
            </w:r>
          </w:p>
        </w:tc>
        <w:tc>
          <w:tcPr>
            <w:tcW w:type="dxa" w:w="1694"/>
            <w:vAlign w:val="top"/>
          </w:tcPr>
          <w:p>
            <w:pPr>
              <w:spacing w:after="0"/>
            </w:pPr>
            <w:r/>
            <w:r>
              <w:rPr>
                <w:rFonts w:ascii="Aptos" w:hAnsi="Aptos"/>
                <w:b w:val="0"/>
                <w:sz w:val="14"/>
              </w:rPr>
              <w:t>Established outcome scale; not auto-derived in v1</w:t>
            </w:r>
          </w:p>
        </w:tc>
      </w:tr>
      <w:tr>
        <w:tc>
          <w:tcPr>
            <w:tcW w:type="dxa" w:w="1694"/>
            <w:vAlign w:val="top"/>
          </w:tcPr>
          <w:p>
            <w:pPr>
              <w:spacing w:after="0"/>
            </w:pPr>
            <w:r/>
            <w:r>
              <w:rPr>
                <w:rFonts w:ascii="Aptos" w:hAnsi="Aptos"/>
                <w:b w:val="0"/>
                <w:sz w:val="14"/>
              </w:rPr>
              <w:t>OUT003</w:t>
            </w:r>
          </w:p>
        </w:tc>
        <w:tc>
          <w:tcPr>
            <w:tcW w:type="dxa" w:w="1694"/>
            <w:vAlign w:val="top"/>
          </w:tcPr>
          <w:p>
            <w:pPr>
              <w:spacing w:after="0"/>
            </w:pPr>
            <w:r/>
            <w:r>
              <w:rPr>
                <w:rFonts w:ascii="Aptos" w:hAnsi="Aptos"/>
                <w:b w:val="0"/>
                <w:sz w:val="14"/>
              </w:rPr>
              <w:t>ilae_surgical_outcome</w:t>
            </w:r>
          </w:p>
        </w:tc>
        <w:tc>
          <w:tcPr>
            <w:tcW w:type="dxa" w:w="1694"/>
            <w:vAlign w:val="top"/>
          </w:tcPr>
          <w:p>
            <w:pPr>
              <w:spacing w:after="0"/>
            </w:pPr>
            <w:r/>
            <w:r>
              <w:rPr>
                <w:rFonts w:ascii="Aptos" w:hAnsi="Aptos"/>
                <w:b w:val="0"/>
                <w:sz w:val="14"/>
              </w:rPr>
              <w:t>Documented ILAE surgical outcome</w:t>
            </w:r>
          </w:p>
        </w:tc>
        <w:tc>
          <w:tcPr>
            <w:tcW w:type="dxa" w:w="1694"/>
            <w:vAlign w:val="top"/>
          </w:tcPr>
          <w:p>
            <w:pPr>
              <w:spacing w:after="0"/>
            </w:pPr>
            <w:r/>
            <w:r>
              <w:rPr>
                <w:rFonts w:ascii="Aptos" w:hAnsi="Aptos"/>
                <w:b w:val="0"/>
                <w:sz w:val="14"/>
              </w:rPr>
              <w:t>coded text</w:t>
            </w:r>
          </w:p>
        </w:tc>
        <w:tc>
          <w:tcPr>
            <w:tcW w:type="dxa" w:w="1694"/>
            <w:vAlign w:val="top"/>
          </w:tcPr>
          <w:p>
            <w:pPr>
              <w:spacing w:after="0"/>
            </w:pPr>
            <w:r/>
            <w:r>
              <w:rPr>
                <w:rFonts w:ascii="Aptos" w:hAnsi="Aptos"/>
                <w:b w:val="0"/>
                <w:sz w:val="14"/>
              </w:rPr>
              <w:t>store only when explicitly documented or separately adjudicated</w:t>
            </w:r>
          </w:p>
        </w:tc>
        <w:tc>
          <w:tcPr>
            <w:tcW w:type="dxa" w:w="1694"/>
            <w:vAlign w:val="top"/>
          </w:tcPr>
          <w:p>
            <w:pPr>
              <w:spacing w:after="0"/>
            </w:pPr>
            <w:r/>
            <w:r>
              <w:rPr>
                <w:rFonts w:ascii="Aptos" w:hAnsi="Aptos"/>
                <w:b w:val="0"/>
                <w:sz w:val="14"/>
              </w:rPr>
              <w:t>ILAE outcome terminology; not auto-derived in v1</w:t>
            </w:r>
          </w:p>
        </w:tc>
      </w:tr>
      <w:tr>
        <w:tc>
          <w:tcPr>
            <w:tcW w:type="dxa" w:w="1694"/>
            <w:vAlign w:val="top"/>
          </w:tcPr>
          <w:p>
            <w:pPr>
              <w:spacing w:after="0"/>
            </w:pPr>
            <w:r/>
            <w:r>
              <w:rPr>
                <w:rFonts w:ascii="Aptos" w:hAnsi="Aptos"/>
                <w:b w:val="0"/>
                <w:sz w:val="14"/>
              </w:rPr>
              <w:t>SYN001</w:t>
            </w:r>
          </w:p>
        </w:tc>
        <w:tc>
          <w:tcPr>
            <w:tcW w:type="dxa" w:w="1694"/>
            <w:vAlign w:val="top"/>
          </w:tcPr>
          <w:p>
            <w:pPr>
              <w:spacing w:after="0"/>
            </w:pPr>
            <w:r/>
            <w:r>
              <w:rPr>
                <w:rFonts w:ascii="Aptos" w:hAnsi="Aptos"/>
                <w:b w:val="0"/>
                <w:sz w:val="14"/>
              </w:rPr>
              <w:t>clinical_localization</w:t>
            </w:r>
          </w:p>
        </w:tc>
        <w:tc>
          <w:tcPr>
            <w:tcW w:type="dxa" w:w="1694"/>
            <w:vAlign w:val="top"/>
          </w:tcPr>
          <w:p>
            <w:pPr>
              <w:spacing w:after="0"/>
            </w:pPr>
            <w:r/>
            <w:r>
              <w:rPr>
                <w:rFonts w:ascii="Aptos" w:hAnsi="Aptos"/>
                <w:b w:val="0"/>
                <w:sz w:val="14"/>
              </w:rPr>
              <w:t>Clinician's localization hypothesis</w:t>
            </w:r>
          </w:p>
        </w:tc>
        <w:tc>
          <w:tcPr>
            <w:tcW w:type="dxa" w:w="1694"/>
            <w:vAlign w:val="top"/>
          </w:tcPr>
          <w:p>
            <w:pPr>
              <w:spacing w:after="0"/>
            </w:pPr>
            <w:r/>
            <w:r>
              <w:rPr>
                <w:rFonts w:ascii="Aptos" w:hAnsi="Aptos"/>
                <w:b w:val="0"/>
                <w:sz w:val="14"/>
              </w:rPr>
              <w:t>coded text</w:t>
            </w:r>
          </w:p>
        </w:tc>
        <w:tc>
          <w:tcPr>
            <w:tcW w:type="dxa" w:w="1694"/>
            <w:vAlign w:val="top"/>
          </w:tcPr>
          <w:p>
            <w:pPr>
              <w:spacing w:after="0"/>
            </w:pPr>
            <w:r/>
            <w:r>
              <w:rPr>
                <w:rFonts w:ascii="Aptos" w:hAnsi="Aptos"/>
                <w:b w:val="0"/>
                <w:sz w:val="14"/>
              </w:rPr>
              <w:t>anatomy/laterality/certainty</w:t>
            </w:r>
          </w:p>
        </w:tc>
        <w:tc>
          <w:tcPr>
            <w:tcW w:type="dxa" w:w="1694"/>
            <w:vAlign w:val="top"/>
          </w:tcPr>
          <w:p>
            <w:pPr>
              <w:spacing w:after="0"/>
            </w:pPr>
            <w:r/>
            <w:r>
              <w:rPr>
                <w:rFonts w:ascii="Aptos" w:hAnsi="Aptos"/>
                <w:b w:val="0"/>
                <w:sz w:val="14"/>
              </w:rPr>
              <w:t>MEDAI-PROPOSED</w:t>
            </w:r>
          </w:p>
        </w:tc>
      </w:tr>
      <w:tr>
        <w:tc>
          <w:tcPr>
            <w:tcW w:type="dxa" w:w="1694"/>
            <w:vAlign w:val="top"/>
          </w:tcPr>
          <w:p>
            <w:pPr>
              <w:spacing w:after="0"/>
            </w:pPr>
            <w:r/>
            <w:r>
              <w:rPr>
                <w:rFonts w:ascii="Aptos" w:hAnsi="Aptos"/>
                <w:b w:val="0"/>
                <w:sz w:val="14"/>
              </w:rPr>
              <w:t>SYN002</w:t>
            </w:r>
          </w:p>
        </w:tc>
        <w:tc>
          <w:tcPr>
            <w:tcW w:type="dxa" w:w="1694"/>
            <w:vAlign w:val="top"/>
          </w:tcPr>
          <w:p>
            <w:pPr>
              <w:spacing w:after="0"/>
            </w:pPr>
            <w:r/>
            <w:r>
              <w:rPr>
                <w:rFonts w:ascii="Aptos" w:hAnsi="Aptos"/>
                <w:b w:val="0"/>
                <w:sz w:val="14"/>
              </w:rPr>
              <w:t>multimodal_concordance</w:t>
            </w:r>
          </w:p>
        </w:tc>
        <w:tc>
          <w:tcPr>
            <w:tcW w:type="dxa" w:w="1694"/>
            <w:vAlign w:val="top"/>
          </w:tcPr>
          <w:p>
            <w:pPr>
              <w:spacing w:after="0"/>
            </w:pPr>
            <w:r/>
            <w:r>
              <w:rPr>
                <w:rFonts w:ascii="Aptos" w:hAnsi="Aptos"/>
                <w:b w:val="0"/>
                <w:sz w:val="14"/>
              </w:rPr>
              <w:t>Derived agreement among selected modalities</w:t>
            </w:r>
          </w:p>
        </w:tc>
        <w:tc>
          <w:tcPr>
            <w:tcW w:type="dxa" w:w="1694"/>
            <w:vAlign w:val="top"/>
          </w:tcPr>
          <w:p>
            <w:pPr>
              <w:spacing w:after="0"/>
            </w:pPr>
            <w:r/>
            <w:r>
              <w:rPr>
                <w:rFonts w:ascii="Aptos" w:hAnsi="Aptos"/>
                <w:b w:val="0"/>
                <w:sz w:val="14"/>
              </w:rPr>
              <w:t>categorical</w:t>
            </w:r>
          </w:p>
        </w:tc>
        <w:tc>
          <w:tcPr>
            <w:tcW w:type="dxa" w:w="1694"/>
            <w:vAlign w:val="top"/>
          </w:tcPr>
          <w:p>
            <w:pPr>
              <w:spacing w:after="0"/>
            </w:pPr>
            <w:r/>
            <w:r>
              <w:rPr>
                <w:rFonts w:ascii="Aptos" w:hAnsi="Aptos"/>
                <w:b w:val="0"/>
                <w:sz w:val="14"/>
              </w:rPr>
              <w:t>concordant/partially_concordant/discordant/insufficient</w:t>
            </w:r>
          </w:p>
        </w:tc>
        <w:tc>
          <w:tcPr>
            <w:tcW w:type="dxa" w:w="1694"/>
            <w:vAlign w:val="top"/>
          </w:tcPr>
          <w:p>
            <w:pPr>
              <w:spacing w:after="0"/>
            </w:pPr>
            <w:r/>
            <w:r>
              <w:rPr>
                <w:rFonts w:ascii="Aptos" w:hAnsi="Aptos"/>
                <w:b w:val="0"/>
                <w:sz w:val="14"/>
              </w:rPr>
              <w:t>MEDAI-PROPOSED; rule must be versioned</w:t>
            </w:r>
          </w:p>
        </w:tc>
      </w:tr>
    </w:tbl>
    <w:p/>
    <w:p>
      <w:pPr>
        <w:pStyle w:val="Heading1"/>
      </w:pPr>
      <w:r>
        <w:t>6. NINDS CDE traceability framework</w:t>
      </w:r>
    </w:p>
    <w:p>
      <w:r>
        <w:t>NINDS states that epilepsy data standards include CDEs classified as Core, Supplemental–Highly Recommended, Supplemental, or Exploratory, together with CRF modules and guidance [S6]. This document does not invent NINDS element identifiers that have not been individually verified. Instead, v1 requires a controlled traceability process before a MedAI field is labeled as a direct NINDS CDE mapping.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pPr>
              <w:spacing w:after="0"/>
            </w:pPr>
            <w:r/>
            <w:r>
              <w:rPr>
                <w:rFonts w:ascii="Aptos" w:hAnsi="Aptos"/>
                <w:b/>
                <w:sz w:val="15"/>
              </w:rPr>
              <w:t>MedAI domain</w:t>
            </w:r>
          </w:p>
        </w:tc>
        <w:tc>
          <w:tcPr>
            <w:tcW w:type="dxa" w:w="2541"/>
            <w:shd w:fill="D9EAF7"/>
          </w:tcPr>
          <w:p>
            <w:pPr>
              <w:spacing w:after="0"/>
            </w:pPr>
            <w:r/>
            <w:r>
              <w:rPr>
                <w:rFonts w:ascii="Aptos" w:hAnsi="Aptos"/>
                <w:b/>
                <w:sz w:val="15"/>
              </w:rPr>
              <w:t>Expected NINDS relationship</w:t>
            </w:r>
          </w:p>
        </w:tc>
        <w:tc>
          <w:tcPr>
            <w:tcW w:type="dxa" w:w="2541"/>
            <w:shd w:fill="D9EAF7"/>
          </w:tcPr>
          <w:p>
            <w:pPr>
              <w:spacing w:after="0"/>
            </w:pPr>
            <w:r/>
            <w:r>
              <w:rPr>
                <w:rFonts w:ascii="Aptos" w:hAnsi="Aptos"/>
                <w:b/>
                <w:sz w:val="15"/>
              </w:rPr>
              <w:t>Extractability class</w:t>
            </w:r>
          </w:p>
        </w:tc>
        <w:tc>
          <w:tcPr>
            <w:tcW w:type="dxa" w:w="2541"/>
            <w:shd w:fill="D9EAF7"/>
          </w:tcPr>
          <w:p>
            <w:pPr>
              <w:spacing w:after="0"/>
            </w:pPr>
            <w:r/>
            <w:r>
              <w:rPr>
                <w:rFonts w:ascii="Aptos" w:hAnsi="Aptos"/>
                <w:b/>
                <w:sz w:val="15"/>
              </w:rPr>
              <w:t>Action before release</w:t>
            </w:r>
          </w:p>
        </w:tc>
      </w:tr>
      <w:tr>
        <w:tc>
          <w:tcPr>
            <w:tcW w:type="dxa" w:w="2541"/>
            <w:vAlign w:val="top"/>
          </w:tcPr>
          <w:p>
            <w:pPr>
              <w:spacing w:after="0"/>
            </w:pPr>
            <w:r/>
            <w:r>
              <w:rPr>
                <w:rFonts w:ascii="Aptos" w:hAnsi="Aptos"/>
                <w:b w:val="0"/>
                <w:sz w:val="14"/>
              </w:rPr>
              <w:t>Diagnosis/classification</w:t>
            </w:r>
          </w:p>
        </w:tc>
        <w:tc>
          <w:tcPr>
            <w:tcW w:type="dxa" w:w="2541"/>
            <w:vAlign w:val="top"/>
          </w:tcPr>
          <w:p>
            <w:pPr>
              <w:spacing w:after="0"/>
            </w:pPr>
            <w:r/>
            <w:r>
              <w:rPr>
                <w:rFonts w:ascii="Aptos" w:hAnsi="Aptos"/>
                <w:b w:val="0"/>
                <w:sz w:val="14"/>
              </w:rPr>
              <w:t>Likely overlap with epilepsy history/diagnosis modules</w:t>
            </w:r>
          </w:p>
        </w:tc>
        <w:tc>
          <w:tcPr>
            <w:tcW w:type="dxa" w:w="2541"/>
            <w:vAlign w:val="top"/>
          </w:tcPr>
          <w:p>
            <w:pPr>
              <w:spacing w:after="0"/>
            </w:pPr>
            <w:r/>
            <w:r>
              <w:rPr>
                <w:rFonts w:ascii="Aptos" w:hAnsi="Aptos"/>
                <w:b w:val="0"/>
                <w:sz w:val="14"/>
              </w:rPr>
              <w:t>DIRECT/NORMALIZED</w:t>
            </w:r>
          </w:p>
        </w:tc>
        <w:tc>
          <w:tcPr>
            <w:tcW w:type="dxa" w:w="2541"/>
            <w:vAlign w:val="top"/>
          </w:tcPr>
          <w:p>
            <w:pPr>
              <w:spacing w:after="0"/>
            </w:pPr>
            <w:r/>
            <w:r>
              <w:rPr>
                <w:rFonts w:ascii="Aptos" w:hAnsi="Aptos"/>
                <w:b w:val="0"/>
                <w:sz w:val="14"/>
              </w:rPr>
              <w:t>Verify exact CDE name/ID/version in NINDS registry.</w:t>
            </w:r>
          </w:p>
        </w:tc>
      </w:tr>
      <w:tr>
        <w:tc>
          <w:tcPr>
            <w:tcW w:type="dxa" w:w="2541"/>
            <w:vAlign w:val="top"/>
          </w:tcPr>
          <w:p>
            <w:pPr>
              <w:spacing w:after="0"/>
            </w:pPr>
            <w:r/>
            <w:r>
              <w:rPr>
                <w:rFonts w:ascii="Aptos" w:hAnsi="Aptos"/>
                <w:b w:val="0"/>
                <w:sz w:val="14"/>
              </w:rPr>
              <w:t>Seizure history/frequency</w:t>
            </w:r>
          </w:p>
        </w:tc>
        <w:tc>
          <w:tcPr>
            <w:tcW w:type="dxa" w:w="2541"/>
            <w:vAlign w:val="top"/>
          </w:tcPr>
          <w:p>
            <w:pPr>
              <w:spacing w:after="0"/>
            </w:pPr>
            <w:r/>
            <w:r>
              <w:rPr>
                <w:rFonts w:ascii="Aptos" w:hAnsi="Aptos"/>
                <w:b w:val="0"/>
                <w:sz w:val="14"/>
              </w:rPr>
              <w:t>Likely overlap with seizure history/frequency CRFs</w:t>
            </w:r>
          </w:p>
        </w:tc>
        <w:tc>
          <w:tcPr>
            <w:tcW w:type="dxa" w:w="2541"/>
            <w:vAlign w:val="top"/>
          </w:tcPr>
          <w:p>
            <w:pPr>
              <w:spacing w:after="0"/>
            </w:pPr>
            <w:r/>
            <w:r>
              <w:rPr>
                <w:rFonts w:ascii="Aptos" w:hAnsi="Aptos"/>
                <w:b w:val="0"/>
                <w:sz w:val="14"/>
              </w:rPr>
              <w:t>DIRECT/NORMALIZED</w:t>
            </w:r>
          </w:p>
        </w:tc>
        <w:tc>
          <w:tcPr>
            <w:tcW w:type="dxa" w:w="2541"/>
            <w:vAlign w:val="top"/>
          </w:tcPr>
          <w:p>
            <w:pPr>
              <w:spacing w:after="0"/>
            </w:pPr>
            <w:r/>
            <w:r>
              <w:rPr>
                <w:rFonts w:ascii="Aptos" w:hAnsi="Aptos"/>
                <w:b w:val="0"/>
                <w:sz w:val="14"/>
              </w:rPr>
              <w:t>Verify exact CDEs and response definitions.</w:t>
            </w:r>
          </w:p>
        </w:tc>
      </w:tr>
      <w:tr>
        <w:tc>
          <w:tcPr>
            <w:tcW w:type="dxa" w:w="2541"/>
            <w:vAlign w:val="top"/>
          </w:tcPr>
          <w:p>
            <w:pPr>
              <w:spacing w:after="0"/>
            </w:pPr>
            <w:r/>
            <w:r>
              <w:rPr>
                <w:rFonts w:ascii="Aptos" w:hAnsi="Aptos"/>
                <w:b w:val="0"/>
                <w:sz w:val="14"/>
              </w:rPr>
              <w:t>Medication history</w:t>
            </w:r>
          </w:p>
        </w:tc>
        <w:tc>
          <w:tcPr>
            <w:tcW w:type="dxa" w:w="2541"/>
            <w:vAlign w:val="top"/>
          </w:tcPr>
          <w:p>
            <w:pPr>
              <w:spacing w:after="0"/>
            </w:pPr>
            <w:r/>
            <w:r>
              <w:rPr>
                <w:rFonts w:ascii="Aptos" w:hAnsi="Aptos"/>
                <w:b w:val="0"/>
                <w:sz w:val="14"/>
              </w:rPr>
              <w:t>Likely overlap with treatment/medication modules</w:t>
            </w:r>
          </w:p>
        </w:tc>
        <w:tc>
          <w:tcPr>
            <w:tcW w:type="dxa" w:w="2541"/>
            <w:vAlign w:val="top"/>
          </w:tcPr>
          <w:p>
            <w:pPr>
              <w:spacing w:after="0"/>
            </w:pPr>
            <w:r/>
            <w:r>
              <w:rPr>
                <w:rFonts w:ascii="Aptos" w:hAnsi="Aptos"/>
                <w:b w:val="0"/>
                <w:sz w:val="14"/>
              </w:rPr>
              <w:t>DIRECT + structured EHR may help</w:t>
            </w:r>
          </w:p>
        </w:tc>
        <w:tc>
          <w:tcPr>
            <w:tcW w:type="dxa" w:w="2541"/>
            <w:vAlign w:val="top"/>
          </w:tcPr>
          <w:p>
            <w:pPr>
              <w:spacing w:after="0"/>
            </w:pPr>
            <w:r/>
            <w:r>
              <w:rPr>
                <w:rFonts w:ascii="Aptos" w:hAnsi="Aptos"/>
                <w:b w:val="0"/>
                <w:sz w:val="14"/>
              </w:rPr>
              <w:t>Map drug identity separately through RxNorm.</w:t>
            </w:r>
          </w:p>
        </w:tc>
      </w:tr>
      <w:tr>
        <w:tc>
          <w:tcPr>
            <w:tcW w:type="dxa" w:w="2541"/>
            <w:vAlign w:val="top"/>
          </w:tcPr>
          <w:p>
            <w:pPr>
              <w:spacing w:after="0"/>
            </w:pPr>
            <w:r/>
            <w:r>
              <w:rPr>
                <w:rFonts w:ascii="Aptos" w:hAnsi="Aptos"/>
                <w:b w:val="0"/>
                <w:sz w:val="14"/>
              </w:rPr>
              <w:t>EEG/investigations</w:t>
            </w:r>
          </w:p>
        </w:tc>
        <w:tc>
          <w:tcPr>
            <w:tcW w:type="dxa" w:w="2541"/>
            <w:vAlign w:val="top"/>
          </w:tcPr>
          <w:p>
            <w:pPr>
              <w:spacing w:after="0"/>
            </w:pPr>
            <w:r/>
            <w:r>
              <w:rPr>
                <w:rFonts w:ascii="Aptos" w:hAnsi="Aptos"/>
                <w:b w:val="0"/>
                <w:sz w:val="14"/>
              </w:rPr>
              <w:t>Likely overlap with diagnostic investigations</w:t>
            </w:r>
          </w:p>
        </w:tc>
        <w:tc>
          <w:tcPr>
            <w:tcW w:type="dxa" w:w="2541"/>
            <w:vAlign w:val="top"/>
          </w:tcPr>
          <w:p>
            <w:pPr>
              <w:spacing w:after="0"/>
            </w:pPr>
            <w:r/>
            <w:r>
              <w:rPr>
                <w:rFonts w:ascii="Aptos" w:hAnsi="Aptos"/>
                <w:b w:val="0"/>
                <w:sz w:val="14"/>
              </w:rPr>
              <w:t>DIRECT/NORMALIZED</w:t>
            </w:r>
          </w:p>
        </w:tc>
        <w:tc>
          <w:tcPr>
            <w:tcW w:type="dxa" w:w="2541"/>
            <w:vAlign w:val="top"/>
          </w:tcPr>
          <w:p>
            <w:pPr>
              <w:spacing w:after="0"/>
            </w:pPr>
            <w:r/>
            <w:r>
              <w:rPr>
                <w:rFonts w:ascii="Aptos" w:hAnsi="Aptos"/>
                <w:b w:val="0"/>
                <w:sz w:val="14"/>
              </w:rPr>
              <w:t>Verify exact NINDS fields; preserve report-level details in MedAI.</w:t>
            </w:r>
          </w:p>
        </w:tc>
      </w:tr>
      <w:tr>
        <w:tc>
          <w:tcPr>
            <w:tcW w:type="dxa" w:w="2541"/>
            <w:vAlign w:val="top"/>
          </w:tcPr>
          <w:p>
            <w:pPr>
              <w:spacing w:after="0"/>
            </w:pPr>
            <w:r/>
            <w:r>
              <w:rPr>
                <w:rFonts w:ascii="Aptos" w:hAnsi="Aptos"/>
                <w:b w:val="0"/>
                <w:sz w:val="14"/>
              </w:rPr>
              <w:t>MRI/neuroimaging</w:t>
            </w:r>
          </w:p>
        </w:tc>
        <w:tc>
          <w:tcPr>
            <w:tcW w:type="dxa" w:w="2541"/>
            <w:vAlign w:val="top"/>
          </w:tcPr>
          <w:p>
            <w:pPr>
              <w:spacing w:after="0"/>
            </w:pPr>
            <w:r/>
            <w:r>
              <w:rPr>
                <w:rFonts w:ascii="Aptos" w:hAnsi="Aptos"/>
                <w:b w:val="0"/>
                <w:sz w:val="14"/>
              </w:rPr>
              <w:t>Likely overlap with imaging/investigations</w:t>
            </w:r>
          </w:p>
        </w:tc>
        <w:tc>
          <w:tcPr>
            <w:tcW w:type="dxa" w:w="2541"/>
            <w:vAlign w:val="top"/>
          </w:tcPr>
          <w:p>
            <w:pPr>
              <w:spacing w:after="0"/>
            </w:pPr>
            <w:r/>
            <w:r>
              <w:rPr>
                <w:rFonts w:ascii="Aptos" w:hAnsi="Aptos"/>
                <w:b w:val="0"/>
                <w:sz w:val="14"/>
              </w:rPr>
              <w:t>DIRECT/NORMALIZED</w:t>
            </w:r>
          </w:p>
        </w:tc>
        <w:tc>
          <w:tcPr>
            <w:tcW w:type="dxa" w:w="2541"/>
            <w:vAlign w:val="top"/>
          </w:tcPr>
          <w:p>
            <w:pPr>
              <w:spacing w:after="0"/>
            </w:pPr>
            <w:r/>
            <w:r>
              <w:rPr>
                <w:rFonts w:ascii="Aptos" w:hAnsi="Aptos"/>
                <w:b w:val="0"/>
                <w:sz w:val="14"/>
              </w:rPr>
              <w:t>Do not claim NINDS mapping until exact element is verified.</w:t>
            </w:r>
          </w:p>
        </w:tc>
      </w:tr>
      <w:tr>
        <w:tc>
          <w:tcPr>
            <w:tcW w:type="dxa" w:w="2541"/>
            <w:vAlign w:val="top"/>
          </w:tcPr>
          <w:p>
            <w:pPr>
              <w:spacing w:after="0"/>
            </w:pPr>
            <w:r/>
            <w:r>
              <w:rPr>
                <w:rFonts w:ascii="Aptos" w:hAnsi="Aptos"/>
                <w:b w:val="0"/>
                <w:sz w:val="14"/>
              </w:rPr>
              <w:t>DRE</w:t>
            </w:r>
          </w:p>
        </w:tc>
        <w:tc>
          <w:tcPr>
            <w:tcW w:type="dxa" w:w="2541"/>
            <w:vAlign w:val="top"/>
          </w:tcPr>
          <w:p>
            <w:pPr>
              <w:spacing w:after="0"/>
            </w:pPr>
            <w:r/>
            <w:r>
              <w:rPr>
                <w:rFonts w:ascii="Aptos" w:hAnsi="Aptos"/>
                <w:b w:val="0"/>
                <w:sz w:val="14"/>
              </w:rPr>
              <w:t>May require synthesis beyond a single CDE</w:t>
            </w:r>
          </w:p>
        </w:tc>
        <w:tc>
          <w:tcPr>
            <w:tcW w:type="dxa" w:w="2541"/>
            <w:vAlign w:val="top"/>
          </w:tcPr>
          <w:p>
            <w:pPr>
              <w:spacing w:after="0"/>
            </w:pPr>
            <w:r/>
            <w:r>
              <w:rPr>
                <w:rFonts w:ascii="Aptos" w:hAnsi="Aptos"/>
                <w:b w:val="0"/>
                <w:sz w:val="14"/>
              </w:rPr>
              <w:t>DERIVED</w:t>
            </w:r>
          </w:p>
        </w:tc>
        <w:tc>
          <w:tcPr>
            <w:tcW w:type="dxa" w:w="2541"/>
            <w:vAlign w:val="top"/>
          </w:tcPr>
          <w:p>
            <w:pPr>
              <w:spacing w:after="0"/>
            </w:pPr>
            <w:r/>
            <w:r>
              <w:rPr>
                <w:rFonts w:ascii="Aptos" w:hAnsi="Aptos"/>
                <w:b w:val="0"/>
                <w:sz w:val="14"/>
              </w:rPr>
              <w:t>Use ILAE definition and explicit medication-trial evidence.</w:t>
            </w:r>
          </w:p>
        </w:tc>
      </w:tr>
      <w:tr>
        <w:tc>
          <w:tcPr>
            <w:tcW w:type="dxa" w:w="2541"/>
            <w:vAlign w:val="top"/>
          </w:tcPr>
          <w:p>
            <w:pPr>
              <w:spacing w:after="0"/>
            </w:pPr>
            <w:r/>
            <w:r>
              <w:rPr>
                <w:rFonts w:ascii="Aptos" w:hAnsi="Aptos"/>
                <w:b w:val="0"/>
                <w:sz w:val="14"/>
              </w:rPr>
              <w:t>Concordance</w:t>
            </w:r>
          </w:p>
        </w:tc>
        <w:tc>
          <w:tcPr>
            <w:tcW w:type="dxa" w:w="2541"/>
            <w:vAlign w:val="top"/>
          </w:tcPr>
          <w:p>
            <w:pPr>
              <w:spacing w:after="0"/>
            </w:pPr>
            <w:r/>
            <w:r>
              <w:rPr>
                <w:rFonts w:ascii="Aptos" w:hAnsi="Aptos"/>
                <w:b w:val="0"/>
                <w:sz w:val="14"/>
              </w:rPr>
              <w:t>MedAI research synthesis</w:t>
            </w:r>
          </w:p>
        </w:tc>
        <w:tc>
          <w:tcPr>
            <w:tcW w:type="dxa" w:w="2541"/>
            <w:vAlign w:val="top"/>
          </w:tcPr>
          <w:p>
            <w:pPr>
              <w:spacing w:after="0"/>
            </w:pPr>
            <w:r/>
            <w:r>
              <w:rPr>
                <w:rFonts w:ascii="Aptos" w:hAnsi="Aptos"/>
                <w:b w:val="0"/>
                <w:sz w:val="14"/>
              </w:rPr>
              <w:t>DERIVED</w:t>
            </w:r>
          </w:p>
        </w:tc>
        <w:tc>
          <w:tcPr>
            <w:tcW w:type="dxa" w:w="2541"/>
            <w:vAlign w:val="top"/>
          </w:tcPr>
          <w:p>
            <w:pPr>
              <w:spacing w:after="0"/>
            </w:pPr>
            <w:r/>
            <w:r>
              <w:rPr>
                <w:rFonts w:ascii="Aptos" w:hAnsi="Aptos"/>
                <w:b w:val="0"/>
                <w:sz w:val="14"/>
              </w:rPr>
              <w:t>Not to be represented as NINDS-defined unless a verified CDE exists.</w:t>
            </w:r>
          </w:p>
        </w:tc>
      </w:tr>
      <w:tr>
        <w:tc>
          <w:tcPr>
            <w:tcW w:type="dxa" w:w="2541"/>
            <w:vAlign w:val="top"/>
          </w:tcPr>
          <w:p>
            <w:pPr>
              <w:spacing w:after="0"/>
            </w:pPr>
            <w:r/>
            <w:r>
              <w:rPr>
                <w:rFonts w:ascii="Aptos" w:hAnsi="Aptos"/>
                <w:b w:val="0"/>
                <w:sz w:val="14"/>
              </w:rPr>
              <w:t>Evidence/provenance</w:t>
            </w:r>
          </w:p>
        </w:tc>
        <w:tc>
          <w:tcPr>
            <w:tcW w:type="dxa" w:w="2541"/>
            <w:vAlign w:val="top"/>
          </w:tcPr>
          <w:p>
            <w:pPr>
              <w:spacing w:after="0"/>
            </w:pPr>
            <w:r/>
            <w:r>
              <w:rPr>
                <w:rFonts w:ascii="Aptos" w:hAnsi="Aptos"/>
                <w:b w:val="0"/>
                <w:sz w:val="14"/>
              </w:rPr>
              <w:t>MedAI NLP layer</w:t>
            </w:r>
          </w:p>
        </w:tc>
        <w:tc>
          <w:tcPr>
            <w:tcW w:type="dxa" w:w="2541"/>
            <w:vAlign w:val="top"/>
          </w:tcPr>
          <w:p>
            <w:pPr>
              <w:spacing w:after="0"/>
            </w:pPr>
            <w:r/>
            <w:r>
              <w:rPr>
                <w:rFonts w:ascii="Aptos" w:hAnsi="Aptos"/>
                <w:b w:val="0"/>
                <w:sz w:val="14"/>
              </w:rPr>
              <w:t>MEDAI-only</w:t>
            </w:r>
          </w:p>
        </w:tc>
        <w:tc>
          <w:tcPr>
            <w:tcW w:type="dxa" w:w="2541"/>
            <w:vAlign w:val="top"/>
          </w:tcPr>
          <w:p>
            <w:pPr>
              <w:spacing w:after="0"/>
            </w:pPr>
            <w:r/>
            <w:r>
              <w:rPr>
                <w:rFonts w:ascii="Aptos" w:hAnsi="Aptos"/>
                <w:b w:val="0"/>
                <w:sz w:val="14"/>
              </w:rPr>
              <w:t>No NINDS attribution.</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8"/>
              </w:rPr>
              <w:t>Traceability rule</w:t>
              <w:br/>
            </w:r>
            <w:r>
              <w:rPr>
                <w:sz w:val="17"/>
              </w:rPr>
              <w:t>A crosswalk row may say 'NINDS-aligned' only after recording: NINDS CDE name, unique identifier (if provided), classification, version/revision date, allowed responses, and source URL. Until then, the field remains MedAI-defined even if conceptually similar.</w:t>
            </w:r>
          </w:p>
        </w:tc>
      </w:tr>
    </w:tbl>
    <w:p/>
    <w:p>
      <w:pPr>
        <w:pStyle w:val="Heading1"/>
      </w:pPr>
      <w:r>
        <w:t>7. ILAE / EpSO / terminology crosswalk specification</w:t>
      </w:r>
    </w:p>
    <w:p>
      <w:r>
        <w:t>EpSO's peer-reviewed design explicitly integrated ILAE terminology and NINDS CDEs and supported free-text processing and cohort identification [S5]. The current BioPortal EpSO listing is version 3.1 and describes coverage of seizure types, syndromes, etiology, electrophysiology, medication, neuropathology, and anatomy [S4].</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pPr>
              <w:spacing w:after="0"/>
            </w:pPr>
            <w:r/>
            <w:r>
              <w:rPr>
                <w:rFonts w:ascii="Aptos" w:hAnsi="Aptos"/>
                <w:b/>
                <w:sz w:val="15"/>
              </w:rPr>
              <w:t>Crosswalk field</w:t>
            </w:r>
          </w:p>
        </w:tc>
        <w:tc>
          <w:tcPr>
            <w:tcW w:type="dxa" w:w="5083"/>
            <w:shd w:fill="D9EAF7"/>
          </w:tcPr>
          <w:p>
            <w:pPr>
              <w:spacing w:after="0"/>
            </w:pPr>
            <w:r/>
            <w:r>
              <w:rPr>
                <w:rFonts w:ascii="Aptos" w:hAnsi="Aptos"/>
                <w:b/>
                <w:sz w:val="15"/>
              </w:rPr>
              <w:t>Required content</w:t>
            </w:r>
          </w:p>
        </w:tc>
      </w:tr>
      <w:tr>
        <w:tc>
          <w:tcPr>
            <w:tcW w:type="dxa" w:w="5083"/>
            <w:vAlign w:val="top"/>
          </w:tcPr>
          <w:p>
            <w:pPr>
              <w:spacing w:after="0"/>
            </w:pPr>
            <w:r/>
            <w:r>
              <w:rPr>
                <w:rFonts w:ascii="Aptos" w:hAnsi="Aptos"/>
                <w:b w:val="0"/>
                <w:sz w:val="14"/>
              </w:rPr>
              <w:t>medai_concept_id</w:t>
            </w:r>
          </w:p>
        </w:tc>
        <w:tc>
          <w:tcPr>
            <w:tcW w:type="dxa" w:w="5083"/>
            <w:vAlign w:val="top"/>
          </w:tcPr>
          <w:p>
            <w:pPr>
              <w:spacing w:after="0"/>
            </w:pPr>
            <w:r/>
            <w:r>
              <w:rPr>
                <w:rFonts w:ascii="Aptos" w:hAnsi="Aptos"/>
                <w:b w:val="0"/>
                <w:sz w:val="14"/>
              </w:rPr>
              <w:t>Stable MedAI ID; never reused for a different meaning.</w:t>
            </w:r>
          </w:p>
        </w:tc>
      </w:tr>
      <w:tr>
        <w:tc>
          <w:tcPr>
            <w:tcW w:type="dxa" w:w="5083"/>
            <w:vAlign w:val="top"/>
          </w:tcPr>
          <w:p>
            <w:pPr>
              <w:spacing w:after="0"/>
            </w:pPr>
            <w:r/>
            <w:r>
              <w:rPr>
                <w:rFonts w:ascii="Aptos" w:hAnsi="Aptos"/>
                <w:b w:val="0"/>
                <w:sz w:val="14"/>
              </w:rPr>
              <w:t>medai_label</w:t>
            </w:r>
          </w:p>
        </w:tc>
        <w:tc>
          <w:tcPr>
            <w:tcW w:type="dxa" w:w="5083"/>
            <w:vAlign w:val="top"/>
          </w:tcPr>
          <w:p>
            <w:pPr>
              <w:spacing w:after="0"/>
            </w:pPr>
            <w:r/>
            <w:r>
              <w:rPr>
                <w:rFonts w:ascii="Aptos" w:hAnsi="Aptos"/>
                <w:b w:val="0"/>
                <w:sz w:val="14"/>
              </w:rPr>
              <w:t>Preferred label used in the application schema.</w:t>
            </w:r>
          </w:p>
        </w:tc>
      </w:tr>
      <w:tr>
        <w:tc>
          <w:tcPr>
            <w:tcW w:type="dxa" w:w="5083"/>
            <w:vAlign w:val="top"/>
          </w:tcPr>
          <w:p>
            <w:pPr>
              <w:spacing w:after="0"/>
            </w:pPr>
            <w:r/>
            <w:r>
              <w:rPr>
                <w:rFonts w:ascii="Aptos" w:hAnsi="Aptos"/>
                <w:b w:val="0"/>
                <w:sz w:val="14"/>
              </w:rPr>
              <w:t>source_system</w:t>
            </w:r>
          </w:p>
        </w:tc>
        <w:tc>
          <w:tcPr>
            <w:tcW w:type="dxa" w:w="5083"/>
            <w:vAlign w:val="top"/>
          </w:tcPr>
          <w:p>
            <w:pPr>
              <w:spacing w:after="0"/>
            </w:pPr>
            <w:r/>
            <w:r>
              <w:rPr>
                <w:rFonts w:ascii="Aptos" w:hAnsi="Aptos"/>
                <w:b w:val="0"/>
                <w:sz w:val="14"/>
              </w:rPr>
              <w:t>ILAE / EpSO / SNOMED CT / RxNorm / RadLex / SCORE / ACNS / NINDS.</w:t>
            </w:r>
          </w:p>
        </w:tc>
      </w:tr>
      <w:tr>
        <w:tc>
          <w:tcPr>
            <w:tcW w:type="dxa" w:w="5083"/>
            <w:vAlign w:val="top"/>
          </w:tcPr>
          <w:p>
            <w:pPr>
              <w:spacing w:after="0"/>
            </w:pPr>
            <w:r/>
            <w:r>
              <w:rPr>
                <w:rFonts w:ascii="Aptos" w:hAnsi="Aptos"/>
                <w:b w:val="0"/>
                <w:sz w:val="14"/>
              </w:rPr>
              <w:t>source_concept_id</w:t>
            </w:r>
          </w:p>
        </w:tc>
        <w:tc>
          <w:tcPr>
            <w:tcW w:type="dxa" w:w="5083"/>
            <w:vAlign w:val="top"/>
          </w:tcPr>
          <w:p>
            <w:pPr>
              <w:spacing w:after="0"/>
            </w:pPr>
            <w:r/>
            <w:r>
              <w:rPr>
                <w:rFonts w:ascii="Aptos" w:hAnsi="Aptos"/>
                <w:b w:val="0"/>
                <w:sz w:val="14"/>
              </w:rPr>
              <w:t>Verified external identifier when the source provides one.</w:t>
            </w:r>
          </w:p>
        </w:tc>
      </w:tr>
      <w:tr>
        <w:tc>
          <w:tcPr>
            <w:tcW w:type="dxa" w:w="5083"/>
            <w:vAlign w:val="top"/>
          </w:tcPr>
          <w:p>
            <w:pPr>
              <w:spacing w:after="0"/>
            </w:pPr>
            <w:r/>
            <w:r>
              <w:rPr>
                <w:rFonts w:ascii="Aptos" w:hAnsi="Aptos"/>
                <w:b w:val="0"/>
                <w:sz w:val="14"/>
              </w:rPr>
              <w:t>source_label</w:t>
            </w:r>
          </w:p>
        </w:tc>
        <w:tc>
          <w:tcPr>
            <w:tcW w:type="dxa" w:w="5083"/>
            <w:vAlign w:val="top"/>
          </w:tcPr>
          <w:p>
            <w:pPr>
              <w:spacing w:after="0"/>
            </w:pPr>
            <w:r/>
            <w:r>
              <w:rPr>
                <w:rFonts w:ascii="Aptos" w:hAnsi="Aptos"/>
                <w:b w:val="0"/>
                <w:sz w:val="14"/>
              </w:rPr>
              <w:t>Exact preferred label from source.</w:t>
            </w:r>
          </w:p>
        </w:tc>
      </w:tr>
      <w:tr>
        <w:tc>
          <w:tcPr>
            <w:tcW w:type="dxa" w:w="5083"/>
            <w:vAlign w:val="top"/>
          </w:tcPr>
          <w:p>
            <w:pPr>
              <w:spacing w:after="0"/>
            </w:pPr>
            <w:r/>
            <w:r>
              <w:rPr>
                <w:rFonts w:ascii="Aptos" w:hAnsi="Aptos"/>
                <w:b w:val="0"/>
                <w:sz w:val="14"/>
              </w:rPr>
              <w:t>source_version</w:t>
            </w:r>
          </w:p>
        </w:tc>
        <w:tc>
          <w:tcPr>
            <w:tcW w:type="dxa" w:w="5083"/>
            <w:vAlign w:val="top"/>
          </w:tcPr>
          <w:p>
            <w:pPr>
              <w:spacing w:after="0"/>
            </w:pPr>
            <w:r/>
            <w:r>
              <w:rPr>
                <w:rFonts w:ascii="Aptos" w:hAnsi="Aptos"/>
                <w:b w:val="0"/>
                <w:sz w:val="14"/>
              </w:rPr>
              <w:t>Version/date used.</w:t>
            </w:r>
          </w:p>
        </w:tc>
      </w:tr>
      <w:tr>
        <w:tc>
          <w:tcPr>
            <w:tcW w:type="dxa" w:w="5083"/>
            <w:vAlign w:val="top"/>
          </w:tcPr>
          <w:p>
            <w:pPr>
              <w:spacing w:after="0"/>
            </w:pPr>
            <w:r/>
            <w:r>
              <w:rPr>
                <w:rFonts w:ascii="Aptos" w:hAnsi="Aptos"/>
                <w:b w:val="0"/>
                <w:sz w:val="14"/>
              </w:rPr>
              <w:t>mapping_relation</w:t>
            </w:r>
          </w:p>
        </w:tc>
        <w:tc>
          <w:tcPr>
            <w:tcW w:type="dxa" w:w="5083"/>
            <w:vAlign w:val="top"/>
          </w:tcPr>
          <w:p>
            <w:pPr>
              <w:spacing w:after="0"/>
            </w:pPr>
            <w:r/>
            <w:r>
              <w:rPr>
                <w:rFonts w:ascii="Aptos" w:hAnsi="Aptos"/>
                <w:b w:val="0"/>
                <w:sz w:val="14"/>
              </w:rPr>
              <w:t>exact / narrower / broader / related / local-extension / unresolved.</w:t>
            </w:r>
          </w:p>
        </w:tc>
      </w:tr>
      <w:tr>
        <w:tc>
          <w:tcPr>
            <w:tcW w:type="dxa" w:w="5083"/>
            <w:vAlign w:val="top"/>
          </w:tcPr>
          <w:p>
            <w:pPr>
              <w:spacing w:after="0"/>
            </w:pPr>
            <w:r/>
            <w:r>
              <w:rPr>
                <w:rFonts w:ascii="Aptos" w:hAnsi="Aptos"/>
                <w:b w:val="0"/>
                <w:sz w:val="14"/>
              </w:rPr>
              <w:t>evidence</w:t>
            </w:r>
          </w:p>
        </w:tc>
        <w:tc>
          <w:tcPr>
            <w:tcW w:type="dxa" w:w="5083"/>
            <w:vAlign w:val="top"/>
          </w:tcPr>
          <w:p>
            <w:pPr>
              <w:spacing w:after="0"/>
            </w:pPr>
            <w:r/>
            <w:r>
              <w:rPr>
                <w:rFonts w:ascii="Aptos" w:hAnsi="Aptos"/>
                <w:b w:val="0"/>
                <w:sz w:val="14"/>
              </w:rPr>
              <w:t>URL/DOI/document section used to establish mapping.</w:t>
            </w:r>
          </w:p>
        </w:tc>
      </w:tr>
      <w:tr>
        <w:tc>
          <w:tcPr>
            <w:tcW w:type="dxa" w:w="5083"/>
            <w:vAlign w:val="top"/>
          </w:tcPr>
          <w:p>
            <w:pPr>
              <w:spacing w:after="0"/>
            </w:pPr>
            <w:r/>
            <w:r>
              <w:rPr>
                <w:rFonts w:ascii="Aptos" w:hAnsi="Aptos"/>
                <w:b w:val="0"/>
                <w:sz w:val="14"/>
              </w:rPr>
              <w:t>review_status</w:t>
            </w:r>
          </w:p>
        </w:tc>
        <w:tc>
          <w:tcPr>
            <w:tcW w:type="dxa" w:w="5083"/>
            <w:vAlign w:val="top"/>
          </w:tcPr>
          <w:p>
            <w:pPr>
              <w:spacing w:after="0"/>
            </w:pPr>
            <w:r/>
            <w:r>
              <w:rPr>
                <w:rFonts w:ascii="Aptos" w:hAnsi="Aptos"/>
                <w:b w:val="0"/>
                <w:sz w:val="14"/>
              </w:rPr>
              <w:t>unreviewed / informatics-reviewed / clinician-reviewed / approved.</w:t>
            </w:r>
          </w:p>
        </w:tc>
      </w:tr>
      <w:tr>
        <w:tc>
          <w:tcPr>
            <w:tcW w:type="dxa" w:w="5083"/>
            <w:vAlign w:val="top"/>
          </w:tcPr>
          <w:p>
            <w:pPr>
              <w:spacing w:after="0"/>
            </w:pPr>
            <w:r/>
            <w:r>
              <w:rPr>
                <w:rFonts w:ascii="Aptos" w:hAnsi="Aptos"/>
                <w:b w:val="0"/>
                <w:sz w:val="14"/>
              </w:rPr>
              <w:t>notes</w:t>
            </w:r>
          </w:p>
        </w:tc>
        <w:tc>
          <w:tcPr>
            <w:tcW w:type="dxa" w:w="5083"/>
            <w:vAlign w:val="top"/>
          </w:tcPr>
          <w:p>
            <w:pPr>
              <w:spacing w:after="0"/>
            </w:pPr>
            <w:r/>
            <w:r>
              <w:rPr>
                <w:rFonts w:ascii="Aptos" w:hAnsi="Aptos"/>
                <w:b w:val="0"/>
                <w:sz w:val="14"/>
              </w:rPr>
              <w:t>Known ambiguity, historical synonym, licensing constraint.</w:t>
            </w:r>
          </w:p>
        </w:tc>
      </w:tr>
    </w:tbl>
    <w:p/>
    <w:p>
      <w:r>
        <w:t>Initial crosswalk priorities:</w:t>
      </w:r>
    </w:p>
    <w:p>
      <w:pPr>
        <w:pStyle w:val="ListBullet"/>
        <w:ind w:left="403" w:hanging="202"/>
      </w:pPr>
      <w:r>
        <w:t>Seizure main classes and types: ILAE 2025 → MedAI canonical labels; retain legacy synonyms only as lexical variants [S1].</w:t>
      </w:r>
    </w:p>
    <w:p>
      <w:pPr>
        <w:pStyle w:val="ListBullet"/>
        <w:ind w:left="403" w:hanging="202"/>
      </w:pPr>
      <w:r>
        <w:t>Epilepsy types and etiologic categories: ILAE 2017 → MedAI [S2].</w:t>
      </w:r>
    </w:p>
    <w:p>
      <w:pPr>
        <w:pStyle w:val="ListBullet"/>
        <w:ind w:left="403" w:hanging="202"/>
      </w:pPr>
      <w:r>
        <w:t>Named syndromes: ILAE 2022 lists/definitions → curated syndrome table [S3].</w:t>
      </w:r>
    </w:p>
    <w:p>
      <w:pPr>
        <w:pStyle w:val="ListBullet"/>
        <w:ind w:left="403" w:hanging="202"/>
      </w:pPr>
      <w:r>
        <w:t>EpSO: import or map relevant classes for seizure semiology, etiology, electrophysiology, anatomy, medication, and neuropathology after reviewing v3.1 OWL [S4].</w:t>
      </w:r>
    </w:p>
    <w:p>
      <w:pPr>
        <w:pStyle w:val="ListBullet"/>
        <w:ind w:left="403" w:hanging="202"/>
      </w:pPr>
      <w:r>
        <w:t>Medication: source strings → RxNorm normalized concept/RXCUI [S7].</w:t>
      </w:r>
    </w:p>
    <w:p>
      <w:pPr>
        <w:pStyle w:val="ListBullet"/>
        <w:ind w:left="403" w:hanging="202"/>
      </w:pPr>
      <w:r>
        <w:t>Imaging: source strings → RadLex and/or SNOMED CT where verified [S8,S9].</w:t>
      </w:r>
    </w:p>
    <w:p>
      <w:pPr>
        <w:pStyle w:val="ListBullet"/>
        <w:ind w:left="403" w:hanging="202"/>
      </w:pPr>
      <w:r>
        <w:t>EEG: structured descriptors → SCORE for routine/epilepsy reporting and ACNS for applicable critical-care patterns [S10,S11].</w:t>
      </w:r>
    </w:p>
    <w:p>
      <w:pPr>
        <w:pStyle w:val="Heading1"/>
      </w:pPr>
      <w:r>
        <w:t>8. Document-type profiles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Document</w:t>
            </w:r>
          </w:p>
        </w:tc>
        <w:tc>
          <w:tcPr>
            <w:tcW w:type="dxa" w:w="3389"/>
            <w:shd w:fill="D9EAF7"/>
          </w:tcPr>
          <w:p>
            <w:pPr>
              <w:spacing w:after="0"/>
            </w:pPr>
            <w:r/>
            <w:r>
              <w:rPr>
                <w:rFonts w:ascii="Aptos" w:hAnsi="Aptos"/>
                <w:b/>
                <w:sz w:val="15"/>
              </w:rPr>
              <w:t>May generate/extract in v1</w:t>
            </w:r>
          </w:p>
        </w:tc>
        <w:tc>
          <w:tcPr>
            <w:tcW w:type="dxa" w:w="3389"/>
            <w:shd w:fill="D9EAF7"/>
          </w:tcPr>
          <w:p>
            <w:pPr>
              <w:spacing w:after="0"/>
            </w:pPr>
            <w:r/>
            <w:r>
              <w:rPr>
                <w:rFonts w:ascii="Aptos" w:hAnsi="Aptos"/>
                <w:b/>
                <w:sz w:val="15"/>
              </w:rPr>
              <w:t>Must not infer solely from this document</w:t>
            </w:r>
          </w:p>
        </w:tc>
      </w:tr>
      <w:tr>
        <w:tc>
          <w:tcPr>
            <w:tcW w:type="dxa" w:w="3389"/>
            <w:vAlign w:val="top"/>
          </w:tcPr>
          <w:p>
            <w:pPr>
              <w:spacing w:after="0"/>
            </w:pPr>
            <w:r/>
            <w:r>
              <w:rPr>
                <w:rFonts w:ascii="Aptos" w:hAnsi="Aptos"/>
                <w:b w:val="0"/>
                <w:sz w:val="14"/>
              </w:rPr>
              <w:t>MRI report</w:t>
            </w:r>
          </w:p>
        </w:tc>
        <w:tc>
          <w:tcPr>
            <w:tcW w:type="dxa" w:w="3389"/>
            <w:vAlign w:val="top"/>
          </w:tcPr>
          <w:p>
            <w:pPr>
              <w:spacing w:after="0"/>
            </w:pPr>
            <w:r/>
            <w:r>
              <w:rPr>
                <w:rFonts w:ascii="Aptos" w:hAnsi="Aptos"/>
                <w:b w:val="0"/>
                <w:sz w:val="14"/>
              </w:rPr>
              <w:t>study/protocol context; normal/abnormal; lesion/finding; HS/FCD suspicion; location; laterality; certainty; comparison</w:t>
            </w:r>
          </w:p>
        </w:tc>
        <w:tc>
          <w:tcPr>
            <w:tcW w:type="dxa" w:w="3389"/>
            <w:vAlign w:val="top"/>
          </w:tcPr>
          <w:p>
            <w:pPr>
              <w:spacing w:after="0"/>
            </w:pPr>
            <w:r/>
            <w:r>
              <w:rPr>
                <w:rFonts w:ascii="Aptos" w:hAnsi="Aptos"/>
                <w:b w:val="0"/>
                <w:sz w:val="14"/>
              </w:rPr>
              <w:t>DRE; definitive seizure classification; medication adequacy; pathology subtype</w:t>
            </w:r>
          </w:p>
        </w:tc>
      </w:tr>
      <w:tr>
        <w:tc>
          <w:tcPr>
            <w:tcW w:type="dxa" w:w="3389"/>
            <w:vAlign w:val="top"/>
          </w:tcPr>
          <w:p>
            <w:pPr>
              <w:spacing w:after="0"/>
            </w:pPr>
            <w:r/>
            <w:r>
              <w:rPr>
                <w:rFonts w:ascii="Aptos" w:hAnsi="Aptos"/>
                <w:b w:val="0"/>
                <w:sz w:val="14"/>
              </w:rPr>
              <w:t>Routine EEG</w:t>
            </w:r>
          </w:p>
        </w:tc>
        <w:tc>
          <w:tcPr>
            <w:tcW w:type="dxa" w:w="3389"/>
            <w:vAlign w:val="top"/>
          </w:tcPr>
          <w:p>
            <w:pPr>
              <w:spacing w:after="0"/>
            </w:pPr>
            <w:r/>
            <w:r>
              <w:rPr>
                <w:rFonts w:ascii="Aptos" w:hAnsi="Aptos"/>
                <w:b w:val="0"/>
                <w:sz w:val="14"/>
              </w:rPr>
              <w:t>background; interictal findings; epileptiform discharges; location/laterality; activation; impression</w:t>
            </w:r>
          </w:p>
        </w:tc>
        <w:tc>
          <w:tcPr>
            <w:tcW w:type="dxa" w:w="3389"/>
            <w:vAlign w:val="top"/>
          </w:tcPr>
          <w:p>
            <w:pPr>
              <w:spacing w:after="0"/>
            </w:pPr>
            <w:r/>
            <w:r>
              <w:rPr>
                <w:rFonts w:ascii="Aptos" w:hAnsi="Aptos"/>
                <w:b w:val="0"/>
                <w:sz w:val="14"/>
              </w:rPr>
              <w:t>MRI lesion; DRE; etiology unless explicitly stated</w:t>
            </w:r>
          </w:p>
        </w:tc>
      </w:tr>
      <w:tr>
        <w:tc>
          <w:tcPr>
            <w:tcW w:type="dxa" w:w="3389"/>
            <w:vAlign w:val="top"/>
          </w:tcPr>
          <w:p>
            <w:pPr>
              <w:spacing w:after="0"/>
            </w:pPr>
            <w:r/>
            <w:r>
              <w:rPr>
                <w:rFonts w:ascii="Aptos" w:hAnsi="Aptos"/>
                <w:b w:val="0"/>
                <w:sz w:val="14"/>
              </w:rPr>
              <w:t>Ambulatory EEG</w:t>
            </w:r>
          </w:p>
        </w:tc>
        <w:tc>
          <w:tcPr>
            <w:tcW w:type="dxa" w:w="3389"/>
            <w:vAlign w:val="top"/>
          </w:tcPr>
          <w:p>
            <w:pPr>
              <w:spacing w:after="0"/>
            </w:pPr>
            <w:r/>
            <w:r>
              <w:rPr>
                <w:rFonts w:ascii="Aptos" w:hAnsi="Aptos"/>
                <w:b w:val="0"/>
                <w:sz w:val="14"/>
              </w:rPr>
              <w:t>routine EEG fields + event correlation when documented</w:t>
            </w:r>
          </w:p>
        </w:tc>
        <w:tc>
          <w:tcPr>
            <w:tcW w:type="dxa" w:w="3389"/>
            <w:vAlign w:val="top"/>
          </w:tcPr>
          <w:p>
            <w:pPr>
              <w:spacing w:after="0"/>
            </w:pPr>
            <w:r/>
            <w:r>
              <w:rPr>
                <w:rFonts w:ascii="Aptos" w:hAnsi="Aptos"/>
                <w:b w:val="0"/>
                <w:sz w:val="14"/>
              </w:rPr>
              <w:t>Definitive clinical seizure diagnosis from signal description alone unless report states it</w:t>
            </w:r>
          </w:p>
        </w:tc>
      </w:tr>
      <w:tr>
        <w:tc>
          <w:tcPr>
            <w:tcW w:type="dxa" w:w="3389"/>
            <w:vAlign w:val="top"/>
          </w:tcPr>
          <w:p>
            <w:pPr>
              <w:spacing w:after="0"/>
            </w:pPr>
            <w:r/>
            <w:r>
              <w:rPr>
                <w:rFonts w:ascii="Aptos" w:hAnsi="Aptos"/>
                <w:b w:val="0"/>
                <w:sz w:val="14"/>
              </w:rPr>
              <w:t>EMU/video-EEG report</w:t>
            </w:r>
          </w:p>
        </w:tc>
        <w:tc>
          <w:tcPr>
            <w:tcW w:type="dxa" w:w="3389"/>
            <w:vAlign w:val="top"/>
          </w:tcPr>
          <w:p>
            <w:pPr>
              <w:spacing w:after="0"/>
            </w:pPr>
            <w:r/>
            <w:r>
              <w:rPr>
                <w:rFonts w:ascii="Aptos" w:hAnsi="Aptos"/>
                <w:b w:val="0"/>
                <w:sz w:val="14"/>
              </w:rPr>
              <w:t>captured events; ictal/interictal findings; semiology; electroclinical correlation; localization/lateralization</w:t>
            </w:r>
          </w:p>
        </w:tc>
        <w:tc>
          <w:tcPr>
            <w:tcW w:type="dxa" w:w="3389"/>
            <w:vAlign w:val="top"/>
          </w:tcPr>
          <w:p>
            <w:pPr>
              <w:spacing w:after="0"/>
            </w:pPr>
            <w:r/>
            <w:r>
              <w:rPr>
                <w:rFonts w:ascii="Aptos" w:hAnsi="Aptos"/>
                <w:b w:val="0"/>
                <w:sz w:val="14"/>
              </w:rPr>
              <w:t>Structural etiology unless documented from imaging/history</w:t>
            </w:r>
          </w:p>
        </w:tc>
      </w:tr>
      <w:tr>
        <w:tc>
          <w:tcPr>
            <w:tcW w:type="dxa" w:w="3389"/>
            <w:vAlign w:val="top"/>
          </w:tcPr>
          <w:p>
            <w:pPr>
              <w:spacing w:after="0"/>
            </w:pPr>
            <w:r/>
            <w:r>
              <w:rPr>
                <w:rFonts w:ascii="Aptos" w:hAnsi="Aptos"/>
                <w:b w:val="0"/>
                <w:sz w:val="14"/>
              </w:rPr>
              <w:t>Epilepsy progress note</w:t>
            </w:r>
          </w:p>
        </w:tc>
        <w:tc>
          <w:tcPr>
            <w:tcW w:type="dxa" w:w="3389"/>
            <w:vAlign w:val="top"/>
          </w:tcPr>
          <w:p>
            <w:pPr>
              <w:spacing w:after="0"/>
            </w:pPr>
            <w:r/>
            <w:r>
              <w:rPr>
                <w:rFonts w:ascii="Aptos" w:hAnsi="Aptos"/>
                <w:b w:val="0"/>
                <w:sz w:val="14"/>
              </w:rPr>
              <w:t>diagnosis; seizure burden; semiology; medication exposure/outcomes; clinician assessment; summarized investigations</w:t>
            </w:r>
          </w:p>
        </w:tc>
        <w:tc>
          <w:tcPr>
            <w:tcW w:type="dxa" w:w="3389"/>
            <w:vAlign w:val="top"/>
          </w:tcPr>
          <w:p>
            <w:pPr>
              <w:spacing w:after="0"/>
            </w:pPr>
            <w:r/>
            <w:r>
              <w:rPr>
                <w:rFonts w:ascii="Aptos" w:hAnsi="Aptos"/>
                <w:b w:val="0"/>
                <w:sz w:val="14"/>
              </w:rPr>
              <w:t>Raw EEG/MRI findings not actually stated</w:t>
            </w:r>
          </w:p>
        </w:tc>
      </w:tr>
      <w:tr>
        <w:tc>
          <w:tcPr>
            <w:tcW w:type="dxa" w:w="3389"/>
            <w:vAlign w:val="top"/>
          </w:tcPr>
          <w:p>
            <w:pPr>
              <w:spacing w:after="0"/>
            </w:pPr>
            <w:r/>
            <w:r>
              <w:rPr>
                <w:rFonts w:ascii="Aptos" w:hAnsi="Aptos"/>
                <w:b w:val="0"/>
                <w:sz w:val="14"/>
              </w:rPr>
              <w:t>Initial consultation</w:t>
            </w:r>
          </w:p>
        </w:tc>
        <w:tc>
          <w:tcPr>
            <w:tcW w:type="dxa" w:w="3389"/>
            <w:vAlign w:val="top"/>
          </w:tcPr>
          <w:p>
            <w:pPr>
              <w:spacing w:after="0"/>
            </w:pPr>
            <w:r/>
            <w:r>
              <w:rPr>
                <w:rFonts w:ascii="Aptos" w:hAnsi="Aptos"/>
                <w:b w:val="0"/>
                <w:sz w:val="14"/>
              </w:rPr>
              <w:t>history; classification hypotheses; onset; semiology; treatment history; planned workup</w:t>
            </w:r>
          </w:p>
        </w:tc>
        <w:tc>
          <w:tcPr>
            <w:tcW w:type="dxa" w:w="3389"/>
            <w:vAlign w:val="top"/>
          </w:tcPr>
          <w:p>
            <w:pPr>
              <w:spacing w:after="0"/>
            </w:pPr>
            <w:r/>
            <w:r>
              <w:rPr>
                <w:rFonts w:ascii="Aptos" w:hAnsi="Aptos"/>
                <w:b w:val="0"/>
                <w:sz w:val="14"/>
              </w:rPr>
              <w:t>Future investigation results</w:t>
            </w:r>
          </w:p>
        </w:tc>
      </w:tr>
      <w:tr>
        <w:tc>
          <w:tcPr>
            <w:tcW w:type="dxa" w:w="3389"/>
            <w:vAlign w:val="top"/>
          </w:tcPr>
          <w:p>
            <w:pPr>
              <w:spacing w:after="0"/>
            </w:pPr>
            <w:r/>
            <w:r>
              <w:rPr>
                <w:rFonts w:ascii="Aptos" w:hAnsi="Aptos"/>
                <w:b w:val="0"/>
                <w:sz w:val="14"/>
              </w:rPr>
              <w:t>Presurgical evaluation</w:t>
            </w:r>
          </w:p>
        </w:tc>
        <w:tc>
          <w:tcPr>
            <w:tcW w:type="dxa" w:w="3389"/>
            <w:vAlign w:val="top"/>
          </w:tcPr>
          <w:p>
            <w:pPr>
              <w:spacing w:after="0"/>
            </w:pPr>
            <w:r/>
            <w:r>
              <w:rPr>
                <w:rFonts w:ascii="Aptos" w:hAnsi="Aptos"/>
                <w:b w:val="0"/>
                <w:sz w:val="14"/>
              </w:rPr>
              <w:t>multimodal synthesis; localization hypotheses; discordance; treatment candidacy/recommendation</w:t>
            </w:r>
          </w:p>
        </w:tc>
        <w:tc>
          <w:tcPr>
            <w:tcW w:type="dxa" w:w="3389"/>
            <w:vAlign w:val="top"/>
          </w:tcPr>
          <w:p>
            <w:pPr>
              <w:spacing w:after="0"/>
            </w:pPr>
            <w:r/>
            <w:r>
              <w:rPr>
                <w:rFonts w:ascii="Aptos" w:hAnsi="Aptos"/>
                <w:b w:val="0"/>
                <w:sz w:val="14"/>
              </w:rPr>
              <w:t>Underlying modality facts not present in the text</w:t>
            </w:r>
          </w:p>
        </w:tc>
      </w:tr>
      <w:tr>
        <w:tc>
          <w:tcPr>
            <w:tcW w:type="dxa" w:w="3389"/>
            <w:vAlign w:val="top"/>
          </w:tcPr>
          <w:p>
            <w:pPr>
              <w:spacing w:after="0"/>
            </w:pPr>
            <w:r/>
            <w:r>
              <w:rPr>
                <w:rFonts w:ascii="Aptos" w:hAnsi="Aptos"/>
                <w:b w:val="0"/>
                <w:sz w:val="14"/>
              </w:rPr>
              <w:t>Conference note</w:t>
            </w:r>
          </w:p>
        </w:tc>
        <w:tc>
          <w:tcPr>
            <w:tcW w:type="dxa" w:w="3389"/>
            <w:vAlign w:val="top"/>
          </w:tcPr>
          <w:p>
            <w:pPr>
              <w:spacing w:after="0"/>
            </w:pPr>
            <w:r/>
            <w:r>
              <w:rPr>
                <w:rFonts w:ascii="Aptos" w:hAnsi="Aptos"/>
                <w:b w:val="0"/>
                <w:sz w:val="14"/>
              </w:rPr>
              <w:t>consensus interpretation/recommendation; uncertainty; modality concordance</w:t>
            </w:r>
          </w:p>
        </w:tc>
        <w:tc>
          <w:tcPr>
            <w:tcW w:type="dxa" w:w="3389"/>
            <w:vAlign w:val="top"/>
          </w:tcPr>
          <w:p>
            <w:pPr>
              <w:spacing w:after="0"/>
            </w:pPr>
            <w:r/>
            <w:r>
              <w:rPr>
                <w:rFonts w:ascii="Aptos" w:hAnsi="Aptos"/>
                <w:b w:val="0"/>
                <w:sz w:val="14"/>
              </w:rPr>
              <w:t>Treat consensus as identical to raw evidence</w:t>
            </w:r>
          </w:p>
        </w:tc>
      </w:tr>
      <w:tr>
        <w:tc>
          <w:tcPr>
            <w:tcW w:type="dxa" w:w="3389"/>
            <w:vAlign w:val="top"/>
          </w:tcPr>
          <w:p>
            <w:pPr>
              <w:spacing w:after="0"/>
            </w:pPr>
            <w:r/>
            <w:r>
              <w:rPr>
                <w:rFonts w:ascii="Aptos" w:hAnsi="Aptos"/>
                <w:b w:val="0"/>
                <w:sz w:val="14"/>
              </w:rPr>
              <w:t>Procedure note</w:t>
            </w:r>
          </w:p>
        </w:tc>
        <w:tc>
          <w:tcPr>
            <w:tcW w:type="dxa" w:w="3389"/>
            <w:vAlign w:val="top"/>
          </w:tcPr>
          <w:p>
            <w:pPr>
              <w:spacing w:after="0"/>
            </w:pPr>
            <w:r/>
            <w:r>
              <w:rPr>
                <w:rFonts w:ascii="Aptos" w:hAnsi="Aptos"/>
                <w:b w:val="0"/>
                <w:sz w:val="14"/>
              </w:rPr>
              <w:t>procedure/target/laterality/date/technical facts</w:t>
            </w:r>
          </w:p>
        </w:tc>
        <w:tc>
          <w:tcPr>
            <w:tcW w:type="dxa" w:w="3389"/>
            <w:vAlign w:val="top"/>
          </w:tcPr>
          <w:p>
            <w:pPr>
              <w:spacing w:after="0"/>
            </w:pPr>
            <w:r/>
            <w:r>
              <w:rPr>
                <w:rFonts w:ascii="Aptos" w:hAnsi="Aptos"/>
                <w:b w:val="0"/>
                <w:sz w:val="14"/>
              </w:rPr>
              <w:t>Long-term seizure outcome</w:t>
            </w:r>
          </w:p>
        </w:tc>
      </w:tr>
      <w:tr>
        <w:tc>
          <w:tcPr>
            <w:tcW w:type="dxa" w:w="3389"/>
            <w:vAlign w:val="top"/>
          </w:tcPr>
          <w:p>
            <w:pPr>
              <w:spacing w:after="0"/>
            </w:pPr>
            <w:r/>
            <w:r>
              <w:rPr>
                <w:rFonts w:ascii="Aptos" w:hAnsi="Aptos"/>
                <w:b w:val="0"/>
                <w:sz w:val="14"/>
              </w:rPr>
              <w:t>Discharge summary</w:t>
            </w:r>
          </w:p>
        </w:tc>
        <w:tc>
          <w:tcPr>
            <w:tcW w:type="dxa" w:w="3389"/>
            <w:vAlign w:val="top"/>
          </w:tcPr>
          <w:p>
            <w:pPr>
              <w:spacing w:after="0"/>
            </w:pPr>
            <w:r/>
            <w:r>
              <w:rPr>
                <w:rFonts w:ascii="Aptos" w:hAnsi="Aptos"/>
                <w:b w:val="0"/>
                <w:sz w:val="14"/>
              </w:rPr>
              <w:t>hospital course; diagnosis; medication changes; procedures; immediate outcome</w:t>
            </w:r>
          </w:p>
        </w:tc>
        <w:tc>
          <w:tcPr>
            <w:tcW w:type="dxa" w:w="3389"/>
            <w:vAlign w:val="top"/>
          </w:tcPr>
          <w:p>
            <w:pPr>
              <w:spacing w:after="0"/>
            </w:pPr>
            <w:r/>
            <w:r>
              <w:rPr>
                <w:rFonts w:ascii="Aptos" w:hAnsi="Aptos"/>
                <w:b w:val="0"/>
                <w:sz w:val="14"/>
              </w:rPr>
              <w:t>Long-term follow-up</w:t>
            </w:r>
          </w:p>
        </w:tc>
      </w:tr>
    </w:tbl>
    <w:p/>
    <w:p>
      <w:pPr>
        <w:pStyle w:val="Heading1"/>
      </w:pPr>
      <w:r>
        <w:t>9. Synthetic patient generation protocol</w:t>
      </w:r>
    </w:p>
    <w:p>
      <w:r>
        <w:t>Generation is a two-stage process: (1) create latent structured truth; (2) render documents from that truth. This prevents the prose generator from defining its own labels.</w:t>
      </w:r>
    </w:p>
    <w:p>
      <w:pPr>
        <w:pStyle w:val="ListNumber"/>
      </w:pPr>
      <w:r>
        <w:t>Select scenario family and difficulty tier.</w:t>
      </w:r>
    </w:p>
    <w:p>
      <w:pPr>
        <w:pStyle w:val="ListNumber"/>
      </w:pPr>
      <w:r>
        <w:t>Sample patient-level canonical variables from permitted value sets.</w:t>
      </w:r>
    </w:p>
    <w:p>
      <w:pPr>
        <w:pStyle w:val="ListNumber"/>
      </w:pPr>
      <w:r>
        <w:t>Apply semantic, dependency, temporal, and document-visibility rules.</w:t>
      </w:r>
    </w:p>
    <w:p>
      <w:pPr>
        <w:pStyle w:val="ListNumber"/>
      </w:pPr>
      <w:r>
        <w:t>Reject any state violating a hard rule.</w:t>
      </w:r>
    </w:p>
    <w:p>
      <w:pPr>
        <w:pStyle w:val="ListNumber"/>
      </w:pPr>
      <w:r>
        <w:t>Create a chronological event graph.</w:t>
      </w:r>
    </w:p>
    <w:p>
      <w:pPr>
        <w:pStyle w:val="ListNumber"/>
      </w:pPr>
      <w:r>
        <w:t>Select which events/facts are visible to each document.</w:t>
      </w:r>
    </w:p>
    <w:p>
      <w:pPr>
        <w:pStyle w:val="ListNumber"/>
      </w:pPr>
      <w:r>
        <w:t>Render each document using a style template or language model constrained by the selected facts.</w:t>
      </w:r>
    </w:p>
    <w:p>
      <w:pPr>
        <w:pStyle w:val="ListNumber"/>
      </w:pPr>
      <w:r>
        <w:t>Run an automatic fact-consistency checker against latent truth.</w:t>
      </w:r>
    </w:p>
    <w:p>
      <w:pPr>
        <w:pStyle w:val="ListNumber"/>
      </w:pPr>
      <w:r>
        <w:t>Optionally use an independent verifier to flag unsupported generated statements; verifier decisions do not replace latent truth.</w:t>
      </w:r>
    </w:p>
    <w:p>
      <w:pPr>
        <w:pStyle w:val="ListNumber"/>
      </w:pPr>
      <w:r>
        <w:t>Sample documents for clinician realism review.</w:t>
      </w:r>
    </w:p>
    <w:p>
      <w:pPr>
        <w:pStyle w:val="ListNumber"/>
      </w:pPr>
      <w:r>
        <w:t>Freeze corpus version, generator version, rule version, ontology version, and random seed/scenario IDs.</w:t>
      </w:r>
    </w:p>
    <w:p>
      <w:pPr>
        <w:pStyle w:val="Heading1"/>
      </w:pPr>
      <w:r>
        <w:t>10. Scenario families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pPr>
              <w:spacing w:after="0"/>
            </w:pPr>
            <w:r/>
            <w:r>
              <w:rPr>
                <w:rFonts w:ascii="Aptos" w:hAnsi="Aptos"/>
                <w:b/>
                <w:sz w:val="15"/>
              </w:rPr>
              <w:t>Scenario ID</w:t>
            </w:r>
          </w:p>
        </w:tc>
        <w:tc>
          <w:tcPr>
            <w:tcW w:type="dxa" w:w="2541"/>
            <w:shd w:fill="D9EAF7"/>
          </w:tcPr>
          <w:p>
            <w:pPr>
              <w:spacing w:after="0"/>
            </w:pPr>
            <w:r/>
            <w:r>
              <w:rPr>
                <w:rFonts w:ascii="Aptos" w:hAnsi="Aptos"/>
                <w:b/>
                <w:sz w:val="15"/>
              </w:rPr>
              <w:t>Scenario</w:t>
            </w:r>
          </w:p>
        </w:tc>
        <w:tc>
          <w:tcPr>
            <w:tcW w:type="dxa" w:w="2541"/>
            <w:shd w:fill="D9EAF7"/>
          </w:tcPr>
          <w:p>
            <w:pPr>
              <w:spacing w:after="0"/>
            </w:pPr>
            <w:r/>
            <w:r>
              <w:rPr>
                <w:rFonts w:ascii="Aptos" w:hAnsi="Aptos"/>
                <w:b/>
                <w:sz w:val="15"/>
              </w:rPr>
              <w:t>Required truth elements</w:t>
            </w:r>
          </w:p>
        </w:tc>
        <w:tc>
          <w:tcPr>
            <w:tcW w:type="dxa" w:w="2541"/>
            <w:shd w:fill="D9EAF7"/>
          </w:tcPr>
          <w:p>
            <w:pPr>
              <w:spacing w:after="0"/>
            </w:pPr>
            <w:r/>
            <w:r>
              <w:rPr>
                <w:rFonts w:ascii="Aptos" w:hAnsi="Aptos"/>
                <w:b/>
                <w:sz w:val="15"/>
              </w:rPr>
              <w:t>Purpose</w:t>
            </w:r>
          </w:p>
        </w:tc>
      </w:tr>
      <w:tr>
        <w:tc>
          <w:tcPr>
            <w:tcW w:type="dxa" w:w="2541"/>
            <w:vAlign w:val="top"/>
          </w:tcPr>
          <w:p>
            <w:pPr>
              <w:spacing w:after="0"/>
            </w:pPr>
            <w:r/>
            <w:r>
              <w:rPr>
                <w:rFonts w:ascii="Aptos" w:hAnsi="Aptos"/>
                <w:b w:val="0"/>
                <w:sz w:val="14"/>
              </w:rPr>
              <w:t>SC01</w:t>
            </w:r>
          </w:p>
        </w:tc>
        <w:tc>
          <w:tcPr>
            <w:tcW w:type="dxa" w:w="2541"/>
            <w:vAlign w:val="top"/>
          </w:tcPr>
          <w:p>
            <w:pPr>
              <w:spacing w:after="0"/>
            </w:pPr>
            <w:r/>
            <w:r>
              <w:rPr>
                <w:rFonts w:ascii="Aptos" w:hAnsi="Aptos"/>
                <w:b w:val="0"/>
                <w:sz w:val="14"/>
              </w:rPr>
              <w:t>Focal structural epilepsy with HS</w:t>
            </w:r>
          </w:p>
        </w:tc>
        <w:tc>
          <w:tcPr>
            <w:tcW w:type="dxa" w:w="2541"/>
            <w:vAlign w:val="top"/>
          </w:tcPr>
          <w:p>
            <w:pPr>
              <w:spacing w:after="0"/>
            </w:pPr>
            <w:r/>
            <w:r>
              <w:rPr>
                <w:rFonts w:ascii="Aptos" w:hAnsi="Aptos"/>
                <w:b w:val="0"/>
                <w:sz w:val="14"/>
              </w:rPr>
              <w:t>focal epilepsy; structural etiology; MRI HS; laterality; seizure semiology; EEG optional</w:t>
            </w:r>
          </w:p>
        </w:tc>
        <w:tc>
          <w:tcPr>
            <w:tcW w:type="dxa" w:w="2541"/>
            <w:vAlign w:val="top"/>
          </w:tcPr>
          <w:p>
            <w:pPr>
              <w:spacing w:after="0"/>
            </w:pPr>
            <w:r/>
            <w:r>
              <w:rPr>
                <w:rFonts w:ascii="Aptos" w:hAnsi="Aptos"/>
                <w:b w:val="0"/>
                <w:sz w:val="14"/>
              </w:rPr>
              <w:t>Common structural focal phenotype</w:t>
            </w:r>
          </w:p>
        </w:tc>
      </w:tr>
      <w:tr>
        <w:tc>
          <w:tcPr>
            <w:tcW w:type="dxa" w:w="2541"/>
            <w:vAlign w:val="top"/>
          </w:tcPr>
          <w:p>
            <w:pPr>
              <w:spacing w:after="0"/>
            </w:pPr>
            <w:r/>
            <w:r>
              <w:rPr>
                <w:rFonts w:ascii="Aptos" w:hAnsi="Aptos"/>
                <w:b w:val="0"/>
                <w:sz w:val="14"/>
              </w:rPr>
              <w:t>SC02</w:t>
            </w:r>
          </w:p>
        </w:tc>
        <w:tc>
          <w:tcPr>
            <w:tcW w:type="dxa" w:w="2541"/>
            <w:vAlign w:val="top"/>
          </w:tcPr>
          <w:p>
            <w:pPr>
              <w:spacing w:after="0"/>
            </w:pPr>
            <w:r/>
            <w:r>
              <w:rPr>
                <w:rFonts w:ascii="Aptos" w:hAnsi="Aptos"/>
                <w:b w:val="0"/>
                <w:sz w:val="14"/>
              </w:rPr>
              <w:t>Focal structural epilepsy with FCD</w:t>
            </w:r>
          </w:p>
        </w:tc>
        <w:tc>
          <w:tcPr>
            <w:tcW w:type="dxa" w:w="2541"/>
            <w:vAlign w:val="top"/>
          </w:tcPr>
          <w:p>
            <w:pPr>
              <w:spacing w:after="0"/>
            </w:pPr>
            <w:r/>
            <w:r>
              <w:rPr>
                <w:rFonts w:ascii="Aptos" w:hAnsi="Aptos"/>
                <w:b w:val="0"/>
                <w:sz w:val="14"/>
              </w:rPr>
              <w:t>focal epilepsy; FCD imaging/pathology distinction; location/laterality</w:t>
            </w:r>
          </w:p>
        </w:tc>
        <w:tc>
          <w:tcPr>
            <w:tcW w:type="dxa" w:w="2541"/>
            <w:vAlign w:val="top"/>
          </w:tcPr>
          <w:p>
            <w:pPr>
              <w:spacing w:after="0"/>
            </w:pPr>
            <w:r/>
            <w:r>
              <w:rPr>
                <w:rFonts w:ascii="Aptos" w:hAnsi="Aptos"/>
                <w:b w:val="0"/>
                <w:sz w:val="14"/>
              </w:rPr>
              <w:t>FCD terminology and uncertainty</w:t>
            </w:r>
          </w:p>
        </w:tc>
      </w:tr>
      <w:tr>
        <w:tc>
          <w:tcPr>
            <w:tcW w:type="dxa" w:w="2541"/>
            <w:vAlign w:val="top"/>
          </w:tcPr>
          <w:p>
            <w:pPr>
              <w:spacing w:after="0"/>
            </w:pPr>
            <w:r/>
            <w:r>
              <w:rPr>
                <w:rFonts w:ascii="Aptos" w:hAnsi="Aptos"/>
                <w:b w:val="0"/>
                <w:sz w:val="14"/>
              </w:rPr>
              <w:t>SC03</w:t>
            </w:r>
          </w:p>
        </w:tc>
        <w:tc>
          <w:tcPr>
            <w:tcW w:type="dxa" w:w="2541"/>
            <w:vAlign w:val="top"/>
          </w:tcPr>
          <w:p>
            <w:pPr>
              <w:spacing w:after="0"/>
            </w:pPr>
            <w:r/>
            <w:r>
              <w:rPr>
                <w:rFonts w:ascii="Aptos" w:hAnsi="Aptos"/>
                <w:b w:val="0"/>
                <w:sz w:val="14"/>
              </w:rPr>
              <w:t>MRI-negative focal epilepsy</w:t>
            </w:r>
          </w:p>
        </w:tc>
        <w:tc>
          <w:tcPr>
            <w:tcW w:type="dxa" w:w="2541"/>
            <w:vAlign w:val="top"/>
          </w:tcPr>
          <w:p>
            <w:pPr>
              <w:spacing w:after="0"/>
            </w:pPr>
            <w:r/>
            <w:r>
              <w:rPr>
                <w:rFonts w:ascii="Aptos" w:hAnsi="Aptos"/>
                <w:b w:val="0"/>
                <w:sz w:val="14"/>
              </w:rPr>
              <w:t>focal epilepsy; MRI lesion absent/unknown; EEG/semiology localization possible</w:t>
            </w:r>
          </w:p>
        </w:tc>
        <w:tc>
          <w:tcPr>
            <w:tcW w:type="dxa" w:w="2541"/>
            <w:vAlign w:val="top"/>
          </w:tcPr>
          <w:p>
            <w:pPr>
              <w:spacing w:after="0"/>
            </w:pPr>
            <w:r/>
            <w:r>
              <w:rPr>
                <w:rFonts w:ascii="Aptos" w:hAnsi="Aptos"/>
                <w:b w:val="0"/>
                <w:sz w:val="14"/>
              </w:rPr>
              <w:t>Prevent 'normal MRI = no epilepsy' error</w:t>
            </w:r>
          </w:p>
        </w:tc>
      </w:tr>
      <w:tr>
        <w:tc>
          <w:tcPr>
            <w:tcW w:type="dxa" w:w="2541"/>
            <w:vAlign w:val="top"/>
          </w:tcPr>
          <w:p>
            <w:pPr>
              <w:spacing w:after="0"/>
            </w:pPr>
            <w:r/>
            <w:r>
              <w:rPr>
                <w:rFonts w:ascii="Aptos" w:hAnsi="Aptos"/>
                <w:b w:val="0"/>
                <w:sz w:val="14"/>
              </w:rPr>
              <w:t>SC04</w:t>
            </w:r>
          </w:p>
        </w:tc>
        <w:tc>
          <w:tcPr>
            <w:tcW w:type="dxa" w:w="2541"/>
            <w:vAlign w:val="top"/>
          </w:tcPr>
          <w:p>
            <w:pPr>
              <w:spacing w:after="0"/>
            </w:pPr>
            <w:r/>
            <w:r>
              <w:rPr>
                <w:rFonts w:ascii="Aptos" w:hAnsi="Aptos"/>
                <w:b w:val="0"/>
                <w:sz w:val="14"/>
              </w:rPr>
              <w:t>Generalized epilepsy</w:t>
            </w:r>
          </w:p>
        </w:tc>
        <w:tc>
          <w:tcPr>
            <w:tcW w:type="dxa" w:w="2541"/>
            <w:vAlign w:val="top"/>
          </w:tcPr>
          <w:p>
            <w:pPr>
              <w:spacing w:after="0"/>
            </w:pPr>
            <w:r/>
            <w:r>
              <w:rPr>
                <w:rFonts w:ascii="Aptos" w:hAnsi="Aptos"/>
                <w:b w:val="0"/>
                <w:sz w:val="14"/>
              </w:rPr>
              <w:t>generalized epilepsy/seizure classes; generalized EEG patterns where scenario defines them</w:t>
            </w:r>
          </w:p>
        </w:tc>
        <w:tc>
          <w:tcPr>
            <w:tcW w:type="dxa" w:w="2541"/>
            <w:vAlign w:val="top"/>
          </w:tcPr>
          <w:p>
            <w:pPr>
              <w:spacing w:after="0"/>
            </w:pPr>
            <w:r/>
            <w:r>
              <w:rPr>
                <w:rFonts w:ascii="Aptos" w:hAnsi="Aptos"/>
                <w:b w:val="0"/>
                <w:sz w:val="14"/>
              </w:rPr>
              <w:t>Non-focal contrast</w:t>
            </w:r>
          </w:p>
        </w:tc>
      </w:tr>
      <w:tr>
        <w:tc>
          <w:tcPr>
            <w:tcW w:type="dxa" w:w="2541"/>
            <w:vAlign w:val="top"/>
          </w:tcPr>
          <w:p>
            <w:pPr>
              <w:spacing w:after="0"/>
            </w:pPr>
            <w:r/>
            <w:r>
              <w:rPr>
                <w:rFonts w:ascii="Aptos" w:hAnsi="Aptos"/>
                <w:b w:val="0"/>
                <w:sz w:val="14"/>
              </w:rPr>
              <w:t>SC05</w:t>
            </w:r>
          </w:p>
        </w:tc>
        <w:tc>
          <w:tcPr>
            <w:tcW w:type="dxa" w:w="2541"/>
            <w:vAlign w:val="top"/>
          </w:tcPr>
          <w:p>
            <w:pPr>
              <w:spacing w:after="0"/>
            </w:pPr>
            <w:r/>
            <w:r>
              <w:rPr>
                <w:rFonts w:ascii="Aptos" w:hAnsi="Aptos"/>
                <w:b w:val="0"/>
                <w:sz w:val="14"/>
              </w:rPr>
              <w:t>Unknown/uncertain classification</w:t>
            </w:r>
          </w:p>
        </w:tc>
        <w:tc>
          <w:tcPr>
            <w:tcW w:type="dxa" w:w="2541"/>
            <w:vAlign w:val="top"/>
          </w:tcPr>
          <w:p>
            <w:pPr>
              <w:spacing w:after="0"/>
            </w:pPr>
            <w:r/>
            <w:r>
              <w:rPr>
                <w:rFonts w:ascii="Aptos" w:hAnsi="Aptos"/>
                <w:b w:val="0"/>
                <w:sz w:val="14"/>
              </w:rPr>
              <w:t>insufficient or conflicting classification evidence</w:t>
            </w:r>
          </w:p>
        </w:tc>
        <w:tc>
          <w:tcPr>
            <w:tcW w:type="dxa" w:w="2541"/>
            <w:vAlign w:val="top"/>
          </w:tcPr>
          <w:p>
            <w:pPr>
              <w:spacing w:after="0"/>
            </w:pPr>
            <w:r/>
            <w:r>
              <w:rPr>
                <w:rFonts w:ascii="Aptos" w:hAnsi="Aptos"/>
                <w:b w:val="0"/>
                <w:sz w:val="14"/>
              </w:rPr>
              <w:t>Abstention/uncertainty</w:t>
            </w:r>
          </w:p>
        </w:tc>
      </w:tr>
      <w:tr>
        <w:tc>
          <w:tcPr>
            <w:tcW w:type="dxa" w:w="2541"/>
            <w:vAlign w:val="top"/>
          </w:tcPr>
          <w:p>
            <w:pPr>
              <w:spacing w:after="0"/>
            </w:pPr>
            <w:r/>
            <w:r>
              <w:rPr>
                <w:rFonts w:ascii="Aptos" w:hAnsi="Aptos"/>
                <w:b w:val="0"/>
                <w:sz w:val="14"/>
              </w:rPr>
              <w:t>SC06</w:t>
            </w:r>
          </w:p>
        </w:tc>
        <w:tc>
          <w:tcPr>
            <w:tcW w:type="dxa" w:w="2541"/>
            <w:vAlign w:val="top"/>
          </w:tcPr>
          <w:p>
            <w:pPr>
              <w:spacing w:after="0"/>
            </w:pPr>
            <w:r/>
            <w:r>
              <w:rPr>
                <w:rFonts w:ascii="Aptos" w:hAnsi="Aptos"/>
                <w:b w:val="0"/>
                <w:sz w:val="14"/>
              </w:rPr>
              <w:t>Drug-responsive epilepsy</w:t>
            </w:r>
          </w:p>
        </w:tc>
        <w:tc>
          <w:tcPr>
            <w:tcW w:type="dxa" w:w="2541"/>
            <w:vAlign w:val="top"/>
          </w:tcPr>
          <w:p>
            <w:pPr>
              <w:spacing w:after="0"/>
            </w:pPr>
            <w:r/>
            <w:r>
              <w:rPr>
                <w:rFonts w:ascii="Aptos" w:hAnsi="Aptos"/>
                <w:b w:val="0"/>
                <w:sz w:val="14"/>
              </w:rPr>
              <w:t>ASM trial + sustained seizure freedom</w:t>
            </w:r>
          </w:p>
        </w:tc>
        <w:tc>
          <w:tcPr>
            <w:tcW w:type="dxa" w:w="2541"/>
            <w:vAlign w:val="top"/>
          </w:tcPr>
          <w:p>
            <w:pPr>
              <w:spacing w:after="0"/>
            </w:pPr>
            <w:r/>
            <w:r>
              <w:rPr>
                <w:rFonts w:ascii="Aptos" w:hAnsi="Aptos"/>
                <w:b w:val="0"/>
                <w:sz w:val="14"/>
              </w:rPr>
              <w:t>Treatment-state extraction</w:t>
            </w:r>
          </w:p>
        </w:tc>
      </w:tr>
      <w:tr>
        <w:tc>
          <w:tcPr>
            <w:tcW w:type="dxa" w:w="2541"/>
            <w:vAlign w:val="top"/>
          </w:tcPr>
          <w:p>
            <w:pPr>
              <w:spacing w:after="0"/>
            </w:pPr>
            <w:r/>
            <w:r>
              <w:rPr>
                <w:rFonts w:ascii="Aptos" w:hAnsi="Aptos"/>
                <w:b w:val="0"/>
                <w:sz w:val="14"/>
              </w:rPr>
              <w:t>SC07</w:t>
            </w:r>
          </w:p>
        </w:tc>
        <w:tc>
          <w:tcPr>
            <w:tcW w:type="dxa" w:w="2541"/>
            <w:vAlign w:val="top"/>
          </w:tcPr>
          <w:p>
            <w:pPr>
              <w:spacing w:after="0"/>
            </w:pPr>
            <w:r/>
            <w:r>
              <w:rPr>
                <w:rFonts w:ascii="Aptos" w:hAnsi="Aptos"/>
                <w:b w:val="0"/>
                <w:sz w:val="14"/>
              </w:rPr>
              <w:t>Drug-resistant epilepsy</w:t>
            </w:r>
          </w:p>
        </w:tc>
        <w:tc>
          <w:tcPr>
            <w:tcW w:type="dxa" w:w="2541"/>
            <w:vAlign w:val="top"/>
          </w:tcPr>
          <w:p>
            <w:pPr>
              <w:spacing w:after="0"/>
            </w:pPr>
            <w:r/>
            <w:r>
              <w:rPr>
                <w:rFonts w:ascii="Aptos" w:hAnsi="Aptos"/>
                <w:b w:val="0"/>
                <w:sz w:val="14"/>
              </w:rPr>
              <w:t>documented adequate failures meeting ILAE definition</w:t>
            </w:r>
          </w:p>
        </w:tc>
        <w:tc>
          <w:tcPr>
            <w:tcW w:type="dxa" w:w="2541"/>
            <w:vAlign w:val="top"/>
          </w:tcPr>
          <w:p>
            <w:pPr>
              <w:spacing w:after="0"/>
            </w:pPr>
            <w:r/>
            <w:r>
              <w:rPr>
                <w:rFonts w:ascii="Aptos" w:hAnsi="Aptos"/>
                <w:b w:val="0"/>
                <w:sz w:val="14"/>
              </w:rPr>
              <w:t>DRE rule evaluation [S12]</w:t>
            </w:r>
          </w:p>
        </w:tc>
      </w:tr>
      <w:tr>
        <w:tc>
          <w:tcPr>
            <w:tcW w:type="dxa" w:w="2541"/>
            <w:vAlign w:val="top"/>
          </w:tcPr>
          <w:p>
            <w:pPr>
              <w:spacing w:after="0"/>
            </w:pPr>
            <w:r/>
            <w:r>
              <w:rPr>
                <w:rFonts w:ascii="Aptos" w:hAnsi="Aptos"/>
                <w:b w:val="0"/>
                <w:sz w:val="14"/>
              </w:rPr>
              <w:t>SC08</w:t>
            </w:r>
          </w:p>
        </w:tc>
        <w:tc>
          <w:tcPr>
            <w:tcW w:type="dxa" w:w="2541"/>
            <w:vAlign w:val="top"/>
          </w:tcPr>
          <w:p>
            <w:pPr>
              <w:spacing w:after="0"/>
            </w:pPr>
            <w:r/>
            <w:r>
              <w:rPr>
                <w:rFonts w:ascii="Aptos" w:hAnsi="Aptos"/>
                <w:b w:val="0"/>
                <w:sz w:val="14"/>
              </w:rPr>
              <w:t>Medication intolerance without efficacy failure</w:t>
            </w:r>
          </w:p>
        </w:tc>
        <w:tc>
          <w:tcPr>
            <w:tcW w:type="dxa" w:w="2541"/>
            <w:vAlign w:val="top"/>
          </w:tcPr>
          <w:p>
            <w:pPr>
              <w:spacing w:after="0"/>
            </w:pPr>
            <w:r/>
            <w:r>
              <w:rPr>
                <w:rFonts w:ascii="Aptos" w:hAnsi="Aptos"/>
                <w:b w:val="0"/>
                <w:sz w:val="14"/>
              </w:rPr>
              <w:t>ASM stopped due to adverse effect; adequacy may be indeterminate</w:t>
            </w:r>
          </w:p>
        </w:tc>
        <w:tc>
          <w:tcPr>
            <w:tcW w:type="dxa" w:w="2541"/>
            <w:vAlign w:val="top"/>
          </w:tcPr>
          <w:p>
            <w:pPr>
              <w:spacing w:after="0"/>
            </w:pPr>
            <w:r/>
            <w:r>
              <w:rPr>
                <w:rFonts w:ascii="Aptos" w:hAnsi="Aptos"/>
                <w:b w:val="0"/>
                <w:sz w:val="14"/>
              </w:rPr>
              <w:t>Avoid falsely counting every discontinued ASM as DRE</w:t>
            </w:r>
          </w:p>
        </w:tc>
      </w:tr>
      <w:tr>
        <w:tc>
          <w:tcPr>
            <w:tcW w:type="dxa" w:w="2541"/>
            <w:vAlign w:val="top"/>
          </w:tcPr>
          <w:p>
            <w:pPr>
              <w:spacing w:after="0"/>
            </w:pPr>
            <w:r/>
            <w:r>
              <w:rPr>
                <w:rFonts w:ascii="Aptos" w:hAnsi="Aptos"/>
                <w:b w:val="0"/>
                <w:sz w:val="14"/>
              </w:rPr>
              <w:t>SC09</w:t>
            </w:r>
          </w:p>
        </w:tc>
        <w:tc>
          <w:tcPr>
            <w:tcW w:type="dxa" w:w="2541"/>
            <w:vAlign w:val="top"/>
          </w:tcPr>
          <w:p>
            <w:pPr>
              <w:spacing w:after="0"/>
            </w:pPr>
            <w:r/>
            <w:r>
              <w:rPr>
                <w:rFonts w:ascii="Aptos" w:hAnsi="Aptos"/>
                <w:b w:val="0"/>
                <w:sz w:val="14"/>
              </w:rPr>
              <w:t>Discordant presurgical localization</w:t>
            </w:r>
          </w:p>
        </w:tc>
        <w:tc>
          <w:tcPr>
            <w:tcW w:type="dxa" w:w="2541"/>
            <w:vAlign w:val="top"/>
          </w:tcPr>
          <w:p>
            <w:pPr>
              <w:spacing w:after="0"/>
            </w:pPr>
            <w:r/>
            <w:r>
              <w:rPr>
                <w:rFonts w:ascii="Aptos" w:hAnsi="Aptos"/>
                <w:b w:val="0"/>
                <w:sz w:val="14"/>
              </w:rPr>
              <w:t>MRI/EEG/semiology point to different regions/sides</w:t>
            </w:r>
          </w:p>
        </w:tc>
        <w:tc>
          <w:tcPr>
            <w:tcW w:type="dxa" w:w="2541"/>
            <w:vAlign w:val="top"/>
          </w:tcPr>
          <w:p>
            <w:pPr>
              <w:spacing w:after="0"/>
            </w:pPr>
            <w:r/>
            <w:r>
              <w:rPr>
                <w:rFonts w:ascii="Aptos" w:hAnsi="Aptos"/>
                <w:b w:val="0"/>
                <w:sz w:val="14"/>
              </w:rPr>
              <w:t>Conflict representation</w:t>
            </w:r>
          </w:p>
        </w:tc>
      </w:tr>
      <w:tr>
        <w:tc>
          <w:tcPr>
            <w:tcW w:type="dxa" w:w="2541"/>
            <w:vAlign w:val="top"/>
          </w:tcPr>
          <w:p>
            <w:pPr>
              <w:spacing w:after="0"/>
            </w:pPr>
            <w:r/>
            <w:r>
              <w:rPr>
                <w:rFonts w:ascii="Aptos" w:hAnsi="Aptos"/>
                <w:b w:val="0"/>
                <w:sz w:val="14"/>
              </w:rPr>
              <w:t>SC10</w:t>
            </w:r>
          </w:p>
        </w:tc>
        <w:tc>
          <w:tcPr>
            <w:tcW w:type="dxa" w:w="2541"/>
            <w:vAlign w:val="top"/>
          </w:tcPr>
          <w:p>
            <w:pPr>
              <w:spacing w:after="0"/>
            </w:pPr>
            <w:r/>
            <w:r>
              <w:rPr>
                <w:rFonts w:ascii="Aptos" w:hAnsi="Aptos"/>
                <w:b w:val="0"/>
                <w:sz w:val="14"/>
              </w:rPr>
              <w:t>Longitudinal improvement</w:t>
            </w:r>
          </w:p>
        </w:tc>
        <w:tc>
          <w:tcPr>
            <w:tcW w:type="dxa" w:w="2541"/>
            <w:vAlign w:val="top"/>
          </w:tcPr>
          <w:p>
            <w:pPr>
              <w:spacing w:after="0"/>
            </w:pPr>
            <w:r/>
            <w:r>
              <w:rPr>
                <w:rFonts w:ascii="Aptos" w:hAnsi="Aptos"/>
                <w:b w:val="0"/>
                <w:sz w:val="14"/>
              </w:rPr>
              <w:t>high seizure burden → treatment → lower burden/seizure freedom</w:t>
            </w:r>
          </w:p>
        </w:tc>
        <w:tc>
          <w:tcPr>
            <w:tcW w:type="dxa" w:w="2541"/>
            <w:vAlign w:val="top"/>
          </w:tcPr>
          <w:p>
            <w:pPr>
              <w:spacing w:after="0"/>
            </w:pPr>
            <w:r/>
            <w:r>
              <w:rPr>
                <w:rFonts w:ascii="Aptos" w:hAnsi="Aptos"/>
                <w:b w:val="0"/>
                <w:sz w:val="14"/>
              </w:rPr>
              <w:t>Temporal extraction</w:t>
            </w:r>
          </w:p>
        </w:tc>
      </w:tr>
      <w:tr>
        <w:tc>
          <w:tcPr>
            <w:tcW w:type="dxa" w:w="2541"/>
            <w:vAlign w:val="top"/>
          </w:tcPr>
          <w:p>
            <w:pPr>
              <w:spacing w:after="0"/>
            </w:pPr>
            <w:r/>
            <w:r>
              <w:rPr>
                <w:rFonts w:ascii="Aptos" w:hAnsi="Aptos"/>
                <w:b w:val="0"/>
                <w:sz w:val="14"/>
              </w:rPr>
              <w:t>SC11</w:t>
            </w:r>
          </w:p>
        </w:tc>
        <w:tc>
          <w:tcPr>
            <w:tcW w:type="dxa" w:w="2541"/>
            <w:vAlign w:val="top"/>
          </w:tcPr>
          <w:p>
            <w:pPr>
              <w:spacing w:after="0"/>
            </w:pPr>
            <w:r/>
            <w:r>
              <w:rPr>
                <w:rFonts w:ascii="Aptos" w:hAnsi="Aptos"/>
                <w:b w:val="0"/>
                <w:sz w:val="14"/>
              </w:rPr>
              <w:t>Post-surgical follow-up</w:t>
            </w:r>
          </w:p>
        </w:tc>
        <w:tc>
          <w:tcPr>
            <w:tcW w:type="dxa" w:w="2541"/>
            <w:vAlign w:val="top"/>
          </w:tcPr>
          <w:p>
            <w:pPr>
              <w:spacing w:after="0"/>
            </w:pPr>
            <w:r/>
            <w:r>
              <w:rPr>
                <w:rFonts w:ascii="Aptos" w:hAnsi="Aptos"/>
                <w:b w:val="0"/>
                <w:sz w:val="14"/>
              </w:rPr>
              <w:t>procedure + later outcome</w:t>
            </w:r>
          </w:p>
        </w:tc>
        <w:tc>
          <w:tcPr>
            <w:tcW w:type="dxa" w:w="2541"/>
            <w:vAlign w:val="top"/>
          </w:tcPr>
          <w:p>
            <w:pPr>
              <w:spacing w:after="0"/>
            </w:pPr>
            <w:r/>
            <w:r>
              <w:rPr>
                <w:rFonts w:ascii="Aptos" w:hAnsi="Aptos"/>
                <w:b w:val="0"/>
                <w:sz w:val="14"/>
              </w:rPr>
              <w:t>Outcome temporality</w:t>
            </w:r>
          </w:p>
        </w:tc>
      </w:tr>
      <w:tr>
        <w:tc>
          <w:tcPr>
            <w:tcW w:type="dxa" w:w="2541"/>
            <w:vAlign w:val="top"/>
          </w:tcPr>
          <w:p>
            <w:pPr>
              <w:spacing w:after="0"/>
            </w:pPr>
            <w:r/>
            <w:r>
              <w:rPr>
                <w:rFonts w:ascii="Aptos" w:hAnsi="Aptos"/>
                <w:b w:val="0"/>
                <w:sz w:val="14"/>
              </w:rPr>
              <w:t>SC12</w:t>
            </w:r>
          </w:p>
        </w:tc>
        <w:tc>
          <w:tcPr>
            <w:tcW w:type="dxa" w:w="2541"/>
            <w:vAlign w:val="top"/>
          </w:tcPr>
          <w:p>
            <w:pPr>
              <w:spacing w:after="0"/>
            </w:pPr>
            <w:r/>
            <w:r>
              <w:rPr>
                <w:rFonts w:ascii="Aptos" w:hAnsi="Aptos"/>
                <w:b w:val="0"/>
                <w:sz w:val="14"/>
              </w:rPr>
              <w:t>Rare/complex mixed evidence</w:t>
            </w:r>
          </w:p>
        </w:tc>
        <w:tc>
          <w:tcPr>
            <w:tcW w:type="dxa" w:w="2541"/>
            <w:vAlign w:val="top"/>
          </w:tcPr>
          <w:p>
            <w:pPr>
              <w:spacing w:after="0"/>
            </w:pPr>
            <w:r/>
            <w:r>
              <w:rPr>
                <w:rFonts w:ascii="Aptos" w:hAnsi="Aptos"/>
                <w:b w:val="0"/>
                <w:sz w:val="14"/>
              </w:rPr>
              <w:t>multiple etiologic hypotheses or bilateral/multifocal findings</w:t>
            </w:r>
          </w:p>
        </w:tc>
        <w:tc>
          <w:tcPr>
            <w:tcW w:type="dxa" w:w="2541"/>
            <w:vAlign w:val="top"/>
          </w:tcPr>
          <w:p>
            <w:pPr>
              <w:spacing w:after="0"/>
            </w:pPr>
            <w:r/>
            <w:r>
              <w:rPr>
                <w:rFonts w:ascii="Aptos" w:hAnsi="Aptos"/>
                <w:b w:val="0"/>
                <w:sz w:val="14"/>
              </w:rPr>
              <w:t>Stress test; clinician-reviewed templates only</w:t>
            </w:r>
          </w:p>
        </w:tc>
      </w:tr>
    </w:tbl>
    <w:p/>
    <w:p>
      <w:pPr>
        <w:pStyle w:val="Heading1"/>
      </w:pPr>
      <w:r>
        <w:t>11. Rule registry for generation</w:t>
      </w:r>
    </w:p>
    <w:p>
      <w:r>
        <w:t>Rules are divided into sourced rules and MedAI project constraints. Only sourced rules may be attributed to a standard. Project constraints exist to make the synthetic benchmark internally coherent and must be labeled MEDAI-PROPOSED.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D9EAF7"/>
          </w:tcPr>
          <w:p>
            <w:pPr>
              <w:spacing w:after="0"/>
            </w:pPr>
            <w:r/>
            <w:r>
              <w:rPr>
                <w:rFonts w:ascii="Aptos" w:hAnsi="Aptos"/>
                <w:b/>
                <w:sz w:val="15"/>
              </w:rPr>
              <w:t>Rule ID</w:t>
            </w:r>
          </w:p>
        </w:tc>
        <w:tc>
          <w:tcPr>
            <w:tcW w:type="dxa" w:w="2541"/>
            <w:shd w:fill="D9EAF7"/>
          </w:tcPr>
          <w:p>
            <w:pPr>
              <w:spacing w:after="0"/>
            </w:pPr>
            <w:r/>
            <w:r>
              <w:rPr>
                <w:rFonts w:ascii="Aptos" w:hAnsi="Aptos"/>
                <w:b/>
                <w:sz w:val="15"/>
              </w:rPr>
              <w:t>Rule</w:t>
            </w:r>
          </w:p>
        </w:tc>
        <w:tc>
          <w:tcPr>
            <w:tcW w:type="dxa" w:w="2541"/>
            <w:shd w:fill="D9EAF7"/>
          </w:tcPr>
          <w:p>
            <w:pPr>
              <w:spacing w:after="0"/>
            </w:pPr>
            <w:r/>
            <w:r>
              <w:rPr>
                <w:rFonts w:ascii="Aptos" w:hAnsi="Aptos"/>
                <w:b/>
                <w:sz w:val="15"/>
              </w:rPr>
              <w:t>Type</w:t>
            </w:r>
          </w:p>
        </w:tc>
        <w:tc>
          <w:tcPr>
            <w:tcW w:type="dxa" w:w="2541"/>
            <w:shd w:fill="D9EAF7"/>
          </w:tcPr>
          <w:p>
            <w:pPr>
              <w:spacing w:after="0"/>
            </w:pPr>
            <w:r/>
            <w:r>
              <w:rPr>
                <w:rFonts w:ascii="Aptos" w:hAnsi="Aptos"/>
                <w:b/>
                <w:sz w:val="15"/>
              </w:rPr>
              <w:t>Authority</w:t>
            </w:r>
          </w:p>
        </w:tc>
      </w:tr>
      <w:tr>
        <w:tc>
          <w:tcPr>
            <w:tcW w:type="dxa" w:w="2541"/>
            <w:vAlign w:val="top"/>
          </w:tcPr>
          <w:p>
            <w:pPr>
              <w:spacing w:after="0"/>
            </w:pPr>
            <w:r/>
            <w:r>
              <w:rPr>
                <w:rFonts w:ascii="Aptos" w:hAnsi="Aptos"/>
                <w:b w:val="0"/>
                <w:sz w:val="14"/>
              </w:rPr>
              <w:t>R-ILAE-001</w:t>
            </w:r>
          </w:p>
        </w:tc>
        <w:tc>
          <w:tcPr>
            <w:tcW w:type="dxa" w:w="2541"/>
            <w:vAlign w:val="top"/>
          </w:tcPr>
          <w:p>
            <w:pPr>
              <w:spacing w:after="0"/>
            </w:pPr>
            <w:r/>
            <w:r>
              <w:rPr>
                <w:rFonts w:ascii="Aptos" w:hAnsi="Aptos"/>
                <w:b w:val="0"/>
                <w:sz w:val="14"/>
              </w:rPr>
              <w:t>Seizure main class must use one of the four 2025 ILAE main classes.</w:t>
            </w:r>
          </w:p>
        </w:tc>
        <w:tc>
          <w:tcPr>
            <w:tcW w:type="dxa" w:w="2541"/>
            <w:vAlign w:val="top"/>
          </w:tcPr>
          <w:p>
            <w:pPr>
              <w:spacing w:after="0"/>
            </w:pPr>
            <w:r/>
            <w:r>
              <w:rPr>
                <w:rFonts w:ascii="Aptos" w:hAnsi="Aptos"/>
                <w:b w:val="0"/>
                <w:sz w:val="14"/>
              </w:rPr>
              <w:t>Hard semantic</w:t>
            </w:r>
          </w:p>
        </w:tc>
        <w:tc>
          <w:tcPr>
            <w:tcW w:type="dxa" w:w="2541"/>
            <w:vAlign w:val="top"/>
          </w:tcPr>
          <w:p>
            <w:pPr>
              <w:spacing w:after="0"/>
            </w:pPr>
            <w:r/>
            <w:r>
              <w:rPr>
                <w:rFonts w:ascii="Aptos" w:hAnsi="Aptos"/>
                <w:b w:val="0"/>
                <w:sz w:val="14"/>
              </w:rPr>
              <w:t>ILAE 2025 [S1]</w:t>
            </w:r>
          </w:p>
        </w:tc>
      </w:tr>
      <w:tr>
        <w:tc>
          <w:tcPr>
            <w:tcW w:type="dxa" w:w="2541"/>
            <w:vAlign w:val="top"/>
          </w:tcPr>
          <w:p>
            <w:pPr>
              <w:spacing w:after="0"/>
            </w:pPr>
            <w:r/>
            <w:r>
              <w:rPr>
                <w:rFonts w:ascii="Aptos" w:hAnsi="Aptos"/>
                <w:b w:val="0"/>
                <w:sz w:val="14"/>
              </w:rPr>
              <w:t>R-ILAE-002</w:t>
            </w:r>
          </w:p>
        </w:tc>
        <w:tc>
          <w:tcPr>
            <w:tcW w:type="dxa" w:w="2541"/>
            <w:vAlign w:val="top"/>
          </w:tcPr>
          <w:p>
            <w:pPr>
              <w:spacing w:after="0"/>
            </w:pPr>
            <w:r/>
            <w:r>
              <w:rPr>
                <w:rFonts w:ascii="Aptos" w:hAnsi="Aptos"/>
                <w:b w:val="0"/>
                <w:sz w:val="14"/>
              </w:rPr>
              <w:t>Epilepsy type is represented separately from seizure type and syndrome.</w:t>
            </w:r>
          </w:p>
        </w:tc>
        <w:tc>
          <w:tcPr>
            <w:tcW w:type="dxa" w:w="2541"/>
            <w:vAlign w:val="top"/>
          </w:tcPr>
          <w:p>
            <w:pPr>
              <w:spacing w:after="0"/>
            </w:pPr>
            <w:r/>
            <w:r>
              <w:rPr>
                <w:rFonts w:ascii="Aptos" w:hAnsi="Aptos"/>
                <w:b w:val="0"/>
                <w:sz w:val="14"/>
              </w:rPr>
              <w:t>Hard semantic</w:t>
            </w:r>
          </w:p>
        </w:tc>
        <w:tc>
          <w:tcPr>
            <w:tcW w:type="dxa" w:w="2541"/>
            <w:vAlign w:val="top"/>
          </w:tcPr>
          <w:p>
            <w:pPr>
              <w:spacing w:after="0"/>
            </w:pPr>
            <w:r/>
            <w:r>
              <w:rPr>
                <w:rFonts w:ascii="Aptos" w:hAnsi="Aptos"/>
                <w:b w:val="0"/>
                <w:sz w:val="14"/>
              </w:rPr>
              <w:t>ILAE framework [S2]</w:t>
            </w:r>
          </w:p>
        </w:tc>
      </w:tr>
      <w:tr>
        <w:tc>
          <w:tcPr>
            <w:tcW w:type="dxa" w:w="2541"/>
            <w:vAlign w:val="top"/>
          </w:tcPr>
          <w:p>
            <w:pPr>
              <w:spacing w:after="0"/>
            </w:pPr>
            <w:r/>
            <w:r>
              <w:rPr>
                <w:rFonts w:ascii="Aptos" w:hAnsi="Aptos"/>
                <w:b w:val="0"/>
                <w:sz w:val="14"/>
              </w:rPr>
              <w:t>R-DRE-001</w:t>
            </w:r>
          </w:p>
        </w:tc>
        <w:tc>
          <w:tcPr>
            <w:tcW w:type="dxa" w:w="2541"/>
            <w:vAlign w:val="top"/>
          </w:tcPr>
          <w:p>
            <w:pPr>
              <w:spacing w:after="0"/>
            </w:pPr>
            <w:r/>
            <w:r>
              <w:rPr>
                <w:rFonts w:ascii="Aptos" w:hAnsi="Aptos"/>
                <w:b w:val="0"/>
                <w:sz w:val="14"/>
              </w:rPr>
              <w:t>DRE=yes requires failure of adequate trials of two tolerated, appropriately chosen and used ASM schedules to achieve sustained seizure freedom.</w:t>
            </w:r>
          </w:p>
        </w:tc>
        <w:tc>
          <w:tcPr>
            <w:tcW w:type="dxa" w:w="2541"/>
            <w:vAlign w:val="top"/>
          </w:tcPr>
          <w:p>
            <w:pPr>
              <w:spacing w:after="0"/>
            </w:pPr>
            <w:r/>
            <w:r>
              <w:rPr>
                <w:rFonts w:ascii="Aptos" w:hAnsi="Aptos"/>
                <w:b w:val="0"/>
                <w:sz w:val="14"/>
              </w:rPr>
              <w:t>Hard derived</w:t>
            </w:r>
          </w:p>
        </w:tc>
        <w:tc>
          <w:tcPr>
            <w:tcW w:type="dxa" w:w="2541"/>
            <w:vAlign w:val="top"/>
          </w:tcPr>
          <w:p>
            <w:pPr>
              <w:spacing w:after="0"/>
            </w:pPr>
            <w:r/>
            <w:r>
              <w:rPr>
                <w:rFonts w:ascii="Aptos" w:hAnsi="Aptos"/>
                <w:b w:val="0"/>
                <w:sz w:val="14"/>
              </w:rPr>
              <w:t>ILAE consensus [S12]</w:t>
            </w:r>
          </w:p>
        </w:tc>
      </w:tr>
      <w:tr>
        <w:tc>
          <w:tcPr>
            <w:tcW w:type="dxa" w:w="2541"/>
            <w:vAlign w:val="top"/>
          </w:tcPr>
          <w:p>
            <w:pPr>
              <w:spacing w:after="0"/>
            </w:pPr>
            <w:r/>
            <w:r>
              <w:rPr>
                <w:rFonts w:ascii="Aptos" w:hAnsi="Aptos"/>
                <w:b w:val="0"/>
                <w:sz w:val="14"/>
              </w:rPr>
              <w:t>R-HS-001</w:t>
            </w:r>
          </w:p>
        </w:tc>
        <w:tc>
          <w:tcPr>
            <w:tcW w:type="dxa" w:w="2541"/>
            <w:vAlign w:val="top"/>
          </w:tcPr>
          <w:p>
            <w:pPr>
              <w:spacing w:after="0"/>
            </w:pPr>
            <w:r/>
            <w:r>
              <w:rPr>
                <w:rFonts w:ascii="Aptos" w:hAnsi="Aptos"/>
                <w:b w:val="0"/>
                <w:sz w:val="14"/>
              </w:rPr>
              <w:t>ILAE HS type 1/2/3 is pathology-level and must not be generated as an MRI-only subtype.</w:t>
            </w:r>
          </w:p>
        </w:tc>
        <w:tc>
          <w:tcPr>
            <w:tcW w:type="dxa" w:w="2541"/>
            <w:vAlign w:val="top"/>
          </w:tcPr>
          <w:p>
            <w:pPr>
              <w:spacing w:after="0"/>
            </w:pPr>
            <w:r/>
            <w:r>
              <w:rPr>
                <w:rFonts w:ascii="Aptos" w:hAnsi="Aptos"/>
                <w:b w:val="0"/>
                <w:sz w:val="14"/>
              </w:rPr>
              <w:t>Hard semantic</w:t>
            </w:r>
          </w:p>
        </w:tc>
        <w:tc>
          <w:tcPr>
            <w:tcW w:type="dxa" w:w="2541"/>
            <w:vAlign w:val="top"/>
          </w:tcPr>
          <w:p>
            <w:pPr>
              <w:spacing w:after="0"/>
            </w:pPr>
            <w:r/>
            <w:r>
              <w:rPr>
                <w:rFonts w:ascii="Aptos" w:hAnsi="Aptos"/>
                <w:b w:val="0"/>
                <w:sz w:val="14"/>
              </w:rPr>
              <w:t>ILAE HS pathology classification [S13]</w:t>
            </w:r>
          </w:p>
        </w:tc>
      </w:tr>
      <w:tr>
        <w:tc>
          <w:tcPr>
            <w:tcW w:type="dxa" w:w="2541"/>
            <w:vAlign w:val="top"/>
          </w:tcPr>
          <w:p>
            <w:pPr>
              <w:spacing w:after="0"/>
            </w:pPr>
            <w:r/>
            <w:r>
              <w:rPr>
                <w:rFonts w:ascii="Aptos" w:hAnsi="Aptos"/>
                <w:b w:val="0"/>
                <w:sz w:val="14"/>
              </w:rPr>
              <w:t>R-FCD-001</w:t>
            </w:r>
          </w:p>
        </w:tc>
        <w:tc>
          <w:tcPr>
            <w:tcW w:type="dxa" w:w="2541"/>
            <w:vAlign w:val="top"/>
          </w:tcPr>
          <w:p>
            <w:pPr>
              <w:spacing w:after="0"/>
            </w:pPr>
            <w:r/>
            <w:r>
              <w:rPr>
                <w:rFonts w:ascii="Aptos" w:hAnsi="Aptos"/>
                <w:b w:val="0"/>
                <w:sz w:val="14"/>
              </w:rPr>
              <w:t>Pathologic FCD classification must use the applicable ILAE FCD framework; imaging suspicion is stored separately from pathology.</w:t>
            </w:r>
          </w:p>
        </w:tc>
        <w:tc>
          <w:tcPr>
            <w:tcW w:type="dxa" w:w="2541"/>
            <w:vAlign w:val="top"/>
          </w:tcPr>
          <w:p>
            <w:pPr>
              <w:spacing w:after="0"/>
            </w:pPr>
            <w:r/>
            <w:r>
              <w:rPr>
                <w:rFonts w:ascii="Aptos" w:hAnsi="Aptos"/>
                <w:b w:val="0"/>
                <w:sz w:val="14"/>
              </w:rPr>
              <w:t>Hard semantic</w:t>
            </w:r>
          </w:p>
        </w:tc>
        <w:tc>
          <w:tcPr>
            <w:tcW w:type="dxa" w:w="2541"/>
            <w:vAlign w:val="top"/>
          </w:tcPr>
          <w:p>
            <w:pPr>
              <w:spacing w:after="0"/>
            </w:pPr>
            <w:r/>
            <w:r>
              <w:rPr>
                <w:rFonts w:ascii="Aptos" w:hAnsi="Aptos"/>
                <w:b w:val="0"/>
                <w:sz w:val="14"/>
              </w:rPr>
              <w:t>ILAE FCD 2022 [S14]</w:t>
            </w:r>
          </w:p>
        </w:tc>
      </w:tr>
      <w:tr>
        <w:tc>
          <w:tcPr>
            <w:tcW w:type="dxa" w:w="2541"/>
            <w:vAlign w:val="top"/>
          </w:tcPr>
          <w:p>
            <w:pPr>
              <w:spacing w:after="0"/>
            </w:pPr>
            <w:r/>
            <w:r>
              <w:rPr>
                <w:rFonts w:ascii="Aptos" w:hAnsi="Aptos"/>
                <w:b w:val="0"/>
                <w:sz w:val="14"/>
              </w:rPr>
              <w:t>R-RXN-001</w:t>
            </w:r>
          </w:p>
        </w:tc>
        <w:tc>
          <w:tcPr>
            <w:tcW w:type="dxa" w:w="2541"/>
            <w:vAlign w:val="top"/>
          </w:tcPr>
          <w:p>
            <w:pPr>
              <w:spacing w:after="0"/>
            </w:pPr>
            <w:r/>
            <w:r>
              <w:rPr>
                <w:rFonts w:ascii="Aptos" w:hAnsi="Aptos"/>
                <w:b w:val="0"/>
                <w:sz w:val="14"/>
              </w:rPr>
              <w:t>Brand/generic medication strings map to a normalized RxNorm concept where a verified mapping exists.</w:t>
            </w:r>
          </w:p>
        </w:tc>
        <w:tc>
          <w:tcPr>
            <w:tcW w:type="dxa" w:w="2541"/>
            <w:vAlign w:val="top"/>
          </w:tcPr>
          <w:p>
            <w:pPr>
              <w:spacing w:after="0"/>
            </w:pPr>
            <w:r/>
            <w:r>
              <w:rPr>
                <w:rFonts w:ascii="Aptos" w:hAnsi="Aptos"/>
                <w:b w:val="0"/>
                <w:sz w:val="14"/>
              </w:rPr>
              <w:t>Normalization</w:t>
            </w:r>
          </w:p>
        </w:tc>
        <w:tc>
          <w:tcPr>
            <w:tcW w:type="dxa" w:w="2541"/>
            <w:vAlign w:val="top"/>
          </w:tcPr>
          <w:p>
            <w:pPr>
              <w:spacing w:after="0"/>
            </w:pPr>
            <w:r/>
            <w:r>
              <w:rPr>
                <w:rFonts w:ascii="Aptos" w:hAnsi="Aptos"/>
                <w:b w:val="0"/>
                <w:sz w:val="14"/>
              </w:rPr>
              <w:t>NLM RxNorm [S7]</w:t>
            </w:r>
          </w:p>
        </w:tc>
      </w:tr>
      <w:tr>
        <w:tc>
          <w:tcPr>
            <w:tcW w:type="dxa" w:w="2541"/>
            <w:vAlign w:val="top"/>
          </w:tcPr>
          <w:p>
            <w:pPr>
              <w:spacing w:after="0"/>
            </w:pPr>
            <w:r/>
            <w:r>
              <w:rPr>
                <w:rFonts w:ascii="Aptos" w:hAnsi="Aptos"/>
                <w:b w:val="0"/>
                <w:sz w:val="14"/>
              </w:rPr>
              <w:t>R-EEG-001</w:t>
            </w:r>
          </w:p>
        </w:tc>
        <w:tc>
          <w:tcPr>
            <w:tcW w:type="dxa" w:w="2541"/>
            <w:vAlign w:val="top"/>
          </w:tcPr>
          <w:p>
            <w:pPr>
              <w:spacing w:after="0"/>
            </w:pPr>
            <w:r/>
            <w:r>
              <w:rPr>
                <w:rFonts w:ascii="Aptos" w:hAnsi="Aptos"/>
                <w:b w:val="0"/>
                <w:sz w:val="14"/>
              </w:rPr>
              <w:t>EEG structured descriptors use SCORE terminology for routine/epilepsy reporting where applicable.</w:t>
            </w:r>
          </w:p>
        </w:tc>
        <w:tc>
          <w:tcPr>
            <w:tcW w:type="dxa" w:w="2541"/>
            <w:vAlign w:val="top"/>
          </w:tcPr>
          <w:p>
            <w:pPr>
              <w:spacing w:after="0"/>
            </w:pPr>
            <w:r/>
            <w:r>
              <w:rPr>
                <w:rFonts w:ascii="Aptos" w:hAnsi="Aptos"/>
                <w:b w:val="0"/>
                <w:sz w:val="14"/>
              </w:rPr>
              <w:t>Normalization</w:t>
            </w:r>
          </w:p>
        </w:tc>
        <w:tc>
          <w:tcPr>
            <w:tcW w:type="dxa" w:w="2541"/>
            <w:vAlign w:val="top"/>
          </w:tcPr>
          <w:p>
            <w:pPr>
              <w:spacing w:after="0"/>
            </w:pPr>
            <w:r/>
            <w:r>
              <w:rPr>
                <w:rFonts w:ascii="Aptos" w:hAnsi="Aptos"/>
                <w:b w:val="0"/>
                <w:sz w:val="14"/>
              </w:rPr>
              <w:t>SCORE v2 [S10]</w:t>
            </w:r>
          </w:p>
        </w:tc>
      </w:tr>
      <w:tr>
        <w:tc>
          <w:tcPr>
            <w:tcW w:type="dxa" w:w="2541"/>
            <w:vAlign w:val="top"/>
          </w:tcPr>
          <w:p>
            <w:pPr>
              <w:spacing w:after="0"/>
            </w:pPr>
            <w:r/>
            <w:r>
              <w:rPr>
                <w:rFonts w:ascii="Aptos" w:hAnsi="Aptos"/>
                <w:b w:val="0"/>
                <w:sz w:val="14"/>
              </w:rPr>
              <w:t>R-ACNS-001</w:t>
            </w:r>
          </w:p>
        </w:tc>
        <w:tc>
          <w:tcPr>
            <w:tcW w:type="dxa" w:w="2541"/>
            <w:vAlign w:val="top"/>
          </w:tcPr>
          <w:p>
            <w:pPr>
              <w:spacing w:after="0"/>
            </w:pPr>
            <w:r/>
            <w:r>
              <w:rPr>
                <w:rFonts w:ascii="Aptos" w:hAnsi="Aptos"/>
                <w:b w:val="0"/>
                <w:sz w:val="14"/>
              </w:rPr>
              <w:t>Critical-care EEG terms are used only in the scope supported by ACNS terminology.</w:t>
            </w:r>
          </w:p>
        </w:tc>
        <w:tc>
          <w:tcPr>
            <w:tcW w:type="dxa" w:w="2541"/>
            <w:vAlign w:val="top"/>
          </w:tcPr>
          <w:p>
            <w:pPr>
              <w:spacing w:after="0"/>
            </w:pPr>
            <w:r/>
            <w:r>
              <w:rPr>
                <w:rFonts w:ascii="Aptos" w:hAnsi="Aptos"/>
                <w:b w:val="0"/>
                <w:sz w:val="14"/>
              </w:rPr>
              <w:t>Scope</w:t>
            </w:r>
          </w:p>
        </w:tc>
        <w:tc>
          <w:tcPr>
            <w:tcW w:type="dxa" w:w="2541"/>
            <w:vAlign w:val="top"/>
          </w:tcPr>
          <w:p>
            <w:pPr>
              <w:spacing w:after="0"/>
            </w:pPr>
            <w:r/>
            <w:r>
              <w:rPr>
                <w:rFonts w:ascii="Aptos" w:hAnsi="Aptos"/>
                <w:b w:val="0"/>
                <w:sz w:val="14"/>
              </w:rPr>
              <w:t>ACNS [S11]</w:t>
            </w:r>
          </w:p>
        </w:tc>
      </w:tr>
      <w:tr>
        <w:tc>
          <w:tcPr>
            <w:tcW w:type="dxa" w:w="2541"/>
            <w:vAlign w:val="top"/>
          </w:tcPr>
          <w:p>
            <w:pPr>
              <w:spacing w:after="0"/>
            </w:pPr>
            <w:r/>
            <w:r>
              <w:rPr>
                <w:rFonts w:ascii="Aptos" w:hAnsi="Aptos"/>
                <w:b w:val="0"/>
                <w:sz w:val="14"/>
              </w:rPr>
              <w:t>R-MEDAI-001</w:t>
            </w:r>
          </w:p>
        </w:tc>
        <w:tc>
          <w:tcPr>
            <w:tcW w:type="dxa" w:w="2541"/>
            <w:vAlign w:val="top"/>
          </w:tcPr>
          <w:p>
            <w:pPr>
              <w:spacing w:after="0"/>
            </w:pPr>
            <w:r/>
            <w:r>
              <w:rPr>
                <w:rFonts w:ascii="Aptos" w:hAnsi="Aptos"/>
                <w:b w:val="0"/>
                <w:sz w:val="14"/>
              </w:rPr>
              <w:t>Same study/timepoint cannot be both unequivocally lesion-absent and definite lesion-present.</w:t>
            </w:r>
          </w:p>
        </w:tc>
        <w:tc>
          <w:tcPr>
            <w:tcW w:type="dxa" w:w="2541"/>
            <w:vAlign w:val="top"/>
          </w:tcPr>
          <w:p>
            <w:pPr>
              <w:spacing w:after="0"/>
            </w:pPr>
            <w:r/>
            <w:r>
              <w:rPr>
                <w:rFonts w:ascii="Aptos" w:hAnsi="Aptos"/>
                <w:b w:val="0"/>
                <w:sz w:val="14"/>
              </w:rPr>
              <w:t>Hard consistency</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R-MEDAI-002</w:t>
            </w:r>
          </w:p>
        </w:tc>
        <w:tc>
          <w:tcPr>
            <w:tcW w:type="dxa" w:w="2541"/>
            <w:vAlign w:val="top"/>
          </w:tcPr>
          <w:p>
            <w:pPr>
              <w:spacing w:after="0"/>
            </w:pPr>
            <w:r/>
            <w:r>
              <w:rPr>
                <w:rFonts w:ascii="Aptos" w:hAnsi="Aptos"/>
                <w:b w:val="0"/>
                <w:sz w:val="14"/>
              </w:rPr>
              <w:t>A discontinued drug is not current unless a later restart event exists.</w:t>
            </w:r>
          </w:p>
        </w:tc>
        <w:tc>
          <w:tcPr>
            <w:tcW w:type="dxa" w:w="2541"/>
            <w:vAlign w:val="top"/>
          </w:tcPr>
          <w:p>
            <w:pPr>
              <w:spacing w:after="0"/>
            </w:pPr>
            <w:r/>
            <w:r>
              <w:rPr>
                <w:rFonts w:ascii="Aptos" w:hAnsi="Aptos"/>
                <w:b w:val="0"/>
                <w:sz w:val="14"/>
              </w:rPr>
              <w:t>Hard temporal</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R-MEDAI-003</w:t>
            </w:r>
          </w:p>
        </w:tc>
        <w:tc>
          <w:tcPr>
            <w:tcW w:type="dxa" w:w="2541"/>
            <w:vAlign w:val="top"/>
          </w:tcPr>
          <w:p>
            <w:pPr>
              <w:spacing w:after="0"/>
            </w:pPr>
            <w:r/>
            <w:r>
              <w:rPr>
                <w:rFonts w:ascii="Aptos" w:hAnsi="Aptos"/>
                <w:b w:val="0"/>
                <w:sz w:val="14"/>
              </w:rPr>
              <w:t>Postoperative outcome date must not precede procedure date.</w:t>
            </w:r>
          </w:p>
        </w:tc>
        <w:tc>
          <w:tcPr>
            <w:tcW w:type="dxa" w:w="2541"/>
            <w:vAlign w:val="top"/>
          </w:tcPr>
          <w:p>
            <w:pPr>
              <w:spacing w:after="0"/>
            </w:pPr>
            <w:r/>
            <w:r>
              <w:rPr>
                <w:rFonts w:ascii="Aptos" w:hAnsi="Aptos"/>
                <w:b w:val="0"/>
                <w:sz w:val="14"/>
              </w:rPr>
              <w:t>Hard temporal</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R-MEDAI-004</w:t>
            </w:r>
          </w:p>
        </w:tc>
        <w:tc>
          <w:tcPr>
            <w:tcW w:type="dxa" w:w="2541"/>
            <w:vAlign w:val="top"/>
          </w:tcPr>
          <w:p>
            <w:pPr>
              <w:spacing w:after="0"/>
            </w:pPr>
            <w:r/>
            <w:r>
              <w:rPr>
                <w:rFonts w:ascii="Aptos" w:hAnsi="Aptos"/>
                <w:b w:val="0"/>
                <w:sz w:val="14"/>
              </w:rPr>
              <w:t>A document may only state facts assigned to its visibility set or explicit historical references.</w:t>
            </w:r>
          </w:p>
        </w:tc>
        <w:tc>
          <w:tcPr>
            <w:tcW w:type="dxa" w:w="2541"/>
            <w:vAlign w:val="top"/>
          </w:tcPr>
          <w:p>
            <w:pPr>
              <w:spacing w:after="0"/>
            </w:pPr>
            <w:r/>
            <w:r>
              <w:rPr>
                <w:rFonts w:ascii="Aptos" w:hAnsi="Aptos"/>
                <w:b w:val="0"/>
                <w:sz w:val="14"/>
              </w:rPr>
              <w:t>Hard generation</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R-MEDAI-005</w:t>
            </w:r>
          </w:p>
        </w:tc>
        <w:tc>
          <w:tcPr>
            <w:tcW w:type="dxa" w:w="2541"/>
            <w:vAlign w:val="top"/>
          </w:tcPr>
          <w:p>
            <w:pPr>
              <w:spacing w:after="0"/>
            </w:pPr>
            <w:r/>
            <w:r>
              <w:rPr>
                <w:rFonts w:ascii="Aptos" w:hAnsi="Aptos"/>
                <w:b w:val="0"/>
                <w:sz w:val="14"/>
              </w:rPr>
              <w:t>Uncertain source truth may not be rendered as definite unless a separate later confirmation event exists.</w:t>
            </w:r>
          </w:p>
        </w:tc>
        <w:tc>
          <w:tcPr>
            <w:tcW w:type="dxa" w:w="2541"/>
            <w:vAlign w:val="top"/>
          </w:tcPr>
          <w:p>
            <w:pPr>
              <w:spacing w:after="0"/>
            </w:pPr>
            <w:r/>
            <w:r>
              <w:rPr>
                <w:rFonts w:ascii="Aptos" w:hAnsi="Aptos"/>
                <w:b w:val="0"/>
                <w:sz w:val="14"/>
              </w:rPr>
              <w:t>Hard epistemic</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R-MEDAI-006</w:t>
            </w:r>
          </w:p>
        </w:tc>
        <w:tc>
          <w:tcPr>
            <w:tcW w:type="dxa" w:w="2541"/>
            <w:vAlign w:val="top"/>
          </w:tcPr>
          <w:p>
            <w:pPr>
              <w:spacing w:after="0"/>
            </w:pPr>
            <w:r/>
            <w:r>
              <w:rPr>
                <w:rFonts w:ascii="Aptos" w:hAnsi="Aptos"/>
                <w:b w:val="0"/>
                <w:sz w:val="14"/>
              </w:rPr>
              <w:t>Conflicting source assertions are retained; patient synthesis may flag conflict but may not silently overwrite them.</w:t>
            </w:r>
          </w:p>
        </w:tc>
        <w:tc>
          <w:tcPr>
            <w:tcW w:type="dxa" w:w="2541"/>
            <w:vAlign w:val="top"/>
          </w:tcPr>
          <w:p>
            <w:pPr>
              <w:spacing w:after="0"/>
            </w:pPr>
            <w:r/>
            <w:r>
              <w:rPr>
                <w:rFonts w:ascii="Aptos" w:hAnsi="Aptos"/>
                <w:b w:val="0"/>
                <w:sz w:val="14"/>
              </w:rPr>
              <w:t>Hard provenance</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R-MEDAI-007</w:t>
            </w:r>
          </w:p>
        </w:tc>
        <w:tc>
          <w:tcPr>
            <w:tcW w:type="dxa" w:w="2541"/>
            <w:vAlign w:val="top"/>
          </w:tcPr>
          <w:p>
            <w:pPr>
              <w:spacing w:after="0"/>
            </w:pPr>
            <w:r/>
            <w:r>
              <w:rPr>
                <w:rFonts w:ascii="Aptos" w:hAnsi="Aptos"/>
                <w:b w:val="0"/>
                <w:sz w:val="14"/>
              </w:rPr>
              <w:t>Synthetic benchmark class balance is a sampling design, not an estimate of clinical prevalence.</w:t>
            </w:r>
          </w:p>
        </w:tc>
        <w:tc>
          <w:tcPr>
            <w:tcW w:type="dxa" w:w="2541"/>
            <w:vAlign w:val="top"/>
          </w:tcPr>
          <w:p>
            <w:pPr>
              <w:spacing w:after="0"/>
            </w:pPr>
            <w:r/>
            <w:r>
              <w:rPr>
                <w:rFonts w:ascii="Aptos" w:hAnsi="Aptos"/>
                <w:b w:val="0"/>
                <w:sz w:val="14"/>
              </w:rPr>
              <w:t>Reporting</w:t>
            </w:r>
          </w:p>
        </w:tc>
        <w:tc>
          <w:tcPr>
            <w:tcW w:type="dxa" w:w="2541"/>
            <w:vAlign w:val="top"/>
          </w:tcPr>
          <w:p>
            <w:pPr>
              <w:spacing w:after="0"/>
            </w:pPr>
            <w:r/>
            <w:r>
              <w:rPr>
                <w:rFonts w:ascii="Aptos" w:hAnsi="Aptos"/>
                <w:b w:val="0"/>
                <w:sz w:val="14"/>
              </w:rPr>
              <w:t>MEDAI-PROPOSED</w:t>
            </w:r>
          </w:p>
        </w:tc>
      </w:tr>
      <w:tr>
        <w:tc>
          <w:tcPr>
            <w:tcW w:type="dxa" w:w="2541"/>
            <w:vAlign w:val="top"/>
          </w:tcPr>
          <w:p>
            <w:pPr>
              <w:spacing w:after="0"/>
            </w:pPr>
            <w:r/>
            <w:r>
              <w:rPr>
                <w:rFonts w:ascii="Aptos" w:hAnsi="Aptos"/>
                <w:b w:val="0"/>
                <w:sz w:val="14"/>
              </w:rPr>
              <w:t>R-MEDAI-008</w:t>
            </w:r>
          </w:p>
        </w:tc>
        <w:tc>
          <w:tcPr>
            <w:tcW w:type="dxa" w:w="2541"/>
            <w:vAlign w:val="top"/>
          </w:tcPr>
          <w:p>
            <w:pPr>
              <w:spacing w:after="0"/>
            </w:pPr>
            <w:r/>
            <w:r>
              <w:rPr>
                <w:rFonts w:ascii="Aptos" w:hAnsi="Aptos"/>
                <w:b w:val="0"/>
                <w:sz w:val="14"/>
              </w:rPr>
              <w:t>A generated note must contain no phenotype assertion outside the latent truth/allowed distractor set.</w:t>
            </w:r>
          </w:p>
        </w:tc>
        <w:tc>
          <w:tcPr>
            <w:tcW w:type="dxa" w:w="2541"/>
            <w:vAlign w:val="top"/>
          </w:tcPr>
          <w:p>
            <w:pPr>
              <w:spacing w:after="0"/>
            </w:pPr>
            <w:r/>
            <w:r>
              <w:rPr>
                <w:rFonts w:ascii="Aptos" w:hAnsi="Aptos"/>
                <w:b w:val="0"/>
                <w:sz w:val="14"/>
              </w:rPr>
              <w:t>Hard generation</w:t>
            </w:r>
          </w:p>
        </w:tc>
        <w:tc>
          <w:tcPr>
            <w:tcW w:type="dxa" w:w="2541"/>
            <w:vAlign w:val="top"/>
          </w:tcPr>
          <w:p>
            <w:pPr>
              <w:spacing w:after="0"/>
            </w:pPr>
            <w:r/>
            <w:r>
              <w:rPr>
                <w:rFonts w:ascii="Aptos" w:hAnsi="Aptos"/>
                <w:b w:val="0"/>
                <w:sz w:val="14"/>
              </w:rPr>
              <w:t>MEDAI-PROPOSED</w:t>
            </w:r>
          </w:p>
        </w:tc>
      </w:tr>
    </w:tbl>
    <w:p/>
    <w:p>
      <w:pPr>
        <w:pStyle w:val="Heading1"/>
      </w:pPr>
      <w:r>
        <w:t>12. Drug-resistant epilepsy operationalization</w:t>
      </w:r>
    </w:p>
    <w:p>
      <w:r>
        <w:t>The ILAE consensus definition proposes DRE as failure of adequate trials of two tolerated, appropriately chosen and used antiseizure drug schedules, whether monotherapy or combination, to achieve sustained seizure freedom [S12]. MedAI must therefore avoid simplistic rules such as 'two medications mentioned = DRE'.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Trial attribute</w:t>
            </w:r>
          </w:p>
        </w:tc>
        <w:tc>
          <w:tcPr>
            <w:tcW w:type="dxa" w:w="3389"/>
            <w:shd w:fill="D9EAF7"/>
          </w:tcPr>
          <w:p>
            <w:pPr>
              <w:spacing w:after="0"/>
            </w:pPr>
            <w:r/>
            <w:r>
              <w:rPr>
                <w:rFonts w:ascii="Aptos" w:hAnsi="Aptos"/>
                <w:b/>
                <w:sz w:val="15"/>
              </w:rPr>
              <w:t>Required MedAI representation</w:t>
            </w:r>
          </w:p>
        </w:tc>
        <w:tc>
          <w:tcPr>
            <w:tcW w:type="dxa" w:w="3389"/>
            <w:shd w:fill="D9EAF7"/>
          </w:tcPr>
          <w:p>
            <w:pPr>
              <w:spacing w:after="0"/>
            </w:pPr>
            <w:r/>
            <w:r>
              <w:rPr>
                <w:rFonts w:ascii="Aptos" w:hAnsi="Aptos"/>
                <w:b/>
                <w:sz w:val="15"/>
              </w:rPr>
              <w:t>Generation rule</w:t>
            </w:r>
          </w:p>
        </w:tc>
      </w:tr>
      <w:tr>
        <w:tc>
          <w:tcPr>
            <w:tcW w:type="dxa" w:w="3389"/>
            <w:vAlign w:val="top"/>
          </w:tcPr>
          <w:p>
            <w:pPr>
              <w:spacing w:after="0"/>
            </w:pPr>
            <w:r/>
            <w:r>
              <w:rPr>
                <w:rFonts w:ascii="Aptos" w:hAnsi="Aptos"/>
                <w:b w:val="0"/>
                <w:sz w:val="14"/>
              </w:rPr>
              <w:t>drug</w:t>
            </w:r>
          </w:p>
        </w:tc>
        <w:tc>
          <w:tcPr>
            <w:tcW w:type="dxa" w:w="3389"/>
            <w:vAlign w:val="top"/>
          </w:tcPr>
          <w:p>
            <w:pPr>
              <w:spacing w:after="0"/>
            </w:pPr>
            <w:r/>
            <w:r>
              <w:rPr>
                <w:rFonts w:ascii="Aptos" w:hAnsi="Aptos"/>
                <w:b w:val="0"/>
                <w:sz w:val="14"/>
              </w:rPr>
              <w:t>Normalized medication identity</w:t>
            </w:r>
          </w:p>
        </w:tc>
        <w:tc>
          <w:tcPr>
            <w:tcW w:type="dxa" w:w="3389"/>
            <w:vAlign w:val="top"/>
          </w:tcPr>
          <w:p>
            <w:pPr>
              <w:spacing w:after="0"/>
            </w:pPr>
            <w:r/>
            <w:r>
              <w:rPr>
                <w:rFonts w:ascii="Aptos" w:hAnsi="Aptos"/>
                <w:b w:val="0"/>
                <w:sz w:val="14"/>
              </w:rPr>
              <w:t>RxNorm mapping where verified [S7]</w:t>
            </w:r>
          </w:p>
        </w:tc>
      </w:tr>
      <w:tr>
        <w:tc>
          <w:tcPr>
            <w:tcW w:type="dxa" w:w="3389"/>
            <w:vAlign w:val="top"/>
          </w:tcPr>
          <w:p>
            <w:pPr>
              <w:spacing w:after="0"/>
            </w:pPr>
            <w:r/>
            <w:r>
              <w:rPr>
                <w:rFonts w:ascii="Aptos" w:hAnsi="Aptos"/>
                <w:b w:val="0"/>
                <w:sz w:val="14"/>
              </w:rPr>
              <w:t>appropriately chosen/used</w:t>
            </w:r>
          </w:p>
        </w:tc>
        <w:tc>
          <w:tcPr>
            <w:tcW w:type="dxa" w:w="3389"/>
            <w:vAlign w:val="top"/>
          </w:tcPr>
          <w:p>
            <w:pPr>
              <w:spacing w:after="0"/>
            </w:pPr>
            <w:r/>
            <w:r>
              <w:rPr>
                <w:rFonts w:ascii="Aptos" w:hAnsi="Aptos"/>
                <w:b w:val="0"/>
                <w:sz w:val="14"/>
              </w:rPr>
              <w:t>yes/no/indeterminate</w:t>
            </w:r>
          </w:p>
        </w:tc>
        <w:tc>
          <w:tcPr>
            <w:tcW w:type="dxa" w:w="3389"/>
            <w:vAlign w:val="top"/>
          </w:tcPr>
          <w:p>
            <w:pPr>
              <w:spacing w:after="0"/>
            </w:pPr>
            <w:r/>
            <w:r>
              <w:rPr>
                <w:rFonts w:ascii="Aptos" w:hAnsi="Aptos"/>
                <w:b w:val="0"/>
                <w:sz w:val="14"/>
              </w:rPr>
              <w:t>For synthetic truth, scenario template must specify this; do not infer solely from drug name.</w:t>
            </w:r>
          </w:p>
        </w:tc>
      </w:tr>
      <w:tr>
        <w:tc>
          <w:tcPr>
            <w:tcW w:type="dxa" w:w="3389"/>
            <w:vAlign w:val="top"/>
          </w:tcPr>
          <w:p>
            <w:pPr>
              <w:spacing w:after="0"/>
            </w:pPr>
            <w:r/>
            <w:r>
              <w:rPr>
                <w:rFonts w:ascii="Aptos" w:hAnsi="Aptos"/>
                <w:b w:val="0"/>
                <w:sz w:val="14"/>
              </w:rPr>
              <w:t>tolerated</w:t>
            </w:r>
          </w:p>
        </w:tc>
        <w:tc>
          <w:tcPr>
            <w:tcW w:type="dxa" w:w="3389"/>
            <w:vAlign w:val="top"/>
          </w:tcPr>
          <w:p>
            <w:pPr>
              <w:spacing w:after="0"/>
            </w:pPr>
            <w:r/>
            <w:r>
              <w:rPr>
                <w:rFonts w:ascii="Aptos" w:hAnsi="Aptos"/>
                <w:b w:val="0"/>
                <w:sz w:val="14"/>
              </w:rPr>
              <w:t>yes/no/indeterminate</w:t>
            </w:r>
          </w:p>
        </w:tc>
        <w:tc>
          <w:tcPr>
            <w:tcW w:type="dxa" w:w="3389"/>
            <w:vAlign w:val="top"/>
          </w:tcPr>
          <w:p>
            <w:pPr>
              <w:spacing w:after="0"/>
            </w:pPr>
            <w:r/>
            <w:r>
              <w:rPr>
                <w:rFonts w:ascii="Aptos" w:hAnsi="Aptos"/>
                <w:b w:val="0"/>
                <w:sz w:val="14"/>
              </w:rPr>
              <w:t>Adverse-effect discontinuation may mean not tolerated.</w:t>
            </w:r>
          </w:p>
        </w:tc>
      </w:tr>
      <w:tr>
        <w:tc>
          <w:tcPr>
            <w:tcW w:type="dxa" w:w="3389"/>
            <w:vAlign w:val="top"/>
          </w:tcPr>
          <w:p>
            <w:pPr>
              <w:spacing w:after="0"/>
            </w:pPr>
            <w:r/>
            <w:r>
              <w:rPr>
                <w:rFonts w:ascii="Aptos" w:hAnsi="Aptos"/>
                <w:b w:val="0"/>
                <w:sz w:val="14"/>
              </w:rPr>
              <w:t>adequate trial</w:t>
            </w:r>
          </w:p>
        </w:tc>
        <w:tc>
          <w:tcPr>
            <w:tcW w:type="dxa" w:w="3389"/>
            <w:vAlign w:val="top"/>
          </w:tcPr>
          <w:p>
            <w:pPr>
              <w:spacing w:after="0"/>
            </w:pPr>
            <w:r/>
            <w:r>
              <w:rPr>
                <w:rFonts w:ascii="Aptos" w:hAnsi="Aptos"/>
                <w:b w:val="0"/>
                <w:sz w:val="14"/>
              </w:rPr>
              <w:t>yes/no/indeterminate</w:t>
            </w:r>
          </w:p>
        </w:tc>
        <w:tc>
          <w:tcPr>
            <w:tcW w:type="dxa" w:w="3389"/>
            <w:vAlign w:val="top"/>
          </w:tcPr>
          <w:p>
            <w:pPr>
              <w:spacing w:after="0"/>
            </w:pPr>
            <w:r/>
            <w:r>
              <w:rPr>
                <w:rFonts w:ascii="Aptos" w:hAnsi="Aptos"/>
                <w:b w:val="0"/>
                <w:sz w:val="14"/>
              </w:rPr>
              <w:t>Synthetic scenario must explicitly set adequacy or supporting facts.</w:t>
            </w:r>
          </w:p>
        </w:tc>
      </w:tr>
      <w:tr>
        <w:tc>
          <w:tcPr>
            <w:tcW w:type="dxa" w:w="3389"/>
            <w:vAlign w:val="top"/>
          </w:tcPr>
          <w:p>
            <w:pPr>
              <w:spacing w:after="0"/>
            </w:pPr>
            <w:r/>
            <w:r>
              <w:rPr>
                <w:rFonts w:ascii="Aptos" w:hAnsi="Aptos"/>
                <w:b w:val="0"/>
                <w:sz w:val="14"/>
              </w:rPr>
              <w:t>outcome</w:t>
            </w:r>
          </w:p>
        </w:tc>
        <w:tc>
          <w:tcPr>
            <w:tcW w:type="dxa" w:w="3389"/>
            <w:vAlign w:val="top"/>
          </w:tcPr>
          <w:p>
            <w:pPr>
              <w:spacing w:after="0"/>
            </w:pPr>
            <w:r/>
            <w:r>
              <w:rPr>
                <w:rFonts w:ascii="Aptos" w:hAnsi="Aptos"/>
                <w:b w:val="0"/>
                <w:sz w:val="14"/>
              </w:rPr>
              <w:t>sustained seizure freedom / failure / partial response / indeterminate</w:t>
            </w:r>
          </w:p>
        </w:tc>
        <w:tc>
          <w:tcPr>
            <w:tcW w:type="dxa" w:w="3389"/>
            <w:vAlign w:val="top"/>
          </w:tcPr>
          <w:p>
            <w:pPr>
              <w:spacing w:after="0"/>
            </w:pPr>
            <w:r/>
            <w:r>
              <w:rPr>
                <w:rFonts w:ascii="Aptos" w:hAnsi="Aptos"/>
                <w:b w:val="0"/>
                <w:sz w:val="14"/>
              </w:rPr>
              <w:t>Must be time-indexed.</w:t>
            </w:r>
          </w:p>
        </w:tc>
      </w:tr>
      <w:tr>
        <w:tc>
          <w:tcPr>
            <w:tcW w:type="dxa" w:w="3389"/>
            <w:vAlign w:val="top"/>
          </w:tcPr>
          <w:p>
            <w:pPr>
              <w:spacing w:after="0"/>
            </w:pPr>
            <w:r/>
            <w:r>
              <w:rPr>
                <w:rFonts w:ascii="Aptos" w:hAnsi="Aptos"/>
                <w:b w:val="0"/>
                <w:sz w:val="14"/>
              </w:rPr>
              <w:t>count toward DRE</w:t>
            </w:r>
          </w:p>
        </w:tc>
        <w:tc>
          <w:tcPr>
            <w:tcW w:type="dxa" w:w="3389"/>
            <w:vAlign w:val="top"/>
          </w:tcPr>
          <w:p>
            <w:pPr>
              <w:spacing w:after="0"/>
            </w:pPr>
            <w:r/>
            <w:r>
              <w:rPr>
                <w:rFonts w:ascii="Aptos" w:hAnsi="Aptos"/>
                <w:b w:val="0"/>
                <w:sz w:val="14"/>
              </w:rPr>
              <w:t>yes/no/indeterminate</w:t>
            </w:r>
          </w:p>
        </w:tc>
        <w:tc>
          <w:tcPr>
            <w:tcW w:type="dxa" w:w="3389"/>
            <w:vAlign w:val="top"/>
          </w:tcPr>
          <w:p>
            <w:pPr>
              <w:spacing w:after="0"/>
            </w:pPr>
            <w:r/>
            <w:r>
              <w:rPr>
                <w:rFonts w:ascii="Aptos" w:hAnsi="Aptos"/>
                <w:b w:val="0"/>
                <w:sz w:val="14"/>
              </w:rPr>
              <w:t>Derived only when criteria are satisfied.</w:t>
            </w:r>
          </w:p>
        </w:tc>
      </w:tr>
      <w:tr>
        <w:tc>
          <w:tcPr>
            <w:tcW w:type="dxa" w:w="3389"/>
            <w:vAlign w:val="top"/>
          </w:tcPr>
          <w:p>
            <w:pPr>
              <w:spacing w:after="0"/>
            </w:pPr>
            <w:r/>
            <w:r>
              <w:rPr>
                <w:rFonts w:ascii="Aptos" w:hAnsi="Aptos"/>
                <w:b w:val="0"/>
                <w:sz w:val="14"/>
              </w:rPr>
              <w:t>DRE status</w:t>
            </w:r>
          </w:p>
        </w:tc>
        <w:tc>
          <w:tcPr>
            <w:tcW w:type="dxa" w:w="3389"/>
            <w:vAlign w:val="top"/>
          </w:tcPr>
          <w:p>
            <w:pPr>
              <w:spacing w:after="0"/>
            </w:pPr>
            <w:r/>
            <w:r>
              <w:rPr>
                <w:rFonts w:ascii="Aptos" w:hAnsi="Aptos"/>
                <w:b w:val="0"/>
                <w:sz w:val="14"/>
              </w:rPr>
              <w:t>yes/no/indeterminate</w:t>
            </w:r>
          </w:p>
        </w:tc>
        <w:tc>
          <w:tcPr>
            <w:tcW w:type="dxa" w:w="3389"/>
            <w:vAlign w:val="top"/>
          </w:tcPr>
          <w:p>
            <w:pPr>
              <w:spacing w:after="0"/>
            </w:pPr>
            <w:r/>
            <w:r>
              <w:rPr>
                <w:rFonts w:ascii="Aptos" w:hAnsi="Aptos"/>
                <w:b w:val="0"/>
                <w:sz w:val="14"/>
              </w:rPr>
              <w:t>yes only when rule threshold is met; indeterminate when evidence is insufficient.</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8"/>
              </w:rPr>
              <w:t>Conservative v1 rule</w:t>
              <w:br/>
            </w:r>
            <w:r>
              <w:rPr>
                <w:sz w:val="17"/>
              </w:rPr>
              <w:t>For synthetic generation, DRE-positive cases should explicitly encode the required two qualifying failed trials. For extraction, if documentation does not establish trial adequacy/appropriateness/tolerability, return indeterminate rather than forcing yes/no. This conservative operationalization is MEDAI-PROPOSED but anchored to the ILAE definition [S12].</w:t>
            </w:r>
          </w:p>
        </w:tc>
      </w:tr>
    </w:tbl>
    <w:p/>
    <w:p>
      <w:pPr>
        <w:pStyle w:val="Heading1"/>
      </w:pPr>
      <w:r>
        <w:t>13. MRI phenotype specification</w:t>
      </w:r>
    </w:p>
    <w:p>
      <w:r>
        <w:t>RadLex provides a radiology terminology designed for reporting, decision support, data mining, registries, education, and research [S9]. MedAI uses RadLex/SNOMED/EpSO for normalization where mappings are verified, while epilepsy-specific interpretation remains a separate assertion.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Field</w:t>
            </w:r>
          </w:p>
        </w:tc>
        <w:tc>
          <w:tcPr>
            <w:tcW w:type="dxa" w:w="3389"/>
            <w:shd w:fill="D9EAF7"/>
          </w:tcPr>
          <w:p>
            <w:pPr>
              <w:spacing w:after="0"/>
            </w:pPr>
            <w:r/>
            <w:r>
              <w:rPr>
                <w:rFonts w:ascii="Aptos" w:hAnsi="Aptos"/>
                <w:b/>
                <w:sz w:val="15"/>
              </w:rPr>
              <w:t>Example</w:t>
            </w:r>
          </w:p>
        </w:tc>
        <w:tc>
          <w:tcPr>
            <w:tcW w:type="dxa" w:w="3389"/>
            <w:shd w:fill="D9EAF7"/>
          </w:tcPr>
          <w:p>
            <w:pPr>
              <w:spacing w:after="0"/>
            </w:pPr>
            <w:r/>
            <w:r>
              <w:rPr>
                <w:rFonts w:ascii="Aptos" w:hAnsi="Aptos"/>
                <w:b/>
                <w:sz w:val="15"/>
              </w:rPr>
              <w:t>Generation guidance</w:t>
            </w:r>
          </w:p>
        </w:tc>
      </w:tr>
      <w:tr>
        <w:tc>
          <w:tcPr>
            <w:tcW w:type="dxa" w:w="3389"/>
            <w:vAlign w:val="top"/>
          </w:tcPr>
          <w:p>
            <w:pPr>
              <w:spacing w:after="0"/>
            </w:pPr>
            <w:r/>
            <w:r>
              <w:rPr>
                <w:rFonts w:ascii="Aptos" w:hAnsi="Aptos"/>
                <w:b w:val="0"/>
                <w:sz w:val="14"/>
              </w:rPr>
              <w:t>mri_abnormal</w:t>
            </w:r>
          </w:p>
        </w:tc>
        <w:tc>
          <w:tcPr>
            <w:tcW w:type="dxa" w:w="3389"/>
            <w:vAlign w:val="top"/>
          </w:tcPr>
          <w:p>
            <w:pPr>
              <w:spacing w:after="0"/>
            </w:pPr>
            <w:r/>
            <w:r>
              <w:rPr>
                <w:rFonts w:ascii="Aptos" w:hAnsi="Aptos"/>
                <w:b w:val="0"/>
                <w:sz w:val="14"/>
              </w:rPr>
              <w:t>true</w:t>
            </w:r>
          </w:p>
        </w:tc>
        <w:tc>
          <w:tcPr>
            <w:tcW w:type="dxa" w:w="3389"/>
            <w:vAlign w:val="top"/>
          </w:tcPr>
          <w:p>
            <w:pPr>
              <w:spacing w:after="0"/>
            </w:pPr>
            <w:r/>
            <w:r>
              <w:rPr>
                <w:rFonts w:ascii="Aptos" w:hAnsi="Aptos"/>
                <w:b w:val="0"/>
                <w:sz w:val="14"/>
              </w:rPr>
              <w:t>May coexist with no identified epileptogenic lesion if abnormality is incidental.</w:t>
            </w:r>
          </w:p>
        </w:tc>
      </w:tr>
      <w:tr>
        <w:tc>
          <w:tcPr>
            <w:tcW w:type="dxa" w:w="3389"/>
            <w:vAlign w:val="top"/>
          </w:tcPr>
          <w:p>
            <w:pPr>
              <w:spacing w:after="0"/>
            </w:pPr>
            <w:r/>
            <w:r>
              <w:rPr>
                <w:rFonts w:ascii="Aptos" w:hAnsi="Aptos"/>
                <w:b w:val="0"/>
                <w:sz w:val="14"/>
              </w:rPr>
              <w:t>mri_epileptogenic_lesion</w:t>
            </w:r>
          </w:p>
        </w:tc>
        <w:tc>
          <w:tcPr>
            <w:tcW w:type="dxa" w:w="3389"/>
            <w:vAlign w:val="top"/>
          </w:tcPr>
          <w:p>
            <w:pPr>
              <w:spacing w:after="0"/>
            </w:pPr>
            <w:r/>
            <w:r>
              <w:rPr>
                <w:rFonts w:ascii="Aptos" w:hAnsi="Aptos"/>
                <w:b w:val="0"/>
                <w:sz w:val="14"/>
              </w:rPr>
              <w:t>possible</w:t>
            </w:r>
          </w:p>
        </w:tc>
        <w:tc>
          <w:tcPr>
            <w:tcW w:type="dxa" w:w="3389"/>
            <w:vAlign w:val="top"/>
          </w:tcPr>
          <w:p>
            <w:pPr>
              <w:spacing w:after="0"/>
            </w:pPr>
            <w:r/>
            <w:r>
              <w:rPr>
                <w:rFonts w:ascii="Aptos" w:hAnsi="Aptos"/>
                <w:b w:val="0"/>
                <w:sz w:val="14"/>
              </w:rPr>
              <w:t>Keep certainty separate from lesion type.</w:t>
            </w:r>
          </w:p>
        </w:tc>
      </w:tr>
      <w:tr>
        <w:tc>
          <w:tcPr>
            <w:tcW w:type="dxa" w:w="3389"/>
            <w:vAlign w:val="top"/>
          </w:tcPr>
          <w:p>
            <w:pPr>
              <w:spacing w:after="0"/>
            </w:pPr>
            <w:r/>
            <w:r>
              <w:rPr>
                <w:rFonts w:ascii="Aptos" w:hAnsi="Aptos"/>
                <w:b w:val="0"/>
                <w:sz w:val="14"/>
              </w:rPr>
              <w:t>mri_lesion_type</w:t>
            </w:r>
          </w:p>
        </w:tc>
        <w:tc>
          <w:tcPr>
            <w:tcW w:type="dxa" w:w="3389"/>
            <w:vAlign w:val="top"/>
          </w:tcPr>
          <w:p>
            <w:pPr>
              <w:spacing w:after="0"/>
            </w:pPr>
            <w:r/>
            <w:r>
              <w:rPr>
                <w:rFonts w:ascii="Aptos" w:hAnsi="Aptos"/>
                <w:b w:val="0"/>
                <w:sz w:val="14"/>
              </w:rPr>
              <w:t>hippocampal sclerosis</w:t>
            </w:r>
          </w:p>
        </w:tc>
        <w:tc>
          <w:tcPr>
            <w:tcW w:type="dxa" w:w="3389"/>
            <w:vAlign w:val="top"/>
          </w:tcPr>
          <w:p>
            <w:pPr>
              <w:spacing w:after="0"/>
            </w:pPr>
            <w:r/>
            <w:r>
              <w:rPr>
                <w:rFonts w:ascii="Aptos" w:hAnsi="Aptos"/>
                <w:b w:val="0"/>
                <w:sz w:val="14"/>
              </w:rPr>
              <w:t>MRI-level finding, not pathology subtype.</w:t>
            </w:r>
          </w:p>
        </w:tc>
      </w:tr>
      <w:tr>
        <w:tc>
          <w:tcPr>
            <w:tcW w:type="dxa" w:w="3389"/>
            <w:vAlign w:val="top"/>
          </w:tcPr>
          <w:p>
            <w:pPr>
              <w:spacing w:after="0"/>
            </w:pPr>
            <w:r/>
            <w:r>
              <w:rPr>
                <w:rFonts w:ascii="Aptos" w:hAnsi="Aptos"/>
                <w:b w:val="0"/>
                <w:sz w:val="14"/>
              </w:rPr>
              <w:t>mri_location</w:t>
            </w:r>
          </w:p>
        </w:tc>
        <w:tc>
          <w:tcPr>
            <w:tcW w:type="dxa" w:w="3389"/>
            <w:vAlign w:val="top"/>
          </w:tcPr>
          <w:p>
            <w:pPr>
              <w:spacing w:after="0"/>
            </w:pPr>
            <w:r/>
            <w:r>
              <w:rPr>
                <w:rFonts w:ascii="Aptos" w:hAnsi="Aptos"/>
                <w:b w:val="0"/>
                <w:sz w:val="14"/>
              </w:rPr>
              <w:t>mesial temporal / hippocampus</w:t>
            </w:r>
          </w:p>
        </w:tc>
        <w:tc>
          <w:tcPr>
            <w:tcW w:type="dxa" w:w="3389"/>
            <w:vAlign w:val="top"/>
          </w:tcPr>
          <w:p>
            <w:pPr>
              <w:spacing w:after="0"/>
            </w:pPr>
            <w:r/>
            <w:r>
              <w:rPr>
                <w:rFonts w:ascii="Aptos" w:hAnsi="Aptos"/>
                <w:b w:val="0"/>
                <w:sz w:val="14"/>
              </w:rPr>
              <w:t>Use normalized anatomy + source wording.</w:t>
            </w:r>
          </w:p>
        </w:tc>
      </w:tr>
      <w:tr>
        <w:tc>
          <w:tcPr>
            <w:tcW w:type="dxa" w:w="3389"/>
            <w:vAlign w:val="top"/>
          </w:tcPr>
          <w:p>
            <w:pPr>
              <w:spacing w:after="0"/>
            </w:pPr>
            <w:r/>
            <w:r>
              <w:rPr>
                <w:rFonts w:ascii="Aptos" w:hAnsi="Aptos"/>
                <w:b w:val="0"/>
                <w:sz w:val="14"/>
              </w:rPr>
              <w:t>mri_laterality</w:t>
            </w:r>
          </w:p>
        </w:tc>
        <w:tc>
          <w:tcPr>
            <w:tcW w:type="dxa" w:w="3389"/>
            <w:vAlign w:val="top"/>
          </w:tcPr>
          <w:p>
            <w:pPr>
              <w:spacing w:after="0"/>
            </w:pPr>
            <w:r/>
            <w:r>
              <w:rPr>
                <w:rFonts w:ascii="Aptos" w:hAnsi="Aptos"/>
                <w:b w:val="0"/>
                <w:sz w:val="14"/>
              </w:rPr>
              <w:t>left</w:t>
            </w:r>
          </w:p>
        </w:tc>
        <w:tc>
          <w:tcPr>
            <w:tcW w:type="dxa" w:w="3389"/>
            <w:vAlign w:val="top"/>
          </w:tcPr>
          <w:p>
            <w:pPr>
              <w:spacing w:after="0"/>
            </w:pPr>
            <w:r/>
            <w:r>
              <w:rPr>
                <w:rFonts w:ascii="Aptos" w:hAnsi="Aptos"/>
                <w:b w:val="0"/>
                <w:sz w:val="14"/>
              </w:rPr>
              <w:t>May be bilateral or unknown.</w:t>
            </w:r>
          </w:p>
        </w:tc>
      </w:tr>
      <w:tr>
        <w:tc>
          <w:tcPr>
            <w:tcW w:type="dxa" w:w="3389"/>
            <w:vAlign w:val="top"/>
          </w:tcPr>
          <w:p>
            <w:pPr>
              <w:spacing w:after="0"/>
            </w:pPr>
            <w:r/>
            <w:r>
              <w:rPr>
                <w:rFonts w:ascii="Aptos" w:hAnsi="Aptos"/>
                <w:b w:val="0"/>
                <w:sz w:val="14"/>
              </w:rPr>
              <w:t>mri_negative_for_epileptogenic_lesion</w:t>
            </w:r>
          </w:p>
        </w:tc>
        <w:tc>
          <w:tcPr>
            <w:tcW w:type="dxa" w:w="3389"/>
            <w:vAlign w:val="top"/>
          </w:tcPr>
          <w:p>
            <w:pPr>
              <w:spacing w:after="0"/>
            </w:pPr>
            <w:r/>
            <w:r>
              <w:rPr>
                <w:rFonts w:ascii="Aptos" w:hAnsi="Aptos"/>
                <w:b w:val="0"/>
                <w:sz w:val="14"/>
              </w:rPr>
              <w:t>true</w:t>
            </w:r>
          </w:p>
        </w:tc>
        <w:tc>
          <w:tcPr>
            <w:tcW w:type="dxa" w:w="3389"/>
            <w:vAlign w:val="top"/>
          </w:tcPr>
          <w:p>
            <w:pPr>
              <w:spacing w:after="0"/>
            </w:pPr>
            <w:r/>
            <w:r>
              <w:rPr>
                <w:rFonts w:ascii="Aptos" w:hAnsi="Aptos"/>
                <w:b w:val="0"/>
                <w:sz w:val="14"/>
              </w:rPr>
              <w:t>MEDAI-PROPOSED derived flag; define explicitly in rule registry.</w:t>
            </w:r>
          </w:p>
        </w:tc>
      </w:tr>
      <w:tr>
        <w:tc>
          <w:tcPr>
            <w:tcW w:type="dxa" w:w="3389"/>
            <w:vAlign w:val="top"/>
          </w:tcPr>
          <w:p>
            <w:pPr>
              <w:spacing w:after="0"/>
            </w:pPr>
            <w:r/>
            <w:r>
              <w:rPr>
                <w:rFonts w:ascii="Aptos" w:hAnsi="Aptos"/>
                <w:b w:val="0"/>
                <w:sz w:val="14"/>
              </w:rPr>
              <w:t>comparison</w:t>
            </w:r>
          </w:p>
        </w:tc>
        <w:tc>
          <w:tcPr>
            <w:tcW w:type="dxa" w:w="3389"/>
            <w:vAlign w:val="top"/>
          </w:tcPr>
          <w:p>
            <w:pPr>
              <w:spacing w:after="0"/>
            </w:pPr>
            <w:r/>
            <w:r>
              <w:rPr>
                <w:rFonts w:ascii="Aptos" w:hAnsi="Aptos"/>
                <w:b w:val="0"/>
                <w:sz w:val="14"/>
              </w:rPr>
              <w:t>stable/progressive/new/not_compared</w:t>
            </w:r>
          </w:p>
        </w:tc>
        <w:tc>
          <w:tcPr>
            <w:tcW w:type="dxa" w:w="3389"/>
            <w:vAlign w:val="top"/>
          </w:tcPr>
          <w:p>
            <w:pPr>
              <w:spacing w:after="0"/>
            </w:pPr>
            <w:r/>
            <w:r>
              <w:rPr>
                <w:rFonts w:ascii="Aptos" w:hAnsi="Aptos"/>
                <w:b w:val="0"/>
                <w:sz w:val="14"/>
              </w:rPr>
              <w:t>Optional v1 field.</w:t>
            </w:r>
          </w:p>
        </w:tc>
      </w:tr>
      <w:tr>
        <w:tc>
          <w:tcPr>
            <w:tcW w:type="dxa" w:w="3389"/>
            <w:vAlign w:val="top"/>
          </w:tcPr>
          <w:p>
            <w:pPr>
              <w:spacing w:after="0"/>
            </w:pPr>
            <w:r/>
            <w:r>
              <w:rPr>
                <w:rFonts w:ascii="Aptos" w:hAnsi="Aptos"/>
                <w:b w:val="0"/>
                <w:sz w:val="14"/>
              </w:rPr>
              <w:t>evidence_features</w:t>
            </w:r>
          </w:p>
        </w:tc>
        <w:tc>
          <w:tcPr>
            <w:tcW w:type="dxa" w:w="3389"/>
            <w:vAlign w:val="top"/>
          </w:tcPr>
          <w:p>
            <w:pPr>
              <w:spacing w:after="0"/>
            </w:pPr>
            <w:r/>
            <w:r>
              <w:rPr>
                <w:rFonts w:ascii="Aptos" w:hAnsi="Aptos"/>
                <w:b w:val="0"/>
                <w:sz w:val="14"/>
              </w:rPr>
              <w:t>atrophy, signal change, blurring, etc.</w:t>
            </w:r>
          </w:p>
        </w:tc>
        <w:tc>
          <w:tcPr>
            <w:tcW w:type="dxa" w:w="3389"/>
            <w:vAlign w:val="top"/>
          </w:tcPr>
          <w:p>
            <w:pPr>
              <w:spacing w:after="0"/>
            </w:pPr>
            <w:r/>
            <w:r>
              <w:rPr>
                <w:rFonts w:ascii="Aptos" w:hAnsi="Aptos"/>
                <w:b w:val="0"/>
                <w:sz w:val="14"/>
              </w:rPr>
              <w:t>Only include features supported by curated templates; do not treat as diagnostic rules without source.</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8"/>
              </w:rPr>
              <w:t>Do not fabricate radiologic diagnostic criteria</w:t>
              <w:br/>
            </w:r>
            <w:r>
              <w:rPr>
                <w:sz w:val="17"/>
              </w:rPr>
              <w:t>The v1 generator may create clinically plausible report language from clinician-reviewed templates, but this specification does not invent numeric MRI thresholds or diagnostic criteria for HS/FCD. If future generation uses formal imaging criteria, those criteria must be separately sourced and versioned.</w:t>
            </w:r>
          </w:p>
        </w:tc>
      </w:tr>
    </w:tbl>
    <w:p/>
    <w:p>
      <w:pPr>
        <w:pStyle w:val="Heading1"/>
      </w:pPr>
      <w:r>
        <w:t>14. EEG phenotype specification</w:t>
      </w:r>
    </w:p>
    <w:p>
      <w:r>
        <w:t>SCORE was created through international consensus for structured EEG assessment/reporting and its second version was tested in clinical practice on 12,160 EEG recordings; it includes modules for seizures, semiology, ictal EEG patterns, neonatal recordings, and critical-care terminology [S10]. ACNS separately maintains standardized critical-care EEG terminology [S11].</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Field</w:t>
            </w:r>
          </w:p>
        </w:tc>
        <w:tc>
          <w:tcPr>
            <w:tcW w:type="dxa" w:w="3389"/>
            <w:shd w:fill="D9EAF7"/>
          </w:tcPr>
          <w:p>
            <w:pPr>
              <w:spacing w:after="0"/>
            </w:pPr>
            <w:r/>
            <w:r>
              <w:rPr>
                <w:rFonts w:ascii="Aptos" w:hAnsi="Aptos"/>
                <w:b/>
                <w:sz w:val="15"/>
              </w:rPr>
              <w:t>v1 representation</w:t>
            </w:r>
          </w:p>
        </w:tc>
        <w:tc>
          <w:tcPr>
            <w:tcW w:type="dxa" w:w="3389"/>
            <w:shd w:fill="D9EAF7"/>
          </w:tcPr>
          <w:p>
            <w:pPr>
              <w:spacing w:after="0"/>
            </w:pPr>
            <w:r/>
            <w:r>
              <w:rPr>
                <w:rFonts w:ascii="Aptos" w:hAnsi="Aptos"/>
                <w:b/>
                <w:sz w:val="15"/>
              </w:rPr>
              <w:t>Terminology source</w:t>
            </w:r>
          </w:p>
        </w:tc>
      </w:tr>
      <w:tr>
        <w:tc>
          <w:tcPr>
            <w:tcW w:type="dxa" w:w="3389"/>
            <w:vAlign w:val="top"/>
          </w:tcPr>
          <w:p>
            <w:pPr>
              <w:spacing w:after="0"/>
            </w:pPr>
            <w:r/>
            <w:r>
              <w:rPr>
                <w:rFonts w:ascii="Aptos" w:hAnsi="Aptos"/>
                <w:b w:val="0"/>
                <w:sz w:val="14"/>
              </w:rPr>
              <w:t>study_type</w:t>
            </w:r>
          </w:p>
        </w:tc>
        <w:tc>
          <w:tcPr>
            <w:tcW w:type="dxa" w:w="3389"/>
            <w:vAlign w:val="top"/>
          </w:tcPr>
          <w:p>
            <w:pPr>
              <w:spacing w:after="0"/>
            </w:pPr>
            <w:r/>
            <w:r>
              <w:rPr>
                <w:rFonts w:ascii="Aptos" w:hAnsi="Aptos"/>
                <w:b w:val="0"/>
                <w:sz w:val="14"/>
              </w:rPr>
              <w:t>routine / ambulatory / EMU_video / continuous / other</w:t>
            </w:r>
          </w:p>
        </w:tc>
        <w:tc>
          <w:tcPr>
            <w:tcW w:type="dxa" w:w="3389"/>
            <w:vAlign w:val="top"/>
          </w:tcPr>
          <w:p>
            <w:pPr>
              <w:spacing w:after="0"/>
            </w:pPr>
            <w:r/>
            <w:r>
              <w:rPr>
                <w:rFonts w:ascii="Aptos" w:hAnsi="Aptos"/>
                <w:b w:val="0"/>
                <w:sz w:val="14"/>
              </w:rPr>
              <w:t>MedAI document profile</w:t>
            </w:r>
          </w:p>
        </w:tc>
      </w:tr>
      <w:tr>
        <w:tc>
          <w:tcPr>
            <w:tcW w:type="dxa" w:w="3389"/>
            <w:vAlign w:val="top"/>
          </w:tcPr>
          <w:p>
            <w:pPr>
              <w:spacing w:after="0"/>
            </w:pPr>
            <w:r/>
            <w:r>
              <w:rPr>
                <w:rFonts w:ascii="Aptos" w:hAnsi="Aptos"/>
                <w:b w:val="0"/>
                <w:sz w:val="14"/>
              </w:rPr>
              <w:t>background</w:t>
            </w:r>
          </w:p>
        </w:tc>
        <w:tc>
          <w:tcPr>
            <w:tcW w:type="dxa" w:w="3389"/>
            <w:vAlign w:val="top"/>
          </w:tcPr>
          <w:p>
            <w:pPr>
              <w:spacing w:after="0"/>
            </w:pPr>
            <w:r/>
            <w:r>
              <w:rPr>
                <w:rFonts w:ascii="Aptos" w:hAnsi="Aptos"/>
                <w:b w:val="0"/>
                <w:sz w:val="14"/>
              </w:rPr>
              <w:t>structured subset + free source phrase</w:t>
            </w:r>
          </w:p>
        </w:tc>
        <w:tc>
          <w:tcPr>
            <w:tcW w:type="dxa" w:w="3389"/>
            <w:vAlign w:val="top"/>
          </w:tcPr>
          <w:p>
            <w:pPr>
              <w:spacing w:after="0"/>
            </w:pPr>
            <w:r/>
            <w:r>
              <w:rPr>
                <w:rFonts w:ascii="Aptos" w:hAnsi="Aptos"/>
                <w:b w:val="0"/>
                <w:sz w:val="14"/>
              </w:rPr>
              <w:t>SCORE; ACNS when critical-care context applies [S10,S11]</w:t>
            </w:r>
          </w:p>
        </w:tc>
      </w:tr>
      <w:tr>
        <w:tc>
          <w:tcPr>
            <w:tcW w:type="dxa" w:w="3389"/>
            <w:vAlign w:val="top"/>
          </w:tcPr>
          <w:p>
            <w:pPr>
              <w:spacing w:after="0"/>
            </w:pPr>
            <w:r/>
            <w:r>
              <w:rPr>
                <w:rFonts w:ascii="Aptos" w:hAnsi="Aptos"/>
                <w:b w:val="0"/>
                <w:sz w:val="14"/>
              </w:rPr>
              <w:t>interictal_finding</w:t>
            </w:r>
          </w:p>
        </w:tc>
        <w:tc>
          <w:tcPr>
            <w:tcW w:type="dxa" w:w="3389"/>
            <w:vAlign w:val="top"/>
          </w:tcPr>
          <w:p>
            <w:pPr>
              <w:spacing w:after="0"/>
            </w:pPr>
            <w:r/>
            <w:r>
              <w:rPr>
                <w:rFonts w:ascii="Aptos" w:hAnsi="Aptos"/>
                <w:b w:val="0"/>
                <w:sz w:val="14"/>
              </w:rPr>
              <w:t>present/absent + morphology/location/laterality</w:t>
            </w:r>
          </w:p>
        </w:tc>
        <w:tc>
          <w:tcPr>
            <w:tcW w:type="dxa" w:w="3389"/>
            <w:vAlign w:val="top"/>
          </w:tcPr>
          <w:p>
            <w:pPr>
              <w:spacing w:after="0"/>
            </w:pPr>
            <w:r/>
            <w:r>
              <w:rPr>
                <w:rFonts w:ascii="Aptos" w:hAnsi="Aptos"/>
                <w:b w:val="0"/>
                <w:sz w:val="14"/>
              </w:rPr>
              <w:t>SCORE [S10]</w:t>
            </w:r>
          </w:p>
        </w:tc>
      </w:tr>
      <w:tr>
        <w:tc>
          <w:tcPr>
            <w:tcW w:type="dxa" w:w="3389"/>
            <w:vAlign w:val="top"/>
          </w:tcPr>
          <w:p>
            <w:pPr>
              <w:spacing w:after="0"/>
            </w:pPr>
            <w:r/>
            <w:r>
              <w:rPr>
                <w:rFonts w:ascii="Aptos" w:hAnsi="Aptos"/>
                <w:b w:val="0"/>
                <w:sz w:val="14"/>
              </w:rPr>
              <w:t>ictal_event</w:t>
            </w:r>
          </w:p>
        </w:tc>
        <w:tc>
          <w:tcPr>
            <w:tcW w:type="dxa" w:w="3389"/>
            <w:vAlign w:val="top"/>
          </w:tcPr>
          <w:p>
            <w:pPr>
              <w:spacing w:after="0"/>
            </w:pPr>
            <w:r/>
            <w:r>
              <w:rPr>
                <w:rFonts w:ascii="Aptos" w:hAnsi="Aptos"/>
                <w:b w:val="0"/>
                <w:sz w:val="14"/>
              </w:rPr>
              <w:t>captured/not captured + EEG pattern/location/laterality</w:t>
            </w:r>
          </w:p>
        </w:tc>
        <w:tc>
          <w:tcPr>
            <w:tcW w:type="dxa" w:w="3389"/>
            <w:vAlign w:val="top"/>
          </w:tcPr>
          <w:p>
            <w:pPr>
              <w:spacing w:after="0"/>
            </w:pPr>
            <w:r/>
            <w:r>
              <w:rPr>
                <w:rFonts w:ascii="Aptos" w:hAnsi="Aptos"/>
                <w:b w:val="0"/>
                <w:sz w:val="14"/>
              </w:rPr>
              <w:t>SCORE [S10]</w:t>
            </w:r>
          </w:p>
        </w:tc>
      </w:tr>
      <w:tr>
        <w:tc>
          <w:tcPr>
            <w:tcW w:type="dxa" w:w="3389"/>
            <w:vAlign w:val="top"/>
          </w:tcPr>
          <w:p>
            <w:pPr>
              <w:spacing w:after="0"/>
            </w:pPr>
            <w:r/>
            <w:r>
              <w:rPr>
                <w:rFonts w:ascii="Aptos" w:hAnsi="Aptos"/>
                <w:b w:val="0"/>
                <w:sz w:val="14"/>
              </w:rPr>
              <w:t>clinical_event</w:t>
            </w:r>
          </w:p>
        </w:tc>
        <w:tc>
          <w:tcPr>
            <w:tcW w:type="dxa" w:w="3389"/>
            <w:vAlign w:val="top"/>
          </w:tcPr>
          <w:p>
            <w:pPr>
              <w:spacing w:after="0"/>
            </w:pPr>
            <w:r/>
            <w:r>
              <w:rPr>
                <w:rFonts w:ascii="Aptos" w:hAnsi="Aptos"/>
                <w:b w:val="0"/>
                <w:sz w:val="14"/>
              </w:rPr>
              <w:t>captured/not captured + semiology</w:t>
            </w:r>
          </w:p>
        </w:tc>
        <w:tc>
          <w:tcPr>
            <w:tcW w:type="dxa" w:w="3389"/>
            <w:vAlign w:val="top"/>
          </w:tcPr>
          <w:p>
            <w:pPr>
              <w:spacing w:after="0"/>
            </w:pPr>
            <w:r/>
            <w:r>
              <w:rPr>
                <w:rFonts w:ascii="Aptos" w:hAnsi="Aptos"/>
                <w:b w:val="0"/>
                <w:sz w:val="14"/>
              </w:rPr>
              <w:t>SCORE seizure/semiology module [S10]</w:t>
            </w:r>
          </w:p>
        </w:tc>
      </w:tr>
      <w:tr>
        <w:tc>
          <w:tcPr>
            <w:tcW w:type="dxa" w:w="3389"/>
            <w:vAlign w:val="top"/>
          </w:tcPr>
          <w:p>
            <w:pPr>
              <w:spacing w:after="0"/>
            </w:pPr>
            <w:r/>
            <w:r>
              <w:rPr>
                <w:rFonts w:ascii="Aptos" w:hAnsi="Aptos"/>
                <w:b w:val="0"/>
                <w:sz w:val="14"/>
              </w:rPr>
              <w:t>electroclinical_correlation</w:t>
            </w:r>
          </w:p>
        </w:tc>
        <w:tc>
          <w:tcPr>
            <w:tcW w:type="dxa" w:w="3389"/>
            <w:vAlign w:val="top"/>
          </w:tcPr>
          <w:p>
            <w:pPr>
              <w:spacing w:after="0"/>
            </w:pPr>
            <w:r/>
            <w:r>
              <w:rPr>
                <w:rFonts w:ascii="Aptos" w:hAnsi="Aptos"/>
                <w:b w:val="0"/>
                <w:sz w:val="14"/>
              </w:rPr>
              <w:t>yes/no/uncertain/not_applicable</w:t>
            </w:r>
          </w:p>
        </w:tc>
        <w:tc>
          <w:tcPr>
            <w:tcW w:type="dxa" w:w="3389"/>
            <w:vAlign w:val="top"/>
          </w:tcPr>
          <w:p>
            <w:pPr>
              <w:spacing w:after="0"/>
            </w:pPr>
            <w:r/>
            <w:r>
              <w:rPr>
                <w:rFonts w:ascii="Aptos" w:hAnsi="Aptos"/>
                <w:b w:val="0"/>
                <w:sz w:val="14"/>
              </w:rPr>
              <w:t>MEDAI-PROPOSED representation</w:t>
            </w:r>
          </w:p>
        </w:tc>
      </w:tr>
      <w:tr>
        <w:tc>
          <w:tcPr>
            <w:tcW w:type="dxa" w:w="3389"/>
            <w:vAlign w:val="top"/>
          </w:tcPr>
          <w:p>
            <w:pPr>
              <w:spacing w:after="0"/>
            </w:pPr>
            <w:r/>
            <w:r>
              <w:rPr>
                <w:rFonts w:ascii="Aptos" w:hAnsi="Aptos"/>
                <w:b w:val="0"/>
                <w:sz w:val="14"/>
              </w:rPr>
              <w:t>diagnostic_significance</w:t>
            </w:r>
          </w:p>
        </w:tc>
        <w:tc>
          <w:tcPr>
            <w:tcW w:type="dxa" w:w="3389"/>
            <w:vAlign w:val="top"/>
          </w:tcPr>
          <w:p>
            <w:pPr>
              <w:spacing w:after="0"/>
            </w:pPr>
            <w:r/>
            <w:r>
              <w:rPr>
                <w:rFonts w:ascii="Aptos" w:hAnsi="Aptos"/>
                <w:b w:val="0"/>
                <w:sz w:val="14"/>
              </w:rPr>
              <w:t>source-report conclusion</w:t>
            </w:r>
          </w:p>
        </w:tc>
        <w:tc>
          <w:tcPr>
            <w:tcW w:type="dxa" w:w="3389"/>
            <w:vAlign w:val="top"/>
          </w:tcPr>
          <w:p>
            <w:pPr>
              <w:spacing w:after="0"/>
            </w:pPr>
            <w:r/>
            <w:r>
              <w:rPr>
                <w:rFonts w:ascii="Aptos" w:hAnsi="Aptos"/>
                <w:b w:val="0"/>
                <w:sz w:val="14"/>
              </w:rPr>
              <w:t>SCORE supports standardized diagnostic significance [S10]</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8"/>
              </w:rPr>
              <w:t>Scope rule</w:t>
              <w:br/>
            </w:r>
            <w:r>
              <w:rPr>
                <w:sz w:val="17"/>
              </w:rPr>
              <w:t>Do not use ACNS critical-care terminology as the sole vocabulary for routine outpatient or EMU epilepsy EEG. SCORE is the more appropriate general structured-reporting foundation for those contexts; ACNS terms are incorporated when the document is actually within their intended scope [S10,S11].</w:t>
            </w:r>
          </w:p>
        </w:tc>
      </w:tr>
    </w:tbl>
    <w:p/>
    <w:p>
      <w:pPr>
        <w:pStyle w:val="Heading1"/>
      </w:pPr>
      <w:r>
        <w:t>15. Medication normalization specification</w:t>
      </w:r>
    </w:p>
    <w:p>
      <w:r>
        <w:t>NLM describes RxNorm as a normalized naming system for generic and branded drugs and a mechanism for semantic interoperability among drug terminologies [S7].</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Field</w:t>
            </w:r>
          </w:p>
        </w:tc>
        <w:tc>
          <w:tcPr>
            <w:tcW w:type="dxa" w:w="3389"/>
            <w:shd w:fill="D9EAF7"/>
          </w:tcPr>
          <w:p>
            <w:pPr>
              <w:spacing w:after="0"/>
            </w:pPr>
            <w:r/>
            <w:r>
              <w:rPr>
                <w:rFonts w:ascii="Aptos" w:hAnsi="Aptos"/>
                <w:b/>
                <w:sz w:val="15"/>
              </w:rPr>
              <w:t>Example</w:t>
            </w:r>
          </w:p>
        </w:tc>
        <w:tc>
          <w:tcPr>
            <w:tcW w:type="dxa" w:w="3389"/>
            <w:shd w:fill="D9EAF7"/>
          </w:tcPr>
          <w:p>
            <w:pPr>
              <w:spacing w:after="0"/>
            </w:pPr>
            <w:r/>
            <w:r>
              <w:rPr>
                <w:rFonts w:ascii="Aptos" w:hAnsi="Aptos"/>
                <w:b/>
                <w:sz w:val="15"/>
              </w:rPr>
              <w:t>Rule</w:t>
            </w:r>
          </w:p>
        </w:tc>
      </w:tr>
      <w:tr>
        <w:tc>
          <w:tcPr>
            <w:tcW w:type="dxa" w:w="3389"/>
            <w:vAlign w:val="top"/>
          </w:tcPr>
          <w:p>
            <w:pPr>
              <w:spacing w:after="0"/>
            </w:pPr>
            <w:r/>
            <w:r>
              <w:rPr>
                <w:rFonts w:ascii="Aptos" w:hAnsi="Aptos"/>
                <w:b w:val="0"/>
                <w:sz w:val="14"/>
              </w:rPr>
              <w:t>source_drug_text</w:t>
            </w:r>
          </w:p>
        </w:tc>
        <w:tc>
          <w:tcPr>
            <w:tcW w:type="dxa" w:w="3389"/>
            <w:vAlign w:val="top"/>
          </w:tcPr>
          <w:p>
            <w:pPr>
              <w:spacing w:after="0"/>
            </w:pPr>
            <w:r/>
            <w:r>
              <w:rPr>
                <w:rFonts w:ascii="Aptos" w:hAnsi="Aptos"/>
                <w:b w:val="0"/>
                <w:sz w:val="14"/>
              </w:rPr>
              <w:t>Keppra</w:t>
            </w:r>
          </w:p>
        </w:tc>
        <w:tc>
          <w:tcPr>
            <w:tcW w:type="dxa" w:w="3389"/>
            <w:vAlign w:val="top"/>
          </w:tcPr>
          <w:p>
            <w:pPr>
              <w:spacing w:after="0"/>
            </w:pPr>
            <w:r/>
            <w:r>
              <w:rPr>
                <w:rFonts w:ascii="Aptos" w:hAnsi="Aptos"/>
                <w:b w:val="0"/>
                <w:sz w:val="14"/>
              </w:rPr>
              <w:t>Preserve exactly.</w:t>
            </w:r>
          </w:p>
        </w:tc>
      </w:tr>
      <w:tr>
        <w:tc>
          <w:tcPr>
            <w:tcW w:type="dxa" w:w="3389"/>
            <w:vAlign w:val="top"/>
          </w:tcPr>
          <w:p>
            <w:pPr>
              <w:spacing w:after="0"/>
            </w:pPr>
            <w:r/>
            <w:r>
              <w:rPr>
                <w:rFonts w:ascii="Aptos" w:hAnsi="Aptos"/>
                <w:b w:val="0"/>
                <w:sz w:val="14"/>
              </w:rPr>
              <w:t>normalized_ingredient</w:t>
            </w:r>
          </w:p>
        </w:tc>
        <w:tc>
          <w:tcPr>
            <w:tcW w:type="dxa" w:w="3389"/>
            <w:vAlign w:val="top"/>
          </w:tcPr>
          <w:p>
            <w:pPr>
              <w:spacing w:after="0"/>
            </w:pPr>
            <w:r/>
            <w:r>
              <w:rPr>
                <w:rFonts w:ascii="Aptos" w:hAnsi="Aptos"/>
                <w:b w:val="0"/>
                <w:sz w:val="14"/>
              </w:rPr>
              <w:t>levetiracetam</w:t>
            </w:r>
          </w:p>
        </w:tc>
        <w:tc>
          <w:tcPr>
            <w:tcW w:type="dxa" w:w="3389"/>
            <w:vAlign w:val="top"/>
          </w:tcPr>
          <w:p>
            <w:pPr>
              <w:spacing w:after="0"/>
            </w:pPr>
            <w:r/>
            <w:r>
              <w:rPr>
                <w:rFonts w:ascii="Aptos" w:hAnsi="Aptos"/>
                <w:b w:val="0"/>
                <w:sz w:val="14"/>
              </w:rPr>
              <w:t>Resolve through RxNorm.</w:t>
            </w:r>
          </w:p>
        </w:tc>
      </w:tr>
      <w:tr>
        <w:tc>
          <w:tcPr>
            <w:tcW w:type="dxa" w:w="3389"/>
            <w:vAlign w:val="top"/>
          </w:tcPr>
          <w:p>
            <w:pPr>
              <w:spacing w:after="0"/>
            </w:pPr>
            <w:r/>
            <w:r>
              <w:rPr>
                <w:rFonts w:ascii="Aptos" w:hAnsi="Aptos"/>
                <w:b w:val="0"/>
                <w:sz w:val="14"/>
              </w:rPr>
              <w:t>rxnorm_id</w:t>
            </w:r>
          </w:p>
        </w:tc>
        <w:tc>
          <w:tcPr>
            <w:tcW w:type="dxa" w:w="3389"/>
            <w:vAlign w:val="top"/>
          </w:tcPr>
          <w:p>
            <w:pPr>
              <w:spacing w:after="0"/>
            </w:pPr>
            <w:r/>
            <w:r>
              <w:rPr>
                <w:rFonts w:ascii="Aptos" w:hAnsi="Aptos"/>
                <w:b w:val="0"/>
                <w:sz w:val="14"/>
              </w:rPr>
              <w:t>verified RXCUI</w:t>
            </w:r>
          </w:p>
        </w:tc>
        <w:tc>
          <w:tcPr>
            <w:tcW w:type="dxa" w:w="3389"/>
            <w:vAlign w:val="top"/>
          </w:tcPr>
          <w:p>
            <w:pPr>
              <w:spacing w:after="0"/>
            </w:pPr>
            <w:r/>
            <w:r>
              <w:rPr>
                <w:rFonts w:ascii="Aptos" w:hAnsi="Aptos"/>
                <w:b w:val="0"/>
                <w:sz w:val="14"/>
              </w:rPr>
              <w:t>Never invent an RXCUI; resolve programmatically from RxNorm source/API.</w:t>
            </w:r>
          </w:p>
        </w:tc>
      </w:tr>
      <w:tr>
        <w:tc>
          <w:tcPr>
            <w:tcW w:type="dxa" w:w="3389"/>
            <w:vAlign w:val="top"/>
          </w:tcPr>
          <w:p>
            <w:pPr>
              <w:spacing w:after="0"/>
            </w:pPr>
            <w:r/>
            <w:r>
              <w:rPr>
                <w:rFonts w:ascii="Aptos" w:hAnsi="Aptos"/>
                <w:b w:val="0"/>
                <w:sz w:val="14"/>
              </w:rPr>
              <w:t>dose</w:t>
            </w:r>
          </w:p>
        </w:tc>
        <w:tc>
          <w:tcPr>
            <w:tcW w:type="dxa" w:w="3389"/>
            <w:vAlign w:val="top"/>
          </w:tcPr>
          <w:p>
            <w:pPr>
              <w:spacing w:after="0"/>
            </w:pPr>
            <w:r/>
            <w:r>
              <w:rPr>
                <w:rFonts w:ascii="Aptos" w:hAnsi="Aptos"/>
                <w:b w:val="0"/>
                <w:sz w:val="14"/>
              </w:rPr>
              <w:t>1000 mg</w:t>
            </w:r>
          </w:p>
        </w:tc>
        <w:tc>
          <w:tcPr>
            <w:tcW w:type="dxa" w:w="3389"/>
            <w:vAlign w:val="top"/>
          </w:tcPr>
          <w:p>
            <w:pPr>
              <w:spacing w:after="0"/>
            </w:pPr>
            <w:r/>
            <w:r>
              <w:rPr>
                <w:rFonts w:ascii="Aptos" w:hAnsi="Aptos"/>
                <w:b w:val="0"/>
                <w:sz w:val="14"/>
              </w:rPr>
              <w:t>Extract/generate separately from drug identity.</w:t>
            </w:r>
          </w:p>
        </w:tc>
      </w:tr>
      <w:tr>
        <w:tc>
          <w:tcPr>
            <w:tcW w:type="dxa" w:w="3389"/>
            <w:vAlign w:val="top"/>
          </w:tcPr>
          <w:p>
            <w:pPr>
              <w:spacing w:after="0"/>
            </w:pPr>
            <w:r/>
            <w:r>
              <w:rPr>
                <w:rFonts w:ascii="Aptos" w:hAnsi="Aptos"/>
                <w:b w:val="0"/>
                <w:sz w:val="14"/>
              </w:rPr>
              <w:t>route</w:t>
            </w:r>
          </w:p>
        </w:tc>
        <w:tc>
          <w:tcPr>
            <w:tcW w:type="dxa" w:w="3389"/>
            <w:vAlign w:val="top"/>
          </w:tcPr>
          <w:p>
            <w:pPr>
              <w:spacing w:after="0"/>
            </w:pPr>
            <w:r/>
            <w:r>
              <w:rPr>
                <w:rFonts w:ascii="Aptos" w:hAnsi="Aptos"/>
                <w:b w:val="0"/>
                <w:sz w:val="14"/>
              </w:rPr>
              <w:t>oral</w:t>
            </w:r>
          </w:p>
        </w:tc>
        <w:tc>
          <w:tcPr>
            <w:tcW w:type="dxa" w:w="3389"/>
            <w:vAlign w:val="top"/>
          </w:tcPr>
          <w:p>
            <w:pPr>
              <w:spacing w:after="0"/>
            </w:pPr>
            <w:r/>
            <w:r>
              <w:rPr>
                <w:rFonts w:ascii="Aptos" w:hAnsi="Aptos"/>
                <w:b w:val="0"/>
                <w:sz w:val="14"/>
              </w:rPr>
              <w:t>Optional if stated.</w:t>
            </w:r>
          </w:p>
        </w:tc>
      </w:tr>
      <w:tr>
        <w:tc>
          <w:tcPr>
            <w:tcW w:type="dxa" w:w="3389"/>
            <w:vAlign w:val="top"/>
          </w:tcPr>
          <w:p>
            <w:pPr>
              <w:spacing w:after="0"/>
            </w:pPr>
            <w:r/>
            <w:r>
              <w:rPr>
                <w:rFonts w:ascii="Aptos" w:hAnsi="Aptos"/>
                <w:b w:val="0"/>
                <w:sz w:val="14"/>
              </w:rPr>
              <w:t>frequency</w:t>
            </w:r>
          </w:p>
        </w:tc>
        <w:tc>
          <w:tcPr>
            <w:tcW w:type="dxa" w:w="3389"/>
            <w:vAlign w:val="top"/>
          </w:tcPr>
          <w:p>
            <w:pPr>
              <w:spacing w:after="0"/>
            </w:pPr>
            <w:r/>
            <w:r>
              <w:rPr>
                <w:rFonts w:ascii="Aptos" w:hAnsi="Aptos"/>
                <w:b w:val="0"/>
                <w:sz w:val="14"/>
              </w:rPr>
              <w:t>twice daily</w:t>
            </w:r>
          </w:p>
        </w:tc>
        <w:tc>
          <w:tcPr>
            <w:tcW w:type="dxa" w:w="3389"/>
            <w:vAlign w:val="top"/>
          </w:tcPr>
          <w:p>
            <w:pPr>
              <w:spacing w:after="0"/>
            </w:pPr>
            <w:r/>
            <w:r>
              <w:rPr>
                <w:rFonts w:ascii="Aptos" w:hAnsi="Aptos"/>
                <w:b w:val="0"/>
                <w:sz w:val="14"/>
              </w:rPr>
              <w:t>Normalize but preserve source text.</w:t>
            </w:r>
          </w:p>
        </w:tc>
      </w:tr>
      <w:tr>
        <w:tc>
          <w:tcPr>
            <w:tcW w:type="dxa" w:w="3389"/>
            <w:vAlign w:val="top"/>
          </w:tcPr>
          <w:p>
            <w:pPr>
              <w:spacing w:after="0"/>
            </w:pPr>
            <w:r/>
            <w:r>
              <w:rPr>
                <w:rFonts w:ascii="Aptos" w:hAnsi="Aptos"/>
                <w:b w:val="0"/>
                <w:sz w:val="14"/>
              </w:rPr>
              <w:t>status</w:t>
            </w:r>
          </w:p>
        </w:tc>
        <w:tc>
          <w:tcPr>
            <w:tcW w:type="dxa" w:w="3389"/>
            <w:vAlign w:val="top"/>
          </w:tcPr>
          <w:p>
            <w:pPr>
              <w:spacing w:after="0"/>
            </w:pPr>
            <w:r/>
            <w:r>
              <w:rPr>
                <w:rFonts w:ascii="Aptos" w:hAnsi="Aptos"/>
                <w:b w:val="0"/>
                <w:sz w:val="14"/>
              </w:rPr>
              <w:t>current/discontinued/planned/unknown</w:t>
            </w:r>
          </w:p>
        </w:tc>
        <w:tc>
          <w:tcPr>
            <w:tcW w:type="dxa" w:w="3389"/>
            <w:vAlign w:val="top"/>
          </w:tcPr>
          <w:p>
            <w:pPr>
              <w:spacing w:after="0"/>
            </w:pPr>
            <w:r/>
            <w:r>
              <w:rPr>
                <w:rFonts w:ascii="Aptos" w:hAnsi="Aptos"/>
                <w:b w:val="0"/>
                <w:sz w:val="14"/>
              </w:rPr>
              <w:t>Time-indexed.</w:t>
            </w:r>
          </w:p>
        </w:tc>
      </w:tr>
      <w:tr>
        <w:tc>
          <w:tcPr>
            <w:tcW w:type="dxa" w:w="3389"/>
            <w:vAlign w:val="top"/>
          </w:tcPr>
          <w:p>
            <w:pPr>
              <w:spacing w:after="0"/>
            </w:pPr>
            <w:r/>
            <w:r>
              <w:rPr>
                <w:rFonts w:ascii="Aptos" w:hAnsi="Aptos"/>
                <w:b w:val="0"/>
                <w:sz w:val="14"/>
              </w:rPr>
              <w:t>reason_stopped</w:t>
            </w:r>
          </w:p>
        </w:tc>
        <w:tc>
          <w:tcPr>
            <w:tcW w:type="dxa" w:w="3389"/>
            <w:vAlign w:val="top"/>
          </w:tcPr>
          <w:p>
            <w:pPr>
              <w:spacing w:after="0"/>
            </w:pPr>
            <w:r/>
            <w:r>
              <w:rPr>
                <w:rFonts w:ascii="Aptos" w:hAnsi="Aptos"/>
                <w:b w:val="0"/>
                <w:sz w:val="14"/>
              </w:rPr>
              <w:t>adverse effect/lack of efficacy/other/unknown</w:t>
            </w:r>
          </w:p>
        </w:tc>
        <w:tc>
          <w:tcPr>
            <w:tcW w:type="dxa" w:w="3389"/>
            <w:vAlign w:val="top"/>
          </w:tcPr>
          <w:p>
            <w:pPr>
              <w:spacing w:after="0"/>
            </w:pPr>
            <w:r/>
            <w:r>
              <w:rPr>
                <w:rFonts w:ascii="Aptos" w:hAnsi="Aptos"/>
                <w:b w:val="0"/>
                <w:sz w:val="14"/>
              </w:rPr>
              <w:t>Do not infer.</w:t>
            </w:r>
          </w:p>
        </w:tc>
      </w:tr>
      <w:tr>
        <w:tc>
          <w:tcPr>
            <w:tcW w:type="dxa" w:w="3389"/>
            <w:vAlign w:val="top"/>
          </w:tcPr>
          <w:p>
            <w:pPr>
              <w:spacing w:after="0"/>
            </w:pPr>
            <w:r/>
            <w:r>
              <w:rPr>
                <w:rFonts w:ascii="Aptos" w:hAnsi="Aptos"/>
                <w:b w:val="0"/>
                <w:sz w:val="14"/>
              </w:rPr>
              <w:t>trial_outcome</w:t>
            </w:r>
          </w:p>
        </w:tc>
        <w:tc>
          <w:tcPr>
            <w:tcW w:type="dxa" w:w="3389"/>
            <w:vAlign w:val="top"/>
          </w:tcPr>
          <w:p>
            <w:pPr>
              <w:spacing w:after="0"/>
            </w:pPr>
            <w:r/>
            <w:r>
              <w:rPr>
                <w:rFonts w:ascii="Aptos" w:hAnsi="Aptos"/>
                <w:b w:val="0"/>
                <w:sz w:val="14"/>
              </w:rPr>
              <w:t>seizure free/partial/no response/unknown</w:t>
            </w:r>
          </w:p>
        </w:tc>
        <w:tc>
          <w:tcPr>
            <w:tcW w:type="dxa" w:w="3389"/>
            <w:vAlign w:val="top"/>
          </w:tcPr>
          <w:p>
            <w:pPr>
              <w:spacing w:after="0"/>
            </w:pPr>
            <w:r/>
            <w:r>
              <w:rPr>
                <w:rFonts w:ascii="Aptos" w:hAnsi="Aptos"/>
                <w:b w:val="0"/>
                <w:sz w:val="14"/>
              </w:rPr>
              <w:t>Separate from reason stopped.</w:t>
            </w:r>
          </w:p>
        </w:tc>
      </w:tr>
      <w:tr>
        <w:tc>
          <w:tcPr>
            <w:tcW w:type="dxa" w:w="3389"/>
            <w:vAlign w:val="top"/>
          </w:tcPr>
          <w:p>
            <w:pPr>
              <w:spacing w:after="0"/>
            </w:pPr>
            <w:r/>
            <w:r>
              <w:rPr>
                <w:rFonts w:ascii="Aptos" w:hAnsi="Aptos"/>
                <w:b w:val="0"/>
                <w:sz w:val="14"/>
              </w:rPr>
              <w:t>counts_toward_DRE</w:t>
            </w:r>
          </w:p>
        </w:tc>
        <w:tc>
          <w:tcPr>
            <w:tcW w:type="dxa" w:w="3389"/>
            <w:vAlign w:val="top"/>
          </w:tcPr>
          <w:p>
            <w:pPr>
              <w:spacing w:after="0"/>
            </w:pPr>
            <w:r/>
            <w:r>
              <w:rPr>
                <w:rFonts w:ascii="Aptos" w:hAnsi="Aptos"/>
                <w:b w:val="0"/>
                <w:sz w:val="14"/>
              </w:rPr>
              <w:t>yes/no/indeterminate</w:t>
            </w:r>
          </w:p>
        </w:tc>
        <w:tc>
          <w:tcPr>
            <w:tcW w:type="dxa" w:w="3389"/>
            <w:vAlign w:val="top"/>
          </w:tcPr>
          <w:p>
            <w:pPr>
              <w:spacing w:after="0"/>
            </w:pPr>
            <w:r/>
            <w:r>
              <w:rPr>
                <w:rFonts w:ascii="Aptos" w:hAnsi="Aptos"/>
                <w:b w:val="0"/>
                <w:sz w:val="14"/>
              </w:rPr>
              <w:t>Derived using DRE rule registry.</w:t>
            </w:r>
          </w:p>
        </w:tc>
      </w:tr>
    </w:tbl>
    <w:p/>
    <w:p>
      <w:pPr>
        <w:pStyle w:val="Heading1"/>
      </w:pPr>
      <w:r>
        <w:t>16. Longitudinal event model</w:t>
      </w:r>
    </w:p>
    <w:p>
      <w:pPr>
        <w:pStyle w:val="CodeBlock"/>
      </w:pPr>
      <w:r>
        <w:t>SyntheticPatient</w:t>
        <w:br/>
        <w:t xml:space="preserve">  demographics/context</w:t>
        <w:br/>
        <w:t xml:space="preserve">  |</w:t>
        <w:br/>
        <w:t xml:space="preserve">  +-- Event 1: seizure onset / first recognized event</w:t>
        <w:br/>
        <w:t xml:space="preserve">  +-- Event 2: diagnostic assessment</w:t>
        <w:br/>
        <w:t xml:space="preserve">  +-- Event 3: EEG / MRI investigation</w:t>
        <w:br/>
        <w:t xml:space="preserve">  +-- Event 4: ASM start</w:t>
        <w:br/>
        <w:t xml:space="preserve">  +-- Event 5: treatment response / adverse effect / failure</w:t>
        <w:br/>
        <w:t xml:space="preserve">  +-- Event 6: additional ASM trial(s)</w:t>
        <w:br/>
        <w:t xml:space="preserve">  +-- Event 7: EMU / presurgical work-up</w:t>
        <w:br/>
        <w:t xml:space="preserve">  +-- Event 8: procedure/intervention</w:t>
        <w:br/>
        <w:t xml:space="preserve">  +-- Event 9: postoperative or longitudinal outcome</w:t>
        <w:br/>
        <w:br/>
        <w:t>Each event:</w:t>
        <w:br/>
        <w:t xml:space="preserve">  event_id</w:t>
        <w:br/>
        <w:t xml:space="preserve">  event_type</w:t>
        <w:br/>
        <w:t xml:space="preserve">  start_time / end_time</w:t>
        <w:br/>
        <w:t xml:space="preserve">  assertions[]</w:t>
        <w:br/>
        <w:t xml:space="preserve">  source_visibility[]</w:t>
        <w:br/>
        <w:t xml:space="preserve">  causal_links[] (only when scenario explicitly defines them)</w:t>
        <w:br/>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pPr>
              <w:spacing w:after="0"/>
            </w:pPr>
            <w:r/>
            <w:r>
              <w:rPr>
                <w:rFonts w:ascii="Aptos" w:hAnsi="Aptos"/>
                <w:b/>
                <w:sz w:val="15"/>
              </w:rPr>
              <w:t>Temporal condition</w:t>
            </w:r>
          </w:p>
        </w:tc>
        <w:tc>
          <w:tcPr>
            <w:tcW w:type="dxa" w:w="5083"/>
            <w:shd w:fill="D9EAF7"/>
          </w:tcPr>
          <w:p>
            <w:pPr>
              <w:spacing w:after="0"/>
            </w:pPr>
            <w:r/>
            <w:r>
              <w:rPr>
                <w:rFonts w:ascii="Aptos" w:hAnsi="Aptos"/>
                <w:b/>
                <w:sz w:val="15"/>
              </w:rPr>
              <w:t>Required behavior</w:t>
            </w:r>
          </w:p>
        </w:tc>
      </w:tr>
      <w:tr>
        <w:tc>
          <w:tcPr>
            <w:tcW w:type="dxa" w:w="5083"/>
            <w:vAlign w:val="top"/>
          </w:tcPr>
          <w:p>
            <w:pPr>
              <w:spacing w:after="0"/>
            </w:pPr>
            <w:r/>
            <w:r>
              <w:rPr>
                <w:rFonts w:ascii="Aptos" w:hAnsi="Aptos"/>
                <w:b w:val="0"/>
                <w:sz w:val="14"/>
              </w:rPr>
              <w:t>Historical vs current</w:t>
            </w:r>
          </w:p>
        </w:tc>
        <w:tc>
          <w:tcPr>
            <w:tcW w:type="dxa" w:w="5083"/>
            <w:vAlign w:val="top"/>
          </w:tcPr>
          <w:p>
            <w:pPr>
              <w:spacing w:after="0"/>
            </w:pPr>
            <w:r/>
            <w:r>
              <w:rPr>
                <w:rFonts w:ascii="Aptos" w:hAnsi="Aptos"/>
                <w:b w:val="0"/>
                <w:sz w:val="14"/>
              </w:rPr>
              <w:t>Both may coexist as separate assertions with different intervals.</w:t>
            </w:r>
          </w:p>
        </w:tc>
      </w:tr>
      <w:tr>
        <w:tc>
          <w:tcPr>
            <w:tcW w:type="dxa" w:w="5083"/>
            <w:vAlign w:val="top"/>
          </w:tcPr>
          <w:p>
            <w:pPr>
              <w:spacing w:after="0"/>
            </w:pPr>
            <w:r/>
            <w:r>
              <w:rPr>
                <w:rFonts w:ascii="Aptos" w:hAnsi="Aptos"/>
                <w:b w:val="0"/>
                <w:sz w:val="14"/>
              </w:rPr>
              <w:t>Relative dates</w:t>
            </w:r>
          </w:p>
        </w:tc>
        <w:tc>
          <w:tcPr>
            <w:tcW w:type="dxa" w:w="5083"/>
            <w:vAlign w:val="top"/>
          </w:tcPr>
          <w:p>
            <w:pPr>
              <w:spacing w:after="0"/>
            </w:pPr>
            <w:r/>
            <w:r>
              <w:rPr>
                <w:rFonts w:ascii="Aptos" w:hAnsi="Aptos"/>
                <w:b w:val="0"/>
                <w:sz w:val="14"/>
              </w:rPr>
              <w:t>Normalize only when anchor date is known; otherwise preserve relative expression.</w:t>
            </w:r>
          </w:p>
        </w:tc>
      </w:tr>
      <w:tr>
        <w:tc>
          <w:tcPr>
            <w:tcW w:type="dxa" w:w="5083"/>
            <w:vAlign w:val="top"/>
          </w:tcPr>
          <w:p>
            <w:pPr>
              <w:spacing w:after="0"/>
            </w:pPr>
            <w:r/>
            <w:r>
              <w:rPr>
                <w:rFonts w:ascii="Aptos" w:hAnsi="Aptos"/>
                <w:b w:val="0"/>
                <w:sz w:val="14"/>
              </w:rPr>
              <w:t>Medication restart</w:t>
            </w:r>
          </w:p>
        </w:tc>
        <w:tc>
          <w:tcPr>
            <w:tcW w:type="dxa" w:w="5083"/>
            <w:vAlign w:val="top"/>
          </w:tcPr>
          <w:p>
            <w:pPr>
              <w:spacing w:after="0"/>
            </w:pPr>
            <w:r/>
            <w:r>
              <w:rPr>
                <w:rFonts w:ascii="Aptos" w:hAnsi="Aptos"/>
                <w:b w:val="0"/>
                <w:sz w:val="14"/>
              </w:rPr>
              <w:t>Creates a new exposure episode; does not erase prior discontinuation.</w:t>
            </w:r>
          </w:p>
        </w:tc>
      </w:tr>
      <w:tr>
        <w:tc>
          <w:tcPr>
            <w:tcW w:type="dxa" w:w="5083"/>
            <w:vAlign w:val="top"/>
          </w:tcPr>
          <w:p>
            <w:pPr>
              <w:spacing w:after="0"/>
            </w:pPr>
            <w:r/>
            <w:r>
              <w:rPr>
                <w:rFonts w:ascii="Aptos" w:hAnsi="Aptos"/>
                <w:b w:val="0"/>
                <w:sz w:val="14"/>
              </w:rPr>
              <w:t>Changing seizure frequency</w:t>
            </w:r>
          </w:p>
        </w:tc>
        <w:tc>
          <w:tcPr>
            <w:tcW w:type="dxa" w:w="5083"/>
            <w:vAlign w:val="top"/>
          </w:tcPr>
          <w:p>
            <w:pPr>
              <w:spacing w:after="0"/>
            </w:pPr>
            <w:r/>
            <w:r>
              <w:rPr>
                <w:rFonts w:ascii="Aptos" w:hAnsi="Aptos"/>
                <w:b w:val="0"/>
                <w:sz w:val="14"/>
              </w:rPr>
              <w:t>Store each interval; current patient summary points to latest valid interval.</w:t>
            </w:r>
          </w:p>
        </w:tc>
      </w:tr>
      <w:tr>
        <w:tc>
          <w:tcPr>
            <w:tcW w:type="dxa" w:w="5083"/>
            <w:vAlign w:val="top"/>
          </w:tcPr>
          <w:p>
            <w:pPr>
              <w:spacing w:after="0"/>
            </w:pPr>
            <w:r/>
            <w:r>
              <w:rPr>
                <w:rFonts w:ascii="Aptos" w:hAnsi="Aptos"/>
                <w:b w:val="0"/>
                <w:sz w:val="14"/>
              </w:rPr>
              <w:t>Changed MRI interpretation</w:t>
            </w:r>
          </w:p>
        </w:tc>
        <w:tc>
          <w:tcPr>
            <w:tcW w:type="dxa" w:w="5083"/>
            <w:vAlign w:val="top"/>
          </w:tcPr>
          <w:p>
            <w:pPr>
              <w:spacing w:after="0"/>
            </w:pPr>
            <w:r/>
            <w:r>
              <w:rPr>
                <w:rFonts w:ascii="Aptos" w:hAnsi="Aptos"/>
                <w:b w:val="0"/>
                <w:sz w:val="14"/>
              </w:rPr>
              <w:t>Retain both reports and dates; do not overwrite prior impression.</w:t>
            </w:r>
          </w:p>
        </w:tc>
      </w:tr>
      <w:tr>
        <w:tc>
          <w:tcPr>
            <w:tcW w:type="dxa" w:w="5083"/>
            <w:vAlign w:val="top"/>
          </w:tcPr>
          <w:p>
            <w:pPr>
              <w:spacing w:after="0"/>
            </w:pPr>
            <w:r/>
            <w:r>
              <w:rPr>
                <w:rFonts w:ascii="Aptos" w:hAnsi="Aptos"/>
                <w:b w:val="0"/>
                <w:sz w:val="14"/>
              </w:rPr>
              <w:t>Post-treatment outcome</w:t>
            </w:r>
          </w:p>
        </w:tc>
        <w:tc>
          <w:tcPr>
            <w:tcW w:type="dxa" w:w="5083"/>
            <w:vAlign w:val="top"/>
          </w:tcPr>
          <w:p>
            <w:pPr>
              <w:spacing w:after="0"/>
            </w:pPr>
            <w:r/>
            <w:r>
              <w:rPr>
                <w:rFonts w:ascii="Aptos" w:hAnsi="Aptos"/>
                <w:b w:val="0"/>
                <w:sz w:val="14"/>
              </w:rPr>
              <w:t>Must occur after treatment event.</w:t>
            </w:r>
          </w:p>
        </w:tc>
      </w:tr>
      <w:tr>
        <w:tc>
          <w:tcPr>
            <w:tcW w:type="dxa" w:w="5083"/>
            <w:vAlign w:val="top"/>
          </w:tcPr>
          <w:p>
            <w:pPr>
              <w:spacing w:after="0"/>
            </w:pPr>
            <w:r/>
            <w:r>
              <w:rPr>
                <w:rFonts w:ascii="Aptos" w:hAnsi="Aptos"/>
                <w:b w:val="0"/>
                <w:sz w:val="14"/>
              </w:rPr>
              <w:t>Conflict at same time</w:t>
            </w:r>
          </w:p>
        </w:tc>
        <w:tc>
          <w:tcPr>
            <w:tcW w:type="dxa" w:w="5083"/>
            <w:vAlign w:val="top"/>
          </w:tcPr>
          <w:p>
            <w:pPr>
              <w:spacing w:after="0"/>
            </w:pPr>
            <w:r/>
            <w:r>
              <w:rPr>
                <w:rFonts w:ascii="Aptos" w:hAnsi="Aptos"/>
                <w:b w:val="0"/>
                <w:sz w:val="14"/>
              </w:rPr>
              <w:t>Retain competing assertions and flag conflict.</w:t>
            </w:r>
          </w:p>
        </w:tc>
      </w:tr>
    </w:tbl>
    <w:p/>
    <w:p>
      <w:pPr>
        <w:pStyle w:val="Heading1"/>
      </w:pPr>
      <w:r>
        <w:t>17. Synthetic curriculum and benchmark tiers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Tier</w:t>
            </w:r>
          </w:p>
        </w:tc>
        <w:tc>
          <w:tcPr>
            <w:tcW w:type="dxa" w:w="3389"/>
            <w:shd w:fill="D9EAF7"/>
          </w:tcPr>
          <w:p>
            <w:pPr>
              <w:spacing w:after="0"/>
            </w:pPr>
            <w:r/>
            <w:r>
              <w:rPr>
                <w:rFonts w:ascii="Aptos" w:hAnsi="Aptos"/>
                <w:b/>
                <w:sz w:val="15"/>
              </w:rPr>
              <w:t>Content</w:t>
            </w:r>
          </w:p>
        </w:tc>
        <w:tc>
          <w:tcPr>
            <w:tcW w:type="dxa" w:w="3389"/>
            <w:shd w:fill="D9EAF7"/>
          </w:tcPr>
          <w:p>
            <w:pPr>
              <w:spacing w:after="0"/>
            </w:pPr>
            <w:r/>
            <w:r>
              <w:rPr>
                <w:rFonts w:ascii="Aptos" w:hAnsi="Aptos"/>
                <w:b/>
                <w:sz w:val="15"/>
              </w:rPr>
              <w:t>Target failure modes</w:t>
            </w:r>
          </w:p>
        </w:tc>
      </w:tr>
      <w:tr>
        <w:tc>
          <w:tcPr>
            <w:tcW w:type="dxa" w:w="3389"/>
            <w:vAlign w:val="top"/>
          </w:tcPr>
          <w:p>
            <w:pPr>
              <w:spacing w:after="0"/>
            </w:pPr>
            <w:r/>
            <w:r>
              <w:rPr>
                <w:rFonts w:ascii="Aptos" w:hAnsi="Aptos"/>
                <w:b w:val="0"/>
                <w:sz w:val="14"/>
              </w:rPr>
              <w:t>T1 Atomic</w:t>
            </w:r>
          </w:p>
        </w:tc>
        <w:tc>
          <w:tcPr>
            <w:tcW w:type="dxa" w:w="3389"/>
            <w:vAlign w:val="top"/>
          </w:tcPr>
          <w:p>
            <w:pPr>
              <w:spacing w:after="0"/>
            </w:pPr>
            <w:r/>
            <w:r>
              <w:rPr>
                <w:rFonts w:ascii="Aptos" w:hAnsi="Aptos"/>
                <w:b w:val="0"/>
                <w:sz w:val="14"/>
              </w:rPr>
              <w:t>Single explicit phenotype statement</w:t>
            </w:r>
          </w:p>
        </w:tc>
        <w:tc>
          <w:tcPr>
            <w:tcW w:type="dxa" w:w="3389"/>
            <w:vAlign w:val="top"/>
          </w:tcPr>
          <w:p>
            <w:pPr>
              <w:spacing w:after="0"/>
            </w:pPr>
            <w:r/>
            <w:r>
              <w:rPr>
                <w:rFonts w:ascii="Aptos" w:hAnsi="Aptos"/>
                <w:b w:val="0"/>
                <w:sz w:val="14"/>
              </w:rPr>
              <w:t>Basic extraction/schema</w:t>
            </w:r>
          </w:p>
        </w:tc>
      </w:tr>
      <w:tr>
        <w:tc>
          <w:tcPr>
            <w:tcW w:type="dxa" w:w="3389"/>
            <w:vAlign w:val="top"/>
          </w:tcPr>
          <w:p>
            <w:pPr>
              <w:spacing w:after="0"/>
            </w:pPr>
            <w:r/>
            <w:r>
              <w:rPr>
                <w:rFonts w:ascii="Aptos" w:hAnsi="Aptos"/>
                <w:b w:val="0"/>
                <w:sz w:val="14"/>
              </w:rPr>
              <w:t>T2 Lexical</w:t>
            </w:r>
          </w:p>
        </w:tc>
        <w:tc>
          <w:tcPr>
            <w:tcW w:type="dxa" w:w="3389"/>
            <w:vAlign w:val="top"/>
          </w:tcPr>
          <w:p>
            <w:pPr>
              <w:spacing w:after="0"/>
            </w:pPr>
            <w:r/>
            <w:r>
              <w:rPr>
                <w:rFonts w:ascii="Aptos" w:hAnsi="Aptos"/>
                <w:b w:val="0"/>
                <w:sz w:val="14"/>
              </w:rPr>
              <w:t>Synonyms, abbreviations, historical terms, paraphrases</w:t>
            </w:r>
          </w:p>
        </w:tc>
        <w:tc>
          <w:tcPr>
            <w:tcW w:type="dxa" w:w="3389"/>
            <w:vAlign w:val="top"/>
          </w:tcPr>
          <w:p>
            <w:pPr>
              <w:spacing w:after="0"/>
            </w:pPr>
            <w:r/>
            <w:r>
              <w:rPr>
                <w:rFonts w:ascii="Aptos" w:hAnsi="Aptos"/>
                <w:b w:val="0"/>
                <w:sz w:val="14"/>
              </w:rPr>
              <w:t>Vocabulary normalization</w:t>
            </w:r>
          </w:p>
        </w:tc>
      </w:tr>
      <w:tr>
        <w:tc>
          <w:tcPr>
            <w:tcW w:type="dxa" w:w="3389"/>
            <w:vAlign w:val="top"/>
          </w:tcPr>
          <w:p>
            <w:pPr>
              <w:spacing w:after="0"/>
            </w:pPr>
            <w:r/>
            <w:r>
              <w:rPr>
                <w:rFonts w:ascii="Aptos" w:hAnsi="Aptos"/>
                <w:b w:val="0"/>
                <w:sz w:val="14"/>
              </w:rPr>
              <w:t>T3 Contextual</w:t>
            </w:r>
          </w:p>
        </w:tc>
        <w:tc>
          <w:tcPr>
            <w:tcW w:type="dxa" w:w="3389"/>
            <w:vAlign w:val="top"/>
          </w:tcPr>
          <w:p>
            <w:pPr>
              <w:spacing w:after="0"/>
            </w:pPr>
            <w:r/>
            <w:r>
              <w:rPr>
                <w:rFonts w:ascii="Aptos" w:hAnsi="Aptos"/>
                <w:b w:val="0"/>
                <w:sz w:val="14"/>
              </w:rPr>
              <w:t>Negation, uncertainty, conditional/hypothetical language</w:t>
            </w:r>
          </w:p>
        </w:tc>
        <w:tc>
          <w:tcPr>
            <w:tcW w:type="dxa" w:w="3389"/>
            <w:vAlign w:val="top"/>
          </w:tcPr>
          <w:p>
            <w:pPr>
              <w:spacing w:after="0"/>
            </w:pPr>
            <w:r/>
            <w:r>
              <w:rPr>
                <w:rFonts w:ascii="Aptos" w:hAnsi="Aptos"/>
                <w:b w:val="0"/>
                <w:sz w:val="14"/>
              </w:rPr>
              <w:t>Polarity and epistemic errors</w:t>
            </w:r>
          </w:p>
        </w:tc>
      </w:tr>
      <w:tr>
        <w:tc>
          <w:tcPr>
            <w:tcW w:type="dxa" w:w="3389"/>
            <w:vAlign w:val="top"/>
          </w:tcPr>
          <w:p>
            <w:pPr>
              <w:spacing w:after="0"/>
            </w:pPr>
            <w:r/>
            <w:r>
              <w:rPr>
                <w:rFonts w:ascii="Aptos" w:hAnsi="Aptos"/>
                <w:b w:val="0"/>
                <w:sz w:val="14"/>
              </w:rPr>
              <w:t>T4 Temporal</w:t>
            </w:r>
          </w:p>
        </w:tc>
        <w:tc>
          <w:tcPr>
            <w:tcW w:type="dxa" w:w="3389"/>
            <w:vAlign w:val="top"/>
          </w:tcPr>
          <w:p>
            <w:pPr>
              <w:spacing w:after="0"/>
            </w:pPr>
            <w:r/>
            <w:r>
              <w:rPr>
                <w:rFonts w:ascii="Aptos" w:hAnsi="Aptos"/>
                <w:b w:val="0"/>
                <w:sz w:val="14"/>
              </w:rPr>
              <w:t>Historical/current/resolved/planned facts</w:t>
            </w:r>
          </w:p>
        </w:tc>
        <w:tc>
          <w:tcPr>
            <w:tcW w:type="dxa" w:w="3389"/>
            <w:vAlign w:val="top"/>
          </w:tcPr>
          <w:p>
            <w:pPr>
              <w:spacing w:after="0"/>
            </w:pPr>
            <w:r/>
            <w:r>
              <w:rPr>
                <w:rFonts w:ascii="Aptos" w:hAnsi="Aptos"/>
                <w:b w:val="0"/>
                <w:sz w:val="14"/>
              </w:rPr>
              <w:t>Temporal leakage</w:t>
            </w:r>
          </w:p>
        </w:tc>
      </w:tr>
      <w:tr>
        <w:tc>
          <w:tcPr>
            <w:tcW w:type="dxa" w:w="3389"/>
            <w:vAlign w:val="top"/>
          </w:tcPr>
          <w:p>
            <w:pPr>
              <w:spacing w:after="0"/>
            </w:pPr>
            <w:r/>
            <w:r>
              <w:rPr>
                <w:rFonts w:ascii="Aptos" w:hAnsi="Aptos"/>
                <w:b w:val="0"/>
                <w:sz w:val="14"/>
              </w:rPr>
              <w:t>T5 Full document</w:t>
            </w:r>
          </w:p>
        </w:tc>
        <w:tc>
          <w:tcPr>
            <w:tcW w:type="dxa" w:w="3389"/>
            <w:vAlign w:val="top"/>
          </w:tcPr>
          <w:p>
            <w:pPr>
              <w:spacing w:after="0"/>
            </w:pPr>
            <w:r/>
            <w:r>
              <w:rPr>
                <w:rFonts w:ascii="Aptos" w:hAnsi="Aptos"/>
                <w:b w:val="0"/>
                <w:sz w:val="14"/>
              </w:rPr>
              <w:t>Realistic MRI/EEG/progress/EMU structure</w:t>
            </w:r>
          </w:p>
        </w:tc>
        <w:tc>
          <w:tcPr>
            <w:tcW w:type="dxa" w:w="3389"/>
            <w:vAlign w:val="top"/>
          </w:tcPr>
          <w:p>
            <w:pPr>
              <w:spacing w:after="0"/>
            </w:pPr>
            <w:r/>
            <w:r>
              <w:rPr>
                <w:rFonts w:ascii="Aptos" w:hAnsi="Aptos"/>
                <w:b w:val="0"/>
                <w:sz w:val="14"/>
              </w:rPr>
              <w:t>Long-context extraction</w:t>
            </w:r>
          </w:p>
        </w:tc>
      </w:tr>
      <w:tr>
        <w:tc>
          <w:tcPr>
            <w:tcW w:type="dxa" w:w="3389"/>
            <w:vAlign w:val="top"/>
          </w:tcPr>
          <w:p>
            <w:pPr>
              <w:spacing w:after="0"/>
            </w:pPr>
            <w:r/>
            <w:r>
              <w:rPr>
                <w:rFonts w:ascii="Aptos" w:hAnsi="Aptos"/>
                <w:b w:val="0"/>
                <w:sz w:val="14"/>
              </w:rPr>
              <w:t>T6 Longitudinal</w:t>
            </w:r>
          </w:p>
        </w:tc>
        <w:tc>
          <w:tcPr>
            <w:tcW w:type="dxa" w:w="3389"/>
            <w:vAlign w:val="top"/>
          </w:tcPr>
          <w:p>
            <w:pPr>
              <w:spacing w:after="0"/>
            </w:pPr>
            <w:r/>
            <w:r>
              <w:rPr>
                <w:rFonts w:ascii="Aptos" w:hAnsi="Aptos"/>
                <w:b w:val="0"/>
                <w:sz w:val="14"/>
              </w:rPr>
              <w:t>Multiple documents over time</w:t>
            </w:r>
          </w:p>
        </w:tc>
        <w:tc>
          <w:tcPr>
            <w:tcW w:type="dxa" w:w="3389"/>
            <w:vAlign w:val="top"/>
          </w:tcPr>
          <w:p>
            <w:pPr>
              <w:spacing w:after="0"/>
            </w:pPr>
            <w:r/>
            <w:r>
              <w:rPr>
                <w:rFonts w:ascii="Aptos" w:hAnsi="Aptos"/>
                <w:b w:val="0"/>
                <w:sz w:val="14"/>
              </w:rPr>
              <w:t>State reconstruction</w:t>
            </w:r>
          </w:p>
        </w:tc>
      </w:tr>
      <w:tr>
        <w:tc>
          <w:tcPr>
            <w:tcW w:type="dxa" w:w="3389"/>
            <w:vAlign w:val="top"/>
          </w:tcPr>
          <w:p>
            <w:pPr>
              <w:spacing w:after="0"/>
            </w:pPr>
            <w:r/>
            <w:r>
              <w:rPr>
                <w:rFonts w:ascii="Aptos" w:hAnsi="Aptos"/>
                <w:b w:val="0"/>
                <w:sz w:val="14"/>
              </w:rPr>
              <w:t>T7 Discordant</w:t>
            </w:r>
          </w:p>
        </w:tc>
        <w:tc>
          <w:tcPr>
            <w:tcW w:type="dxa" w:w="3389"/>
            <w:vAlign w:val="top"/>
          </w:tcPr>
          <w:p>
            <w:pPr>
              <w:spacing w:after="0"/>
            </w:pPr>
            <w:r/>
            <w:r>
              <w:rPr>
                <w:rFonts w:ascii="Aptos" w:hAnsi="Aptos"/>
                <w:b w:val="0"/>
                <w:sz w:val="14"/>
              </w:rPr>
              <w:t>Conflicting modalities/notes</w:t>
            </w:r>
          </w:p>
        </w:tc>
        <w:tc>
          <w:tcPr>
            <w:tcW w:type="dxa" w:w="3389"/>
            <w:vAlign w:val="top"/>
          </w:tcPr>
          <w:p>
            <w:pPr>
              <w:spacing w:after="0"/>
            </w:pPr>
            <w:r/>
            <w:r>
              <w:rPr>
                <w:rFonts w:ascii="Aptos" w:hAnsi="Aptos"/>
                <w:b w:val="0"/>
                <w:sz w:val="14"/>
              </w:rPr>
              <w:t>Overconfident synthesis</w:t>
            </w:r>
          </w:p>
        </w:tc>
      </w:tr>
      <w:tr>
        <w:tc>
          <w:tcPr>
            <w:tcW w:type="dxa" w:w="3389"/>
            <w:vAlign w:val="top"/>
          </w:tcPr>
          <w:p>
            <w:pPr>
              <w:spacing w:after="0"/>
            </w:pPr>
            <w:r/>
            <w:r>
              <w:rPr>
                <w:rFonts w:ascii="Aptos" w:hAnsi="Aptos"/>
                <w:b w:val="0"/>
                <w:sz w:val="14"/>
              </w:rPr>
              <w:t>T8 Rare/adversarial</w:t>
            </w:r>
          </w:p>
        </w:tc>
        <w:tc>
          <w:tcPr>
            <w:tcW w:type="dxa" w:w="3389"/>
            <w:vAlign w:val="top"/>
          </w:tcPr>
          <w:p>
            <w:pPr>
              <w:spacing w:after="0"/>
            </w:pPr>
            <w:r/>
            <w:r>
              <w:rPr>
                <w:rFonts w:ascii="Aptos" w:hAnsi="Aptos"/>
                <w:b w:val="0"/>
                <w:sz w:val="14"/>
              </w:rPr>
              <w:t>Rare classes, distractors, unusual style, class imbalance</w:t>
            </w:r>
          </w:p>
        </w:tc>
        <w:tc>
          <w:tcPr>
            <w:tcW w:type="dxa" w:w="3389"/>
            <w:vAlign w:val="top"/>
          </w:tcPr>
          <w:p>
            <w:pPr>
              <w:spacing w:after="0"/>
            </w:pPr>
            <w:r/>
            <w:r>
              <w:rPr>
                <w:rFonts w:ascii="Aptos" w:hAnsi="Aptos"/>
                <w:b w:val="0"/>
                <w:sz w:val="14"/>
              </w:rPr>
              <w:t>Robustness and abstention</w:t>
            </w:r>
          </w:p>
        </w:tc>
      </w:tr>
    </w:tbl>
    <w:p/>
    <w:p>
      <w:r>
        <w:t>Each tier must be separately reported. A model that performs well on T1 but poorly on T6/T7 should not be described simply by one pooled F1.</w:t>
      </w:r>
    </w:p>
    <w:p>
      <w:pPr>
        <w:pStyle w:val="Heading1"/>
      </w:pPr>
      <w:r>
        <w:t>18. Document generation templates</w:t>
      </w:r>
    </w:p>
    <w:p>
      <w:r>
        <w:t>Templates below define information slots, not clinical wording. Final prose templates require clinician review. Language models may paraphrase within the assigned fact set but may not introduce new facts.</w:t>
      </w:r>
    </w:p>
    <w:p>
      <w:pPr>
        <w:pStyle w:val="Heading2"/>
      </w:pPr>
      <w:r>
        <w:t>MRI report</w:t>
      </w:r>
    </w:p>
    <w:p>
      <w:pPr>
        <w:pStyle w:val="ListBullet"/>
        <w:ind w:left="403" w:hanging="202"/>
      </w:pPr>
      <w:r>
        <w:t>indication</w:t>
      </w:r>
    </w:p>
    <w:p>
      <w:pPr>
        <w:pStyle w:val="ListBullet"/>
        <w:ind w:left="403" w:hanging="202"/>
      </w:pPr>
      <w:r>
        <w:t>technique/protocol placeholder</w:t>
      </w:r>
    </w:p>
    <w:p>
      <w:pPr>
        <w:pStyle w:val="ListBullet"/>
        <w:ind w:left="403" w:hanging="202"/>
      </w:pPr>
      <w:r>
        <w:t>comparison</w:t>
      </w:r>
    </w:p>
    <w:p>
      <w:pPr>
        <w:pStyle w:val="ListBullet"/>
        <w:ind w:left="403" w:hanging="202"/>
      </w:pPr>
      <w:r>
        <w:t>findings by relevant anatomy</w:t>
      </w:r>
    </w:p>
    <w:p>
      <w:pPr>
        <w:pStyle w:val="ListBullet"/>
        <w:ind w:left="403" w:hanging="202"/>
      </w:pPr>
      <w:r>
        <w:t>lesion/finding</w:t>
      </w:r>
    </w:p>
    <w:p>
      <w:pPr>
        <w:pStyle w:val="ListBullet"/>
        <w:ind w:left="403" w:hanging="202"/>
      </w:pPr>
      <w:r>
        <w:t>laterality</w:t>
      </w:r>
    </w:p>
    <w:p>
      <w:pPr>
        <w:pStyle w:val="ListBullet"/>
        <w:ind w:left="403" w:hanging="202"/>
      </w:pPr>
      <w:r>
        <w:t>certainty</w:t>
      </w:r>
    </w:p>
    <w:p>
      <w:pPr>
        <w:pStyle w:val="ListBullet"/>
        <w:ind w:left="403" w:hanging="202"/>
      </w:pPr>
      <w:r>
        <w:t>impression</w:t>
      </w:r>
    </w:p>
    <w:p>
      <w:pPr>
        <w:pStyle w:val="Heading2"/>
      </w:pPr>
      <w:r>
        <w:t>EEG report</w:t>
      </w:r>
    </w:p>
    <w:p>
      <w:pPr>
        <w:pStyle w:val="ListBullet"/>
        <w:ind w:left="403" w:hanging="202"/>
      </w:pPr>
      <w:r>
        <w:t>indication</w:t>
      </w:r>
    </w:p>
    <w:p>
      <w:pPr>
        <w:pStyle w:val="ListBullet"/>
        <w:ind w:left="403" w:hanging="202"/>
      </w:pPr>
      <w:r>
        <w:t>recording context</w:t>
      </w:r>
    </w:p>
    <w:p>
      <w:pPr>
        <w:pStyle w:val="ListBullet"/>
        <w:ind w:left="403" w:hanging="202"/>
      </w:pPr>
      <w:r>
        <w:t>background</w:t>
      </w:r>
    </w:p>
    <w:p>
      <w:pPr>
        <w:pStyle w:val="ListBullet"/>
        <w:ind w:left="403" w:hanging="202"/>
      </w:pPr>
      <w:r>
        <w:t>interictal findings</w:t>
      </w:r>
    </w:p>
    <w:p>
      <w:pPr>
        <w:pStyle w:val="ListBullet"/>
        <w:ind w:left="403" w:hanging="202"/>
      </w:pPr>
      <w:r>
        <w:t>events/seizures</w:t>
      </w:r>
    </w:p>
    <w:p>
      <w:pPr>
        <w:pStyle w:val="ListBullet"/>
        <w:ind w:left="403" w:hanging="202"/>
      </w:pPr>
      <w:r>
        <w:t>activation/provocation if applicable</w:t>
      </w:r>
    </w:p>
    <w:p>
      <w:pPr>
        <w:pStyle w:val="ListBullet"/>
        <w:ind w:left="403" w:hanging="202"/>
      </w:pPr>
      <w:r>
        <w:t>impression/diagnostic significance</w:t>
      </w:r>
    </w:p>
    <w:p>
      <w:pPr>
        <w:pStyle w:val="Heading2"/>
      </w:pPr>
      <w:r>
        <w:t>Progress note</w:t>
      </w:r>
    </w:p>
    <w:p>
      <w:pPr>
        <w:pStyle w:val="ListBullet"/>
        <w:ind w:left="403" w:hanging="202"/>
      </w:pPr>
      <w:r>
        <w:t>interval history</w:t>
      </w:r>
    </w:p>
    <w:p>
      <w:pPr>
        <w:pStyle w:val="ListBullet"/>
        <w:ind w:left="403" w:hanging="202"/>
      </w:pPr>
      <w:r>
        <w:t>seizure types/semiology</w:t>
      </w:r>
    </w:p>
    <w:p>
      <w:pPr>
        <w:pStyle w:val="ListBullet"/>
        <w:ind w:left="403" w:hanging="202"/>
      </w:pPr>
      <w:r>
        <w:t>frequency/last seizure</w:t>
      </w:r>
    </w:p>
    <w:p>
      <w:pPr>
        <w:pStyle w:val="ListBullet"/>
        <w:ind w:left="403" w:hanging="202"/>
      </w:pPr>
      <w:r>
        <w:t>medications/adherence/adverse effects</w:t>
      </w:r>
    </w:p>
    <w:p>
      <w:pPr>
        <w:pStyle w:val="ListBullet"/>
        <w:ind w:left="403" w:hanging="202"/>
      </w:pPr>
      <w:r>
        <w:t>reviewed investigations</w:t>
      </w:r>
    </w:p>
    <w:p>
      <w:pPr>
        <w:pStyle w:val="ListBullet"/>
        <w:ind w:left="403" w:hanging="202"/>
      </w:pPr>
      <w:r>
        <w:t>assessment</w:t>
      </w:r>
    </w:p>
    <w:p>
      <w:pPr>
        <w:pStyle w:val="ListBullet"/>
        <w:ind w:left="403" w:hanging="202"/>
      </w:pPr>
      <w:r>
        <w:t>plan</w:t>
      </w:r>
    </w:p>
    <w:p>
      <w:pPr>
        <w:pStyle w:val="Heading2"/>
      </w:pPr>
      <w:r>
        <w:t>EMU report</w:t>
      </w:r>
    </w:p>
    <w:p>
      <w:pPr>
        <w:pStyle w:val="ListBullet"/>
        <w:ind w:left="403" w:hanging="202"/>
      </w:pPr>
      <w:r>
        <w:t>admission indication</w:t>
      </w:r>
    </w:p>
    <w:p>
      <w:pPr>
        <w:pStyle w:val="ListBullet"/>
        <w:ind w:left="403" w:hanging="202"/>
      </w:pPr>
      <w:r>
        <w:t>medication context</w:t>
      </w:r>
    </w:p>
    <w:p>
      <w:pPr>
        <w:pStyle w:val="ListBullet"/>
        <w:ind w:left="403" w:hanging="202"/>
      </w:pPr>
      <w:r>
        <w:t>events captured</w:t>
      </w:r>
    </w:p>
    <w:p>
      <w:pPr>
        <w:pStyle w:val="ListBullet"/>
        <w:ind w:left="403" w:hanging="202"/>
      </w:pPr>
      <w:r>
        <w:t>semiology</w:t>
      </w:r>
    </w:p>
    <w:p>
      <w:pPr>
        <w:pStyle w:val="ListBullet"/>
        <w:ind w:left="403" w:hanging="202"/>
      </w:pPr>
      <w:r>
        <w:t>ictal EEG</w:t>
      </w:r>
    </w:p>
    <w:p>
      <w:pPr>
        <w:pStyle w:val="ListBullet"/>
        <w:ind w:left="403" w:hanging="202"/>
      </w:pPr>
      <w:r>
        <w:t>interictal EEG</w:t>
      </w:r>
    </w:p>
    <w:p>
      <w:pPr>
        <w:pStyle w:val="ListBullet"/>
        <w:ind w:left="403" w:hanging="202"/>
      </w:pPr>
      <w:r>
        <w:t>electroclinical interpretation</w:t>
      </w:r>
    </w:p>
    <w:p>
      <w:pPr>
        <w:pStyle w:val="ListBullet"/>
        <w:ind w:left="403" w:hanging="202"/>
      </w:pPr>
      <w:r>
        <w:t>summary</w:t>
      </w:r>
    </w:p>
    <w:p>
      <w:pPr>
        <w:pStyle w:val="Heading2"/>
      </w:pPr>
      <w:r>
        <w:t>Presurgical note</w:t>
      </w:r>
    </w:p>
    <w:p>
      <w:pPr>
        <w:pStyle w:val="ListBullet"/>
        <w:ind w:left="403" w:hanging="202"/>
      </w:pPr>
      <w:r>
        <w:t>epilepsy history</w:t>
      </w:r>
    </w:p>
    <w:p>
      <w:pPr>
        <w:pStyle w:val="ListBullet"/>
        <w:ind w:left="403" w:hanging="202"/>
      </w:pPr>
      <w:r>
        <w:t>semiology</w:t>
      </w:r>
    </w:p>
    <w:p>
      <w:pPr>
        <w:pStyle w:val="ListBullet"/>
        <w:ind w:left="403" w:hanging="202"/>
      </w:pPr>
      <w:r>
        <w:t>MRI summary</w:t>
      </w:r>
    </w:p>
    <w:p>
      <w:pPr>
        <w:pStyle w:val="ListBullet"/>
        <w:ind w:left="403" w:hanging="202"/>
      </w:pPr>
      <w:r>
        <w:t>EEG/EMU summary</w:t>
      </w:r>
    </w:p>
    <w:p>
      <w:pPr>
        <w:pStyle w:val="ListBullet"/>
        <w:ind w:left="403" w:hanging="202"/>
      </w:pPr>
      <w:r>
        <w:t>other testing if scenario includes it</w:t>
      </w:r>
    </w:p>
    <w:p>
      <w:pPr>
        <w:pStyle w:val="ListBullet"/>
        <w:ind w:left="403" w:hanging="202"/>
      </w:pPr>
      <w:r>
        <w:t>localization hypothesis</w:t>
      </w:r>
    </w:p>
    <w:p>
      <w:pPr>
        <w:pStyle w:val="ListBullet"/>
        <w:ind w:left="403" w:hanging="202"/>
      </w:pPr>
      <w:r>
        <w:t>concordance/discordance</w:t>
      </w:r>
    </w:p>
    <w:p>
      <w:pPr>
        <w:pStyle w:val="ListBullet"/>
        <w:ind w:left="403" w:hanging="202"/>
      </w:pPr>
      <w:r>
        <w:t>recommendation/uncertainty</w:t>
      </w:r>
    </w:p>
    <w:p>
      <w:pPr>
        <w:pStyle w:val="Heading1"/>
      </w:pPr>
      <w:r>
        <w:t>19. Automatic quality-control checks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QC check</w:t>
            </w:r>
          </w:p>
        </w:tc>
        <w:tc>
          <w:tcPr>
            <w:tcW w:type="dxa" w:w="3389"/>
            <w:shd w:fill="D9EAF7"/>
          </w:tcPr>
          <w:p>
            <w:pPr>
              <w:spacing w:after="0"/>
            </w:pPr>
            <w:r/>
            <w:r>
              <w:rPr>
                <w:rFonts w:ascii="Aptos" w:hAnsi="Aptos"/>
                <w:b/>
                <w:sz w:val="15"/>
              </w:rPr>
              <w:t>Failure condition</w:t>
            </w:r>
          </w:p>
        </w:tc>
        <w:tc>
          <w:tcPr>
            <w:tcW w:type="dxa" w:w="3389"/>
            <w:shd w:fill="D9EAF7"/>
          </w:tcPr>
          <w:p>
            <w:pPr>
              <w:spacing w:after="0"/>
            </w:pPr>
            <w:r/>
            <w:r>
              <w:rPr>
                <w:rFonts w:ascii="Aptos" w:hAnsi="Aptos"/>
                <w:b/>
                <w:sz w:val="15"/>
              </w:rPr>
              <w:t>Action</w:t>
            </w:r>
          </w:p>
        </w:tc>
      </w:tr>
      <w:tr>
        <w:tc>
          <w:tcPr>
            <w:tcW w:type="dxa" w:w="3389"/>
            <w:vAlign w:val="top"/>
          </w:tcPr>
          <w:p>
            <w:pPr>
              <w:spacing w:after="0"/>
            </w:pPr>
            <w:r/>
            <w:r>
              <w:rPr>
                <w:rFonts w:ascii="Aptos" w:hAnsi="Aptos"/>
                <w:b w:val="0"/>
                <w:sz w:val="14"/>
              </w:rPr>
              <w:t>Schema validation</w:t>
            </w:r>
          </w:p>
        </w:tc>
        <w:tc>
          <w:tcPr>
            <w:tcW w:type="dxa" w:w="3389"/>
            <w:vAlign w:val="top"/>
          </w:tcPr>
          <w:p>
            <w:pPr>
              <w:spacing w:after="0"/>
            </w:pPr>
            <w:r/>
            <w:r>
              <w:rPr>
                <w:rFonts w:ascii="Aptos" w:hAnsi="Aptos"/>
                <w:b w:val="0"/>
                <w:sz w:val="14"/>
              </w:rPr>
              <w:t>Missing required field / illegal value</w:t>
            </w:r>
          </w:p>
        </w:tc>
        <w:tc>
          <w:tcPr>
            <w:tcW w:type="dxa" w:w="3389"/>
            <w:vAlign w:val="top"/>
          </w:tcPr>
          <w:p>
            <w:pPr>
              <w:spacing w:after="0"/>
            </w:pPr>
            <w:r/>
            <w:r>
              <w:rPr>
                <w:rFonts w:ascii="Aptos" w:hAnsi="Aptos"/>
                <w:b w:val="0"/>
                <w:sz w:val="14"/>
              </w:rPr>
              <w:t>Reject record</w:t>
            </w:r>
          </w:p>
        </w:tc>
      </w:tr>
      <w:tr>
        <w:tc>
          <w:tcPr>
            <w:tcW w:type="dxa" w:w="3389"/>
            <w:vAlign w:val="top"/>
          </w:tcPr>
          <w:p>
            <w:pPr>
              <w:spacing w:after="0"/>
            </w:pPr>
            <w:r/>
            <w:r>
              <w:rPr>
                <w:rFonts w:ascii="Aptos" w:hAnsi="Aptos"/>
                <w:b w:val="0"/>
                <w:sz w:val="14"/>
              </w:rPr>
              <w:t>Rule validation</w:t>
            </w:r>
          </w:p>
        </w:tc>
        <w:tc>
          <w:tcPr>
            <w:tcW w:type="dxa" w:w="3389"/>
            <w:vAlign w:val="top"/>
          </w:tcPr>
          <w:p>
            <w:pPr>
              <w:spacing w:after="0"/>
            </w:pPr>
            <w:r/>
            <w:r>
              <w:rPr>
                <w:rFonts w:ascii="Aptos" w:hAnsi="Aptos"/>
                <w:b w:val="0"/>
                <w:sz w:val="14"/>
              </w:rPr>
              <w:t>Hard rule violated</w:t>
            </w:r>
          </w:p>
        </w:tc>
        <w:tc>
          <w:tcPr>
            <w:tcW w:type="dxa" w:w="3389"/>
            <w:vAlign w:val="top"/>
          </w:tcPr>
          <w:p>
            <w:pPr>
              <w:spacing w:after="0"/>
            </w:pPr>
            <w:r/>
            <w:r>
              <w:rPr>
                <w:rFonts w:ascii="Aptos" w:hAnsi="Aptos"/>
                <w:b w:val="0"/>
                <w:sz w:val="14"/>
              </w:rPr>
              <w:t>Reject and regenerate latent truth, not just prose</w:t>
            </w:r>
          </w:p>
        </w:tc>
      </w:tr>
      <w:tr>
        <w:tc>
          <w:tcPr>
            <w:tcW w:type="dxa" w:w="3389"/>
            <w:vAlign w:val="top"/>
          </w:tcPr>
          <w:p>
            <w:pPr>
              <w:spacing w:after="0"/>
            </w:pPr>
            <w:r/>
            <w:r>
              <w:rPr>
                <w:rFonts w:ascii="Aptos" w:hAnsi="Aptos"/>
                <w:b w:val="0"/>
                <w:sz w:val="14"/>
              </w:rPr>
              <w:t>Document visibility</w:t>
            </w:r>
          </w:p>
        </w:tc>
        <w:tc>
          <w:tcPr>
            <w:tcW w:type="dxa" w:w="3389"/>
            <w:vAlign w:val="top"/>
          </w:tcPr>
          <w:p>
            <w:pPr>
              <w:spacing w:after="0"/>
            </w:pPr>
            <w:r/>
            <w:r>
              <w:rPr>
                <w:rFonts w:ascii="Aptos" w:hAnsi="Aptos"/>
                <w:b w:val="0"/>
                <w:sz w:val="14"/>
              </w:rPr>
              <w:t>Document contains fact not assigned to it</w:t>
            </w:r>
          </w:p>
        </w:tc>
        <w:tc>
          <w:tcPr>
            <w:tcW w:type="dxa" w:w="3389"/>
            <w:vAlign w:val="top"/>
          </w:tcPr>
          <w:p>
            <w:pPr>
              <w:spacing w:after="0"/>
            </w:pPr>
            <w:r/>
            <w:r>
              <w:rPr>
                <w:rFonts w:ascii="Aptos" w:hAnsi="Aptos"/>
                <w:b w:val="0"/>
                <w:sz w:val="14"/>
              </w:rPr>
              <w:t>Reject document</w:t>
            </w:r>
          </w:p>
        </w:tc>
      </w:tr>
      <w:tr>
        <w:tc>
          <w:tcPr>
            <w:tcW w:type="dxa" w:w="3389"/>
            <w:vAlign w:val="top"/>
          </w:tcPr>
          <w:p>
            <w:pPr>
              <w:spacing w:after="0"/>
            </w:pPr>
            <w:r/>
            <w:r>
              <w:rPr>
                <w:rFonts w:ascii="Aptos" w:hAnsi="Aptos"/>
                <w:b w:val="0"/>
                <w:sz w:val="14"/>
              </w:rPr>
              <w:t>Truth coverage</w:t>
            </w:r>
          </w:p>
        </w:tc>
        <w:tc>
          <w:tcPr>
            <w:tcW w:type="dxa" w:w="3389"/>
            <w:vAlign w:val="top"/>
          </w:tcPr>
          <w:p>
            <w:pPr>
              <w:spacing w:after="0"/>
            </w:pPr>
            <w:r/>
            <w:r>
              <w:rPr>
                <w:rFonts w:ascii="Aptos" w:hAnsi="Aptos"/>
                <w:b w:val="0"/>
                <w:sz w:val="14"/>
              </w:rPr>
              <w:t>Required scenario fact never appears in intended documents</w:t>
            </w:r>
          </w:p>
        </w:tc>
        <w:tc>
          <w:tcPr>
            <w:tcW w:type="dxa" w:w="3389"/>
            <w:vAlign w:val="top"/>
          </w:tcPr>
          <w:p>
            <w:pPr>
              <w:spacing w:after="0"/>
            </w:pPr>
            <w:r/>
            <w:r>
              <w:rPr>
                <w:rFonts w:ascii="Aptos" w:hAnsi="Aptos"/>
                <w:b w:val="0"/>
                <w:sz w:val="14"/>
              </w:rPr>
              <w:t>Flag/regenerate</w:t>
            </w:r>
          </w:p>
        </w:tc>
      </w:tr>
      <w:tr>
        <w:tc>
          <w:tcPr>
            <w:tcW w:type="dxa" w:w="3389"/>
            <w:vAlign w:val="top"/>
          </w:tcPr>
          <w:p>
            <w:pPr>
              <w:spacing w:after="0"/>
            </w:pPr>
            <w:r/>
            <w:r>
              <w:rPr>
                <w:rFonts w:ascii="Aptos" w:hAnsi="Aptos"/>
                <w:b w:val="0"/>
                <w:sz w:val="14"/>
              </w:rPr>
              <w:t>Unsupported prose</w:t>
            </w:r>
          </w:p>
        </w:tc>
        <w:tc>
          <w:tcPr>
            <w:tcW w:type="dxa" w:w="3389"/>
            <w:vAlign w:val="top"/>
          </w:tcPr>
          <w:p>
            <w:pPr>
              <w:spacing w:after="0"/>
            </w:pPr>
            <w:r/>
            <w:r>
              <w:rPr>
                <w:rFonts w:ascii="Aptos" w:hAnsi="Aptos"/>
                <w:b w:val="0"/>
                <w:sz w:val="14"/>
              </w:rPr>
              <w:t>Generated sentence introduces phenotype not in truth/distractor set</w:t>
            </w:r>
          </w:p>
        </w:tc>
        <w:tc>
          <w:tcPr>
            <w:tcW w:type="dxa" w:w="3389"/>
            <w:vAlign w:val="top"/>
          </w:tcPr>
          <w:p>
            <w:pPr>
              <w:spacing w:after="0"/>
            </w:pPr>
            <w:r/>
            <w:r>
              <w:rPr>
                <w:rFonts w:ascii="Aptos" w:hAnsi="Aptos"/>
                <w:b w:val="0"/>
                <w:sz w:val="14"/>
              </w:rPr>
              <w:t>Reject document</w:t>
            </w:r>
          </w:p>
        </w:tc>
      </w:tr>
      <w:tr>
        <w:tc>
          <w:tcPr>
            <w:tcW w:type="dxa" w:w="3389"/>
            <w:vAlign w:val="top"/>
          </w:tcPr>
          <w:p>
            <w:pPr>
              <w:spacing w:after="0"/>
            </w:pPr>
            <w:r/>
            <w:r>
              <w:rPr>
                <w:rFonts w:ascii="Aptos" w:hAnsi="Aptos"/>
                <w:b w:val="0"/>
                <w:sz w:val="14"/>
              </w:rPr>
              <w:t>Temporal consistency</w:t>
            </w:r>
          </w:p>
        </w:tc>
        <w:tc>
          <w:tcPr>
            <w:tcW w:type="dxa" w:w="3389"/>
            <w:vAlign w:val="top"/>
          </w:tcPr>
          <w:p>
            <w:pPr>
              <w:spacing w:after="0"/>
            </w:pPr>
            <w:r/>
            <w:r>
              <w:rPr>
                <w:rFonts w:ascii="Aptos" w:hAnsi="Aptos"/>
                <w:b w:val="0"/>
                <w:sz w:val="14"/>
              </w:rPr>
              <w:t>Impossible ordering</w:t>
            </w:r>
          </w:p>
        </w:tc>
        <w:tc>
          <w:tcPr>
            <w:tcW w:type="dxa" w:w="3389"/>
            <w:vAlign w:val="top"/>
          </w:tcPr>
          <w:p>
            <w:pPr>
              <w:spacing w:after="0"/>
            </w:pPr>
            <w:r/>
            <w:r>
              <w:rPr>
                <w:rFonts w:ascii="Aptos" w:hAnsi="Aptos"/>
                <w:b w:val="0"/>
                <w:sz w:val="14"/>
              </w:rPr>
              <w:t>Reject patient</w:t>
            </w:r>
          </w:p>
        </w:tc>
      </w:tr>
      <w:tr>
        <w:tc>
          <w:tcPr>
            <w:tcW w:type="dxa" w:w="3389"/>
            <w:vAlign w:val="top"/>
          </w:tcPr>
          <w:p>
            <w:pPr>
              <w:spacing w:after="0"/>
            </w:pPr>
            <w:r/>
            <w:r>
              <w:rPr>
                <w:rFonts w:ascii="Aptos" w:hAnsi="Aptos"/>
                <w:b w:val="0"/>
                <w:sz w:val="14"/>
              </w:rPr>
              <w:t>Medication normalization</w:t>
            </w:r>
          </w:p>
        </w:tc>
        <w:tc>
          <w:tcPr>
            <w:tcW w:type="dxa" w:w="3389"/>
            <w:vAlign w:val="top"/>
          </w:tcPr>
          <w:p>
            <w:pPr>
              <w:spacing w:after="0"/>
            </w:pPr>
            <w:r/>
            <w:r>
              <w:rPr>
                <w:rFonts w:ascii="Aptos" w:hAnsi="Aptos"/>
                <w:b w:val="0"/>
                <w:sz w:val="14"/>
              </w:rPr>
              <w:t>Unverified fabricated identifier</w:t>
            </w:r>
          </w:p>
        </w:tc>
        <w:tc>
          <w:tcPr>
            <w:tcW w:type="dxa" w:w="3389"/>
            <w:vAlign w:val="top"/>
          </w:tcPr>
          <w:p>
            <w:pPr>
              <w:spacing w:after="0"/>
            </w:pPr>
            <w:r/>
            <w:r>
              <w:rPr>
                <w:rFonts w:ascii="Aptos" w:hAnsi="Aptos"/>
                <w:b w:val="0"/>
                <w:sz w:val="14"/>
              </w:rPr>
              <w:t>Remove identifier / resolve from authoritative source</w:t>
            </w:r>
          </w:p>
        </w:tc>
      </w:tr>
      <w:tr>
        <w:tc>
          <w:tcPr>
            <w:tcW w:type="dxa" w:w="3389"/>
            <w:vAlign w:val="top"/>
          </w:tcPr>
          <w:p>
            <w:pPr>
              <w:spacing w:after="0"/>
            </w:pPr>
            <w:r/>
            <w:r>
              <w:rPr>
                <w:rFonts w:ascii="Aptos" w:hAnsi="Aptos"/>
                <w:b w:val="0"/>
                <w:sz w:val="14"/>
              </w:rPr>
              <w:t>Ontology mapping</w:t>
            </w:r>
          </w:p>
        </w:tc>
        <w:tc>
          <w:tcPr>
            <w:tcW w:type="dxa" w:w="3389"/>
            <w:vAlign w:val="top"/>
          </w:tcPr>
          <w:p>
            <w:pPr>
              <w:spacing w:after="0"/>
            </w:pPr>
            <w:r/>
            <w:r>
              <w:rPr>
                <w:rFonts w:ascii="Aptos" w:hAnsi="Aptos"/>
                <w:b w:val="0"/>
                <w:sz w:val="14"/>
              </w:rPr>
              <w:t>External ID not verified</w:t>
            </w:r>
          </w:p>
        </w:tc>
        <w:tc>
          <w:tcPr>
            <w:tcW w:type="dxa" w:w="3389"/>
            <w:vAlign w:val="top"/>
          </w:tcPr>
          <w:p>
            <w:pPr>
              <w:spacing w:after="0"/>
            </w:pPr>
            <w:r/>
            <w:r>
              <w:rPr>
                <w:rFonts w:ascii="Aptos" w:hAnsi="Aptos"/>
                <w:b w:val="0"/>
                <w:sz w:val="14"/>
              </w:rPr>
              <w:t>Use local MedAI ID + unresolved mapping status</w:t>
            </w:r>
          </w:p>
        </w:tc>
      </w:tr>
      <w:tr>
        <w:tc>
          <w:tcPr>
            <w:tcW w:type="dxa" w:w="3389"/>
            <w:vAlign w:val="top"/>
          </w:tcPr>
          <w:p>
            <w:pPr>
              <w:spacing w:after="0"/>
            </w:pPr>
            <w:r/>
            <w:r>
              <w:rPr>
                <w:rFonts w:ascii="Aptos" w:hAnsi="Aptos"/>
                <w:b w:val="0"/>
                <w:sz w:val="14"/>
              </w:rPr>
              <w:t>Duplicate leakage</w:t>
            </w:r>
          </w:p>
        </w:tc>
        <w:tc>
          <w:tcPr>
            <w:tcW w:type="dxa" w:w="3389"/>
            <w:vAlign w:val="top"/>
          </w:tcPr>
          <w:p>
            <w:pPr>
              <w:spacing w:after="0"/>
            </w:pPr>
            <w:r/>
            <w:r>
              <w:rPr>
                <w:rFonts w:ascii="Aptos" w:hAnsi="Aptos"/>
                <w:b w:val="0"/>
                <w:sz w:val="14"/>
              </w:rPr>
              <w:t>Same synthetic patient appears across train/test variants</w:t>
            </w:r>
          </w:p>
        </w:tc>
        <w:tc>
          <w:tcPr>
            <w:tcW w:type="dxa" w:w="3389"/>
            <w:vAlign w:val="top"/>
          </w:tcPr>
          <w:p>
            <w:pPr>
              <w:spacing w:after="0"/>
            </w:pPr>
            <w:r/>
            <w:r>
              <w:rPr>
                <w:rFonts w:ascii="Aptos" w:hAnsi="Aptos"/>
                <w:b w:val="0"/>
                <w:sz w:val="14"/>
              </w:rPr>
              <w:t>Group by patient/scenario family</w:t>
            </w:r>
          </w:p>
        </w:tc>
      </w:tr>
      <w:tr>
        <w:tc>
          <w:tcPr>
            <w:tcW w:type="dxa" w:w="3389"/>
            <w:vAlign w:val="top"/>
          </w:tcPr>
          <w:p>
            <w:pPr>
              <w:spacing w:after="0"/>
            </w:pPr>
            <w:r/>
            <w:r>
              <w:rPr>
                <w:rFonts w:ascii="Aptos" w:hAnsi="Aptos"/>
                <w:b w:val="0"/>
                <w:sz w:val="14"/>
              </w:rPr>
              <w:t>Generator leakage</w:t>
            </w:r>
          </w:p>
        </w:tc>
        <w:tc>
          <w:tcPr>
            <w:tcW w:type="dxa" w:w="3389"/>
            <w:vAlign w:val="top"/>
          </w:tcPr>
          <w:p>
            <w:pPr>
              <w:spacing w:after="0"/>
            </w:pPr>
            <w:r/>
            <w:r>
              <w:rPr>
                <w:rFonts w:ascii="Aptos" w:hAnsi="Aptos"/>
                <w:b w:val="0"/>
                <w:sz w:val="14"/>
              </w:rPr>
              <w:t>Evaluation model used to create its own answer labels</w:t>
            </w:r>
          </w:p>
        </w:tc>
        <w:tc>
          <w:tcPr>
            <w:tcW w:type="dxa" w:w="3389"/>
            <w:vAlign w:val="top"/>
          </w:tcPr>
          <w:p>
            <w:pPr>
              <w:spacing w:after="0"/>
            </w:pPr>
            <w:r/>
            <w:r>
              <w:rPr>
                <w:rFonts w:ascii="Aptos" w:hAnsi="Aptos"/>
                <w:b w:val="0"/>
                <w:sz w:val="14"/>
              </w:rPr>
              <w:t>Prohibited</w:t>
            </w:r>
          </w:p>
        </w:tc>
      </w:tr>
      <w:tr>
        <w:tc>
          <w:tcPr>
            <w:tcW w:type="dxa" w:w="3389"/>
            <w:vAlign w:val="top"/>
          </w:tcPr>
          <w:p>
            <w:pPr>
              <w:spacing w:after="0"/>
            </w:pPr>
            <w:r/>
            <w:r>
              <w:rPr>
                <w:rFonts w:ascii="Aptos" w:hAnsi="Aptos"/>
                <w:b w:val="0"/>
                <w:sz w:val="14"/>
              </w:rPr>
              <w:t>PHI check</w:t>
            </w:r>
          </w:p>
        </w:tc>
        <w:tc>
          <w:tcPr>
            <w:tcW w:type="dxa" w:w="3389"/>
            <w:vAlign w:val="top"/>
          </w:tcPr>
          <w:p>
            <w:pPr>
              <w:spacing w:after="0"/>
            </w:pPr>
            <w:r/>
            <w:r>
              <w:rPr>
                <w:rFonts w:ascii="Aptos" w:hAnsi="Aptos"/>
                <w:b w:val="0"/>
                <w:sz w:val="14"/>
              </w:rPr>
              <w:t>Real identifiers accidentally present</w:t>
            </w:r>
          </w:p>
        </w:tc>
        <w:tc>
          <w:tcPr>
            <w:tcW w:type="dxa" w:w="3389"/>
            <w:vAlign w:val="top"/>
          </w:tcPr>
          <w:p>
            <w:pPr>
              <w:spacing w:after="0"/>
            </w:pPr>
            <w:r/>
            <w:r>
              <w:rPr>
                <w:rFonts w:ascii="Aptos" w:hAnsi="Aptos"/>
                <w:b w:val="0"/>
                <w:sz w:val="14"/>
              </w:rPr>
              <w:t>Reject; synthetic corpus must contain only synthetic identities</w:t>
            </w:r>
          </w:p>
        </w:tc>
      </w:tr>
    </w:tbl>
    <w:p/>
    <w:p>
      <w:pPr>
        <w:pStyle w:val="Heading1"/>
      </w:pPr>
      <w:r>
        <w:t>20. Benchmark split and leakage prevention</w:t>
      </w:r>
    </w:p>
    <w:p>
      <w:pPr>
        <w:pStyle w:val="ListBullet"/>
        <w:ind w:left="403" w:hanging="202"/>
      </w:pPr>
      <w:r>
        <w:t>Split by synthetic patient, never by document.</w:t>
      </w:r>
    </w:p>
    <w:p>
      <w:pPr>
        <w:pStyle w:val="ListBullet"/>
        <w:ind w:left="403" w:hanging="202"/>
      </w:pPr>
      <w:r>
        <w:t>All documents, paraphrases, and longitudinal visits for one patient remain in one split.</w:t>
      </w:r>
    </w:p>
    <w:p>
      <w:pPr>
        <w:pStyle w:val="ListBullet"/>
        <w:ind w:left="403" w:hanging="202"/>
      </w:pPr>
      <w:r>
        <w:t>Few-shot examples must come only from the development/training partition.</w:t>
      </w:r>
    </w:p>
    <w:p>
      <w:pPr>
        <w:pStyle w:val="ListBullet"/>
        <w:ind w:left="403" w:hanging="202"/>
      </w:pPr>
      <w:r>
        <w:t>Scenario templates may be shared across splits, but exact patient facts and near-duplicate rendered notes must not.</w:t>
      </w:r>
    </w:p>
    <w:p>
      <w:pPr>
        <w:pStyle w:val="ListBullet"/>
        <w:ind w:left="403" w:hanging="202"/>
      </w:pPr>
      <w:r>
        <w:t>Maintain a hidden locked test set after prompt selection.</w:t>
      </w:r>
    </w:p>
    <w:p>
      <w:pPr>
        <w:pStyle w:val="ListBullet"/>
        <w:ind w:left="403" w:hanging="202"/>
      </w:pPr>
      <w:r>
        <w:t>For public benchmark releases, consider a public development set plus sequestered evaluation set if leaderboard use is intended.</w:t>
      </w:r>
    </w:p>
    <w:p>
      <w:pPr>
        <w:pStyle w:val="ListBullet"/>
        <w:ind w:left="403" w:hanging="202"/>
      </w:pPr>
      <w:r>
        <w:t>Record generator/model used to render prose; evaluate robustness across at least two style-generation mechanisms when feasible.</w:t>
      </w:r>
    </w:p>
    <w:p>
      <w:pPr>
        <w:pStyle w:val="Heading1"/>
      </w:pPr>
      <w:r>
        <w:t>21. Clinician validation protocol</w:t>
      </w:r>
    </w:p>
    <w:p>
      <w:r>
        <w:t>The 2024 epilepsy synthetic-letter study demonstrates a credible precedent: 200 synthetic clinic letters were written by epilepsy clinicians, double annotated by trained clinicians/researchers, adjudicated into a gold standard, and released with annotation guidelines [S15]. MedAI should borrow the rigor, not copy the labels blindly.</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D9EAF7"/>
          </w:tcPr>
          <w:p>
            <w:pPr>
              <w:spacing w:after="0"/>
            </w:pPr>
            <w:r/>
            <w:r>
              <w:rPr>
                <w:rFonts w:ascii="Aptos" w:hAnsi="Aptos"/>
                <w:b/>
                <w:sz w:val="15"/>
              </w:rPr>
              <w:t>Stage</w:t>
            </w:r>
          </w:p>
        </w:tc>
        <w:tc>
          <w:tcPr>
            <w:tcW w:type="dxa" w:w="2033"/>
            <w:shd w:fill="D9EAF7"/>
          </w:tcPr>
          <w:p>
            <w:pPr>
              <w:spacing w:after="0"/>
            </w:pPr>
            <w:r/>
            <w:r>
              <w:rPr>
                <w:rFonts w:ascii="Aptos" w:hAnsi="Aptos"/>
                <w:b/>
                <w:sz w:val="15"/>
              </w:rPr>
              <w:t>Reviewers</w:t>
            </w:r>
          </w:p>
        </w:tc>
        <w:tc>
          <w:tcPr>
            <w:tcW w:type="dxa" w:w="2033"/>
            <w:shd w:fill="D9EAF7"/>
          </w:tcPr>
          <w:p>
            <w:pPr>
              <w:spacing w:after="0"/>
            </w:pPr>
            <w:r/>
            <w:r>
              <w:rPr>
                <w:rFonts w:ascii="Aptos" w:hAnsi="Aptos"/>
                <w:b/>
                <w:sz w:val="15"/>
              </w:rPr>
              <w:t>Material</w:t>
            </w:r>
          </w:p>
        </w:tc>
        <w:tc>
          <w:tcPr>
            <w:tcW w:type="dxa" w:w="2033"/>
            <w:shd w:fill="D9EAF7"/>
          </w:tcPr>
          <w:p>
            <w:pPr>
              <w:spacing w:after="0"/>
            </w:pPr>
            <w:r/>
            <w:r>
              <w:rPr>
                <w:rFonts w:ascii="Aptos" w:hAnsi="Aptos"/>
                <w:b/>
                <w:sz w:val="15"/>
              </w:rPr>
              <w:t>Primary questions</w:t>
            </w:r>
          </w:p>
        </w:tc>
        <w:tc>
          <w:tcPr>
            <w:tcW w:type="dxa" w:w="2033"/>
            <w:shd w:fill="D9EAF7"/>
          </w:tcPr>
          <w:p>
            <w:pPr>
              <w:spacing w:after="0"/>
            </w:pPr>
            <w:r/>
            <w:r>
              <w:rPr>
                <w:rFonts w:ascii="Aptos" w:hAnsi="Aptos"/>
                <w:b/>
                <w:sz w:val="15"/>
              </w:rPr>
              <w:t>Output</w:t>
            </w:r>
          </w:p>
        </w:tc>
      </w:tr>
      <w:tr>
        <w:tc>
          <w:tcPr>
            <w:tcW w:type="dxa" w:w="2033"/>
            <w:vAlign w:val="top"/>
          </w:tcPr>
          <w:p>
            <w:pPr>
              <w:spacing w:after="0"/>
            </w:pPr>
            <w:r/>
            <w:r>
              <w:rPr>
                <w:rFonts w:ascii="Aptos" w:hAnsi="Aptos"/>
                <w:b w:val="0"/>
                <w:sz w:val="14"/>
              </w:rPr>
              <w:t>A. Ontology review</w:t>
            </w:r>
          </w:p>
        </w:tc>
        <w:tc>
          <w:tcPr>
            <w:tcW w:type="dxa" w:w="2033"/>
            <w:vAlign w:val="top"/>
          </w:tcPr>
          <w:p>
            <w:pPr>
              <w:spacing w:after="0"/>
            </w:pPr>
            <w:r/>
            <w:r>
              <w:rPr>
                <w:rFonts w:ascii="Aptos" w:hAnsi="Aptos"/>
                <w:b w:val="0"/>
                <w:sz w:val="14"/>
              </w:rPr>
              <w:t>2+ epilepsy clinicians; informatics lead</w:t>
            </w:r>
          </w:p>
        </w:tc>
        <w:tc>
          <w:tcPr>
            <w:tcW w:type="dxa" w:w="2033"/>
            <w:vAlign w:val="top"/>
          </w:tcPr>
          <w:p>
            <w:pPr>
              <w:spacing w:after="0"/>
            </w:pPr>
            <w:r/>
            <w:r>
              <w:rPr>
                <w:rFonts w:ascii="Aptos" w:hAnsi="Aptos"/>
                <w:b w:val="0"/>
                <w:sz w:val="14"/>
              </w:rPr>
              <w:t>v1 variables/value sets</w:t>
            </w:r>
          </w:p>
        </w:tc>
        <w:tc>
          <w:tcPr>
            <w:tcW w:type="dxa" w:w="2033"/>
            <w:vAlign w:val="top"/>
          </w:tcPr>
          <w:p>
            <w:pPr>
              <w:spacing w:after="0"/>
            </w:pPr>
            <w:r/>
            <w:r>
              <w:rPr>
                <w:rFonts w:ascii="Aptos" w:hAnsi="Aptos"/>
                <w:b w:val="0"/>
                <w:sz w:val="14"/>
              </w:rPr>
              <w:t>Are concepts clinically meaningful? Missing/ambiguous?</w:t>
            </w:r>
          </w:p>
        </w:tc>
        <w:tc>
          <w:tcPr>
            <w:tcW w:type="dxa" w:w="2033"/>
            <w:vAlign w:val="top"/>
          </w:tcPr>
          <w:p>
            <w:pPr>
              <w:spacing w:after="0"/>
            </w:pPr>
            <w:r/>
            <w:r>
              <w:rPr>
                <w:rFonts w:ascii="Aptos" w:hAnsi="Aptos"/>
                <w:b w:val="0"/>
                <w:sz w:val="14"/>
              </w:rPr>
              <w:t>Approved/revised schema</w:t>
            </w:r>
          </w:p>
        </w:tc>
      </w:tr>
      <w:tr>
        <w:tc>
          <w:tcPr>
            <w:tcW w:type="dxa" w:w="2033"/>
            <w:vAlign w:val="top"/>
          </w:tcPr>
          <w:p>
            <w:pPr>
              <w:spacing w:after="0"/>
            </w:pPr>
            <w:r/>
            <w:r>
              <w:rPr>
                <w:rFonts w:ascii="Aptos" w:hAnsi="Aptos"/>
                <w:b w:val="0"/>
                <w:sz w:val="14"/>
              </w:rPr>
              <w:t>B. EEG review</w:t>
            </w:r>
          </w:p>
        </w:tc>
        <w:tc>
          <w:tcPr>
            <w:tcW w:type="dxa" w:w="2033"/>
            <w:vAlign w:val="top"/>
          </w:tcPr>
          <w:p>
            <w:pPr>
              <w:spacing w:after="0"/>
            </w:pPr>
            <w:r/>
            <w:r>
              <w:rPr>
                <w:rFonts w:ascii="Aptos" w:hAnsi="Aptos"/>
                <w:b w:val="0"/>
                <w:sz w:val="14"/>
              </w:rPr>
              <w:t>EEG/epilepsy expert(s)</w:t>
            </w:r>
          </w:p>
        </w:tc>
        <w:tc>
          <w:tcPr>
            <w:tcW w:type="dxa" w:w="2033"/>
            <w:vAlign w:val="top"/>
          </w:tcPr>
          <w:p>
            <w:pPr>
              <w:spacing w:after="0"/>
            </w:pPr>
            <w:r/>
            <w:r>
              <w:rPr>
                <w:rFonts w:ascii="Aptos" w:hAnsi="Aptos"/>
                <w:b w:val="0"/>
                <w:sz w:val="14"/>
              </w:rPr>
              <w:t>EEG fields/templates/rules</w:t>
            </w:r>
          </w:p>
        </w:tc>
        <w:tc>
          <w:tcPr>
            <w:tcW w:type="dxa" w:w="2033"/>
            <w:vAlign w:val="top"/>
          </w:tcPr>
          <w:p>
            <w:pPr>
              <w:spacing w:after="0"/>
            </w:pPr>
            <w:r/>
            <w:r>
              <w:rPr>
                <w:rFonts w:ascii="Aptos" w:hAnsi="Aptos"/>
                <w:b w:val="0"/>
                <w:sz w:val="14"/>
              </w:rPr>
              <w:t>Does terminology fit routine/EMU use?</w:t>
            </w:r>
          </w:p>
        </w:tc>
        <w:tc>
          <w:tcPr>
            <w:tcW w:type="dxa" w:w="2033"/>
            <w:vAlign w:val="top"/>
          </w:tcPr>
          <w:p>
            <w:pPr>
              <w:spacing w:after="0"/>
            </w:pPr>
            <w:r/>
            <w:r>
              <w:rPr>
                <w:rFonts w:ascii="Aptos" w:hAnsi="Aptos"/>
                <w:b w:val="0"/>
                <w:sz w:val="14"/>
              </w:rPr>
              <w:t>Approved EEG profile</w:t>
            </w:r>
          </w:p>
        </w:tc>
      </w:tr>
      <w:tr>
        <w:tc>
          <w:tcPr>
            <w:tcW w:type="dxa" w:w="2033"/>
            <w:vAlign w:val="top"/>
          </w:tcPr>
          <w:p>
            <w:pPr>
              <w:spacing w:after="0"/>
            </w:pPr>
            <w:r/>
            <w:r>
              <w:rPr>
                <w:rFonts w:ascii="Aptos" w:hAnsi="Aptos"/>
                <w:b w:val="0"/>
                <w:sz w:val="14"/>
              </w:rPr>
              <w:t>C. MRI review</w:t>
            </w:r>
          </w:p>
        </w:tc>
        <w:tc>
          <w:tcPr>
            <w:tcW w:type="dxa" w:w="2033"/>
            <w:vAlign w:val="top"/>
          </w:tcPr>
          <w:p>
            <w:pPr>
              <w:spacing w:after="0"/>
            </w:pPr>
            <w:r/>
            <w:r>
              <w:rPr>
                <w:rFonts w:ascii="Aptos" w:hAnsi="Aptos"/>
                <w:b w:val="0"/>
                <w:sz w:val="14"/>
              </w:rPr>
              <w:t>epilepsy imaging/neuro-radiology expert(s)</w:t>
            </w:r>
          </w:p>
        </w:tc>
        <w:tc>
          <w:tcPr>
            <w:tcW w:type="dxa" w:w="2033"/>
            <w:vAlign w:val="top"/>
          </w:tcPr>
          <w:p>
            <w:pPr>
              <w:spacing w:after="0"/>
            </w:pPr>
            <w:r/>
            <w:r>
              <w:rPr>
                <w:rFonts w:ascii="Aptos" w:hAnsi="Aptos"/>
                <w:b w:val="0"/>
                <w:sz w:val="14"/>
              </w:rPr>
              <w:t>MRI fields/templates/rules</w:t>
            </w:r>
          </w:p>
        </w:tc>
        <w:tc>
          <w:tcPr>
            <w:tcW w:type="dxa" w:w="2033"/>
            <w:vAlign w:val="top"/>
          </w:tcPr>
          <w:p>
            <w:pPr>
              <w:spacing w:after="0"/>
            </w:pPr>
            <w:r/>
            <w:r>
              <w:rPr>
                <w:rFonts w:ascii="Aptos" w:hAnsi="Aptos"/>
                <w:b w:val="0"/>
                <w:sz w:val="14"/>
              </w:rPr>
              <w:t>Are findings and certainty phrased plausibly?</w:t>
            </w:r>
          </w:p>
        </w:tc>
        <w:tc>
          <w:tcPr>
            <w:tcW w:type="dxa" w:w="2033"/>
            <w:vAlign w:val="top"/>
          </w:tcPr>
          <w:p>
            <w:pPr>
              <w:spacing w:after="0"/>
            </w:pPr>
            <w:r/>
            <w:r>
              <w:rPr>
                <w:rFonts w:ascii="Aptos" w:hAnsi="Aptos"/>
                <w:b w:val="0"/>
                <w:sz w:val="14"/>
              </w:rPr>
              <w:t>Approved MRI profile</w:t>
            </w:r>
          </w:p>
        </w:tc>
      </w:tr>
      <w:tr>
        <w:tc>
          <w:tcPr>
            <w:tcW w:type="dxa" w:w="2033"/>
            <w:vAlign w:val="top"/>
          </w:tcPr>
          <w:p>
            <w:pPr>
              <w:spacing w:after="0"/>
            </w:pPr>
            <w:r/>
            <w:r>
              <w:rPr>
                <w:rFonts w:ascii="Aptos" w:hAnsi="Aptos"/>
                <w:b w:val="0"/>
                <w:sz w:val="14"/>
              </w:rPr>
              <w:t>D. Rule review</w:t>
            </w:r>
          </w:p>
        </w:tc>
        <w:tc>
          <w:tcPr>
            <w:tcW w:type="dxa" w:w="2033"/>
            <w:vAlign w:val="top"/>
          </w:tcPr>
          <w:p>
            <w:pPr>
              <w:spacing w:after="0"/>
            </w:pPr>
            <w:r/>
            <w:r>
              <w:rPr>
                <w:rFonts w:ascii="Aptos" w:hAnsi="Aptos"/>
                <w:b w:val="0"/>
                <w:sz w:val="14"/>
              </w:rPr>
              <w:t>epileptologist(s)</w:t>
            </w:r>
          </w:p>
        </w:tc>
        <w:tc>
          <w:tcPr>
            <w:tcW w:type="dxa" w:w="2033"/>
            <w:vAlign w:val="top"/>
          </w:tcPr>
          <w:p>
            <w:pPr>
              <w:spacing w:after="0"/>
            </w:pPr>
            <w:r/>
            <w:r>
              <w:rPr>
                <w:rFonts w:ascii="Aptos" w:hAnsi="Aptos"/>
                <w:b w:val="0"/>
                <w:sz w:val="14"/>
              </w:rPr>
              <w:t>DRE, temporal, concordance rules</w:t>
            </w:r>
          </w:p>
        </w:tc>
        <w:tc>
          <w:tcPr>
            <w:tcW w:type="dxa" w:w="2033"/>
            <w:vAlign w:val="top"/>
          </w:tcPr>
          <w:p>
            <w:pPr>
              <w:spacing w:after="0"/>
            </w:pPr>
            <w:r/>
            <w:r>
              <w:rPr>
                <w:rFonts w:ascii="Aptos" w:hAnsi="Aptos"/>
                <w:b w:val="0"/>
                <w:sz w:val="14"/>
              </w:rPr>
              <w:t>Are derivations clinically defensible?</w:t>
            </w:r>
          </w:p>
        </w:tc>
        <w:tc>
          <w:tcPr>
            <w:tcW w:type="dxa" w:w="2033"/>
            <w:vAlign w:val="top"/>
          </w:tcPr>
          <w:p>
            <w:pPr>
              <w:spacing w:after="0"/>
            </w:pPr>
            <w:r/>
            <w:r>
              <w:rPr>
                <w:rFonts w:ascii="Aptos" w:hAnsi="Aptos"/>
                <w:b w:val="0"/>
                <w:sz w:val="14"/>
              </w:rPr>
              <w:t>Rule approval + exceptions</w:t>
            </w:r>
          </w:p>
        </w:tc>
      </w:tr>
      <w:tr>
        <w:tc>
          <w:tcPr>
            <w:tcW w:type="dxa" w:w="2033"/>
            <w:vAlign w:val="top"/>
          </w:tcPr>
          <w:p>
            <w:pPr>
              <w:spacing w:after="0"/>
            </w:pPr>
            <w:r/>
            <w:r>
              <w:rPr>
                <w:rFonts w:ascii="Aptos" w:hAnsi="Aptos"/>
                <w:b w:val="0"/>
                <w:sz w:val="14"/>
              </w:rPr>
              <w:t>E. Pilot realism</w:t>
            </w:r>
          </w:p>
        </w:tc>
        <w:tc>
          <w:tcPr>
            <w:tcW w:type="dxa" w:w="2033"/>
            <w:vAlign w:val="top"/>
          </w:tcPr>
          <w:p>
            <w:pPr>
              <w:spacing w:after="0"/>
            </w:pPr>
            <w:r/>
            <w:r>
              <w:rPr>
                <w:rFonts w:ascii="Aptos" w:hAnsi="Aptos"/>
                <w:b w:val="0"/>
                <w:sz w:val="14"/>
              </w:rPr>
              <w:t>blinded clinicians</w:t>
            </w:r>
          </w:p>
        </w:tc>
        <w:tc>
          <w:tcPr>
            <w:tcW w:type="dxa" w:w="2033"/>
            <w:vAlign w:val="top"/>
          </w:tcPr>
          <w:p>
            <w:pPr>
              <w:spacing w:after="0"/>
            </w:pPr>
            <w:r/>
            <w:r>
              <w:rPr>
                <w:rFonts w:ascii="Aptos" w:hAnsi="Aptos"/>
                <w:b w:val="0"/>
                <w:sz w:val="14"/>
              </w:rPr>
              <w:t>100-300 generated documents</w:t>
            </w:r>
          </w:p>
        </w:tc>
        <w:tc>
          <w:tcPr>
            <w:tcW w:type="dxa" w:w="2033"/>
            <w:vAlign w:val="top"/>
          </w:tcPr>
          <w:p>
            <w:pPr>
              <w:spacing w:after="0"/>
            </w:pPr>
            <w:r/>
            <w:r>
              <w:rPr>
                <w:rFonts w:ascii="Aptos" w:hAnsi="Aptos"/>
                <w:b w:val="0"/>
                <w:sz w:val="14"/>
              </w:rPr>
              <w:t>Plausibility, style, internal consistency, label fidelity</w:t>
            </w:r>
          </w:p>
        </w:tc>
        <w:tc>
          <w:tcPr>
            <w:tcW w:type="dxa" w:w="2033"/>
            <w:vAlign w:val="top"/>
          </w:tcPr>
          <w:p>
            <w:pPr>
              <w:spacing w:after="0"/>
            </w:pPr>
            <w:r/>
            <w:r>
              <w:rPr>
                <w:rFonts w:ascii="Aptos" w:hAnsi="Aptos"/>
                <w:b w:val="0"/>
                <w:sz w:val="14"/>
              </w:rPr>
              <w:t>Revision log</w:t>
            </w:r>
          </w:p>
        </w:tc>
      </w:tr>
      <w:tr>
        <w:tc>
          <w:tcPr>
            <w:tcW w:type="dxa" w:w="2033"/>
            <w:vAlign w:val="top"/>
          </w:tcPr>
          <w:p>
            <w:pPr>
              <w:spacing w:after="0"/>
            </w:pPr>
            <w:r/>
            <w:r>
              <w:rPr>
                <w:rFonts w:ascii="Aptos" w:hAnsi="Aptos"/>
                <w:b w:val="0"/>
                <w:sz w:val="14"/>
              </w:rPr>
              <w:t>F. Gold review</w:t>
            </w:r>
          </w:p>
        </w:tc>
        <w:tc>
          <w:tcPr>
            <w:tcW w:type="dxa" w:w="2033"/>
            <w:vAlign w:val="top"/>
          </w:tcPr>
          <w:p>
            <w:pPr>
              <w:spacing w:after="0"/>
            </w:pPr>
            <w:r/>
            <w:r>
              <w:rPr>
                <w:rFonts w:ascii="Aptos" w:hAnsi="Aptos"/>
                <w:b w:val="0"/>
                <w:sz w:val="14"/>
              </w:rPr>
              <w:t>2 independent reviewers + adjudicator</w:t>
            </w:r>
          </w:p>
        </w:tc>
        <w:tc>
          <w:tcPr>
            <w:tcW w:type="dxa" w:w="2033"/>
            <w:vAlign w:val="top"/>
          </w:tcPr>
          <w:p>
            <w:pPr>
              <w:spacing w:after="0"/>
            </w:pPr>
            <w:r/>
            <w:r>
              <w:rPr>
                <w:rFonts w:ascii="Aptos" w:hAnsi="Aptos"/>
                <w:b w:val="0"/>
                <w:sz w:val="14"/>
              </w:rPr>
              <w:t>stratified sample</w:t>
            </w:r>
          </w:p>
        </w:tc>
        <w:tc>
          <w:tcPr>
            <w:tcW w:type="dxa" w:w="2033"/>
            <w:vAlign w:val="top"/>
          </w:tcPr>
          <w:p>
            <w:pPr>
              <w:spacing w:after="0"/>
            </w:pPr>
            <w:r/>
            <w:r>
              <w:rPr>
                <w:rFonts w:ascii="Aptos" w:hAnsi="Aptos"/>
                <w:b w:val="0"/>
                <w:sz w:val="14"/>
              </w:rPr>
              <w:t>Does rendered note faithfully express latent truth?</w:t>
            </w:r>
          </w:p>
        </w:tc>
        <w:tc>
          <w:tcPr>
            <w:tcW w:type="dxa" w:w="2033"/>
            <w:vAlign w:val="top"/>
          </w:tcPr>
          <w:p>
            <w:pPr>
              <w:spacing w:after="0"/>
            </w:pPr>
            <w:r/>
            <w:r>
              <w:rPr>
                <w:rFonts w:ascii="Aptos" w:hAnsi="Aptos"/>
                <w:b w:val="0"/>
                <w:sz w:val="14"/>
              </w:rPr>
              <w:t>Human-validated benchmark subset</w:t>
            </w:r>
          </w:p>
        </w:tc>
      </w:tr>
      <w:tr>
        <w:tc>
          <w:tcPr>
            <w:tcW w:type="dxa" w:w="2033"/>
            <w:vAlign w:val="top"/>
          </w:tcPr>
          <w:p>
            <w:pPr>
              <w:spacing w:after="0"/>
            </w:pPr>
            <w:r/>
            <w:r>
              <w:rPr>
                <w:rFonts w:ascii="Aptos" w:hAnsi="Aptos"/>
                <w:b w:val="0"/>
                <w:sz w:val="14"/>
              </w:rPr>
              <w:t>G. Real-world validation</w:t>
            </w:r>
          </w:p>
        </w:tc>
        <w:tc>
          <w:tcPr>
            <w:tcW w:type="dxa" w:w="2033"/>
            <w:vAlign w:val="top"/>
          </w:tcPr>
          <w:p>
            <w:pPr>
              <w:spacing w:after="0"/>
            </w:pPr>
            <w:r/>
            <w:r>
              <w:rPr>
                <w:rFonts w:ascii="Aptos" w:hAnsi="Aptos"/>
                <w:b w:val="0"/>
                <w:sz w:val="14"/>
              </w:rPr>
              <w:t>IRB-approved clinicians</w:t>
            </w:r>
          </w:p>
        </w:tc>
        <w:tc>
          <w:tcPr>
            <w:tcW w:type="dxa" w:w="2033"/>
            <w:vAlign w:val="top"/>
          </w:tcPr>
          <w:p>
            <w:pPr>
              <w:spacing w:after="0"/>
            </w:pPr>
            <w:r/>
            <w:r>
              <w:rPr>
                <w:rFonts w:ascii="Aptos" w:hAnsi="Aptos"/>
                <w:b w:val="0"/>
                <w:sz w:val="14"/>
              </w:rPr>
              <w:t>real de-identified notes</w:t>
            </w:r>
          </w:p>
        </w:tc>
        <w:tc>
          <w:tcPr>
            <w:tcW w:type="dxa" w:w="2033"/>
            <w:vAlign w:val="top"/>
          </w:tcPr>
          <w:p>
            <w:pPr>
              <w:spacing w:after="0"/>
            </w:pPr>
            <w:r/>
            <w:r>
              <w:rPr>
                <w:rFonts w:ascii="Aptos" w:hAnsi="Aptos"/>
                <w:b w:val="0"/>
                <w:sz w:val="14"/>
              </w:rPr>
              <w:t>Does extraction transfer to real documentation?</w:t>
            </w:r>
          </w:p>
        </w:tc>
        <w:tc>
          <w:tcPr>
            <w:tcW w:type="dxa" w:w="2033"/>
            <w:vAlign w:val="top"/>
          </w:tcPr>
          <w:p>
            <w:pPr>
              <w:spacing w:after="0"/>
            </w:pPr>
            <w:r/>
            <w:r>
              <w:rPr>
                <w:rFonts w:ascii="Aptos" w:hAnsi="Aptos"/>
                <w:b w:val="0"/>
                <w:sz w:val="14"/>
              </w:rPr>
              <w:t>External/ecological validity</w:t>
            </w:r>
          </w:p>
        </w:tc>
      </w:tr>
    </w:tbl>
    <w:p/>
    <w:p>
      <w:r>
        <w:t>Recommended rating dimensions (MEDAI-PROPOSED): clinical plausibility; terminology appropriateness; internal consistency; document-type realism; absence of impossible combinations; faithfulness to latent truth; difficulty realism. Use a pre-specified ordinal scale and report inter-rater agreement. Do not choose the agreement statistic until the rating scale is finalized.</w:t>
      </w:r>
    </w:p>
    <w:p>
      <w:pPr>
        <w:pStyle w:val="Heading1"/>
      </w:pPr>
      <w:r>
        <w:t>22. Annotation manual requirements</w:t>
      </w:r>
    </w:p>
    <w:p>
      <w:pPr>
        <w:pStyle w:val="ListBullet"/>
        <w:ind w:left="403" w:hanging="202"/>
      </w:pPr>
      <w:r>
        <w:t>Define unit of annotation: assertion, evidence span, document-level field, patient-level synthesis.</w:t>
      </w:r>
    </w:p>
    <w:p>
      <w:pPr>
        <w:pStyle w:val="ListBullet"/>
        <w:ind w:left="403" w:hanging="202"/>
      </w:pPr>
      <w:r>
        <w:t>Define inclusion/exclusion examples for every v1 variable.</w:t>
      </w:r>
    </w:p>
    <w:p>
      <w:pPr>
        <w:pStyle w:val="ListBullet"/>
        <w:ind w:left="403" w:hanging="202"/>
      </w:pPr>
      <w:r>
        <w:t>Define handling of negation, uncertainty, family history, hypothetical statements, copied-forward text, and historical information.</w:t>
      </w:r>
    </w:p>
    <w:p>
      <w:pPr>
        <w:pStyle w:val="ListBullet"/>
        <w:ind w:left="403" w:hanging="202"/>
      </w:pPr>
      <w:r>
        <w:t>Define laterality and anatomy normalization rules.</w:t>
      </w:r>
    </w:p>
    <w:p>
      <w:pPr>
        <w:pStyle w:val="ListBullet"/>
        <w:ind w:left="403" w:hanging="202"/>
      </w:pPr>
      <w:r>
        <w:t>Define how multiple seizure types are represented.</w:t>
      </w:r>
    </w:p>
    <w:p>
      <w:pPr>
        <w:pStyle w:val="ListBullet"/>
        <w:ind w:left="403" w:hanging="202"/>
      </w:pPr>
      <w:r>
        <w:t>Define medication status, failure, intolerance, and adequacy separately.</w:t>
      </w:r>
    </w:p>
    <w:p>
      <w:pPr>
        <w:pStyle w:val="ListBullet"/>
        <w:ind w:left="403" w:hanging="202"/>
      </w:pPr>
      <w:r>
        <w:t>Define MRI impression vs pathology distinction for HS/FCD.</w:t>
      </w:r>
    </w:p>
    <w:p>
      <w:pPr>
        <w:pStyle w:val="ListBullet"/>
        <w:ind w:left="403" w:hanging="202"/>
      </w:pPr>
      <w:r>
        <w:t>Define EEG source-report finding vs clinician synthesis.</w:t>
      </w:r>
    </w:p>
    <w:p>
      <w:pPr>
        <w:pStyle w:val="ListBullet"/>
        <w:ind w:left="403" w:hanging="202"/>
      </w:pPr>
      <w:r>
        <w:t>Define conflict/adjudication workflow.</w:t>
      </w:r>
    </w:p>
    <w:p>
      <w:pPr>
        <w:pStyle w:val="ListBullet"/>
        <w:ind w:left="403" w:hanging="202"/>
      </w:pPr>
      <w:r>
        <w:t>Maintain examples of common ambiguous cases and decisions.</w:t>
      </w:r>
    </w:p>
    <w:p>
      <w:pPr>
        <w:pStyle w:val="ListBullet"/>
        <w:ind w:left="403" w:hanging="202"/>
      </w:pPr>
      <w:r>
        <w:t>Version the manual with the schema and never change test-set labels silently.</w:t>
      </w:r>
    </w:p>
    <w:p>
      <w:pPr>
        <w:pStyle w:val="Heading1"/>
      </w:pPr>
      <w:r>
        <w:t>23. MedAI model benchmark protocol</w:t>
      </w:r>
    </w:p>
    <w:p>
      <w:r>
        <w:t>The synthetic dataset is intended to validate extraction systems, not to prove real-world clinical performance. The initial frozen-model experiment can compare Med42 and DeepSeek under matched zero-shot and few-shot conditions, plus optional extractor-verifier collaboration.</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System</w:t>
            </w:r>
          </w:p>
        </w:tc>
        <w:tc>
          <w:tcPr>
            <w:tcW w:type="dxa" w:w="3389"/>
            <w:shd w:fill="D9EAF7"/>
          </w:tcPr>
          <w:p>
            <w:pPr>
              <w:spacing w:after="0"/>
            </w:pPr>
            <w:r/>
            <w:r>
              <w:rPr>
                <w:rFonts w:ascii="Aptos" w:hAnsi="Aptos"/>
                <w:b/>
                <w:sz w:val="15"/>
              </w:rPr>
              <w:t>Condition</w:t>
            </w:r>
          </w:p>
        </w:tc>
        <w:tc>
          <w:tcPr>
            <w:tcW w:type="dxa" w:w="3389"/>
            <w:shd w:fill="D9EAF7"/>
          </w:tcPr>
          <w:p>
            <w:pPr>
              <w:spacing w:after="0"/>
            </w:pPr>
            <w:r/>
            <w:r>
              <w:rPr>
                <w:rFonts w:ascii="Aptos" w:hAnsi="Aptos"/>
                <w:b/>
                <w:sz w:val="15"/>
              </w:rPr>
              <w:t>Purpose</w:t>
            </w:r>
          </w:p>
        </w:tc>
      </w:tr>
      <w:tr>
        <w:tc>
          <w:tcPr>
            <w:tcW w:type="dxa" w:w="3389"/>
            <w:vAlign w:val="top"/>
          </w:tcPr>
          <w:p>
            <w:pPr>
              <w:spacing w:after="0"/>
            </w:pPr>
            <w:r/>
            <w:r>
              <w:rPr>
                <w:rFonts w:ascii="Aptos" w:hAnsi="Aptos"/>
                <w:b w:val="0"/>
                <w:sz w:val="14"/>
              </w:rPr>
              <w:t>Rules/ExECT-like baseline where applicable</w:t>
            </w:r>
          </w:p>
        </w:tc>
        <w:tc>
          <w:tcPr>
            <w:tcW w:type="dxa" w:w="3389"/>
            <w:vAlign w:val="top"/>
          </w:tcPr>
          <w:p>
            <w:pPr>
              <w:spacing w:after="0"/>
            </w:pPr>
            <w:r/>
            <w:r>
              <w:rPr>
                <w:rFonts w:ascii="Aptos" w:hAnsi="Aptos"/>
                <w:b w:val="0"/>
                <w:sz w:val="14"/>
              </w:rPr>
              <w:t>Deterministic</w:t>
            </w:r>
          </w:p>
        </w:tc>
        <w:tc>
          <w:tcPr>
            <w:tcW w:type="dxa" w:w="3389"/>
            <w:vAlign w:val="top"/>
          </w:tcPr>
          <w:p>
            <w:pPr>
              <w:spacing w:after="0"/>
            </w:pPr>
            <w:r/>
            <w:r>
              <w:rPr>
                <w:rFonts w:ascii="Aptos" w:hAnsi="Aptos"/>
                <w:b w:val="0"/>
                <w:sz w:val="14"/>
              </w:rPr>
              <w:t>Traditional NLP reference</w:t>
            </w:r>
          </w:p>
        </w:tc>
      </w:tr>
      <w:tr>
        <w:tc>
          <w:tcPr>
            <w:tcW w:type="dxa" w:w="3389"/>
            <w:vAlign w:val="top"/>
          </w:tcPr>
          <w:p>
            <w:pPr>
              <w:spacing w:after="0"/>
            </w:pPr>
            <w:r/>
            <w:r>
              <w:rPr>
                <w:rFonts w:ascii="Aptos" w:hAnsi="Aptos"/>
                <w:b w:val="0"/>
                <w:sz w:val="14"/>
              </w:rPr>
              <w:t>Med42</w:t>
            </w:r>
          </w:p>
        </w:tc>
        <w:tc>
          <w:tcPr>
            <w:tcW w:type="dxa" w:w="3389"/>
            <w:vAlign w:val="top"/>
          </w:tcPr>
          <w:p>
            <w:pPr>
              <w:spacing w:after="0"/>
            </w:pPr>
            <w:r/>
            <w:r>
              <w:rPr>
                <w:rFonts w:ascii="Aptos" w:hAnsi="Aptos"/>
                <w:b w:val="0"/>
                <w:sz w:val="14"/>
              </w:rPr>
              <w:t>Zero-shot</w:t>
            </w:r>
          </w:p>
        </w:tc>
        <w:tc>
          <w:tcPr>
            <w:tcW w:type="dxa" w:w="3389"/>
            <w:vAlign w:val="top"/>
          </w:tcPr>
          <w:p>
            <w:pPr>
              <w:spacing w:after="0"/>
            </w:pPr>
            <w:r/>
            <w:r>
              <w:rPr>
                <w:rFonts w:ascii="Aptos" w:hAnsi="Aptos"/>
                <w:b w:val="0"/>
                <w:sz w:val="14"/>
              </w:rPr>
              <w:t>Medical LLM baseline</w:t>
            </w:r>
          </w:p>
        </w:tc>
      </w:tr>
      <w:tr>
        <w:tc>
          <w:tcPr>
            <w:tcW w:type="dxa" w:w="3389"/>
            <w:vAlign w:val="top"/>
          </w:tcPr>
          <w:p>
            <w:pPr>
              <w:spacing w:after="0"/>
            </w:pPr>
            <w:r/>
            <w:r>
              <w:rPr>
                <w:rFonts w:ascii="Aptos" w:hAnsi="Aptos"/>
                <w:b w:val="0"/>
                <w:sz w:val="14"/>
              </w:rPr>
              <w:t>Med42</w:t>
            </w:r>
          </w:p>
        </w:tc>
        <w:tc>
          <w:tcPr>
            <w:tcW w:type="dxa" w:w="3389"/>
            <w:vAlign w:val="top"/>
          </w:tcPr>
          <w:p>
            <w:pPr>
              <w:spacing w:after="0"/>
            </w:pPr>
            <w:r/>
            <w:r>
              <w:rPr>
                <w:rFonts w:ascii="Aptos" w:hAnsi="Aptos"/>
                <w:b w:val="0"/>
                <w:sz w:val="14"/>
              </w:rPr>
              <w:t>Few-shot</w:t>
            </w:r>
          </w:p>
        </w:tc>
        <w:tc>
          <w:tcPr>
            <w:tcW w:type="dxa" w:w="3389"/>
            <w:vAlign w:val="top"/>
          </w:tcPr>
          <w:p>
            <w:pPr>
              <w:spacing w:after="0"/>
            </w:pPr>
            <w:r/>
            <w:r>
              <w:rPr>
                <w:rFonts w:ascii="Aptos" w:hAnsi="Aptos"/>
                <w:b w:val="0"/>
                <w:sz w:val="14"/>
              </w:rPr>
              <w:t>In-context adaptation</w:t>
            </w:r>
          </w:p>
        </w:tc>
      </w:tr>
      <w:tr>
        <w:tc>
          <w:tcPr>
            <w:tcW w:type="dxa" w:w="3389"/>
            <w:vAlign w:val="top"/>
          </w:tcPr>
          <w:p>
            <w:pPr>
              <w:spacing w:after="0"/>
            </w:pPr>
            <w:r/>
            <w:r>
              <w:rPr>
                <w:rFonts w:ascii="Aptos" w:hAnsi="Aptos"/>
                <w:b w:val="0"/>
                <w:sz w:val="14"/>
              </w:rPr>
              <w:t>DeepSeek 8B-class model</w:t>
            </w:r>
          </w:p>
        </w:tc>
        <w:tc>
          <w:tcPr>
            <w:tcW w:type="dxa" w:w="3389"/>
            <w:vAlign w:val="top"/>
          </w:tcPr>
          <w:p>
            <w:pPr>
              <w:spacing w:after="0"/>
            </w:pPr>
            <w:r/>
            <w:r>
              <w:rPr>
                <w:rFonts w:ascii="Aptos" w:hAnsi="Aptos"/>
                <w:b w:val="0"/>
                <w:sz w:val="14"/>
              </w:rPr>
              <w:t>Zero-shot</w:t>
            </w:r>
          </w:p>
        </w:tc>
        <w:tc>
          <w:tcPr>
            <w:tcW w:type="dxa" w:w="3389"/>
            <w:vAlign w:val="top"/>
          </w:tcPr>
          <w:p>
            <w:pPr>
              <w:spacing w:after="0"/>
            </w:pPr>
            <w:r/>
            <w:r>
              <w:rPr>
                <w:rFonts w:ascii="Aptos" w:hAnsi="Aptos"/>
                <w:b w:val="0"/>
                <w:sz w:val="14"/>
              </w:rPr>
              <w:t>Reasoning/general model baseline</w:t>
            </w:r>
          </w:p>
        </w:tc>
      </w:tr>
      <w:tr>
        <w:tc>
          <w:tcPr>
            <w:tcW w:type="dxa" w:w="3389"/>
            <w:vAlign w:val="top"/>
          </w:tcPr>
          <w:p>
            <w:pPr>
              <w:spacing w:after="0"/>
            </w:pPr>
            <w:r/>
            <w:r>
              <w:rPr>
                <w:rFonts w:ascii="Aptos" w:hAnsi="Aptos"/>
                <w:b w:val="0"/>
                <w:sz w:val="14"/>
              </w:rPr>
              <w:t>DeepSeek 8B-class model</w:t>
            </w:r>
          </w:p>
        </w:tc>
        <w:tc>
          <w:tcPr>
            <w:tcW w:type="dxa" w:w="3389"/>
            <w:vAlign w:val="top"/>
          </w:tcPr>
          <w:p>
            <w:pPr>
              <w:spacing w:after="0"/>
            </w:pPr>
            <w:r/>
            <w:r>
              <w:rPr>
                <w:rFonts w:ascii="Aptos" w:hAnsi="Aptos"/>
                <w:b w:val="0"/>
                <w:sz w:val="14"/>
              </w:rPr>
              <w:t>Few-shot</w:t>
            </w:r>
          </w:p>
        </w:tc>
        <w:tc>
          <w:tcPr>
            <w:tcW w:type="dxa" w:w="3389"/>
            <w:vAlign w:val="top"/>
          </w:tcPr>
          <w:p>
            <w:pPr>
              <w:spacing w:after="0"/>
            </w:pPr>
            <w:r/>
            <w:r>
              <w:rPr>
                <w:rFonts w:ascii="Aptos" w:hAnsi="Aptos"/>
                <w:b w:val="0"/>
                <w:sz w:val="14"/>
              </w:rPr>
              <w:t>In-context adaptation</w:t>
            </w:r>
          </w:p>
        </w:tc>
      </w:tr>
      <w:tr>
        <w:tc>
          <w:tcPr>
            <w:tcW w:type="dxa" w:w="3389"/>
            <w:vAlign w:val="top"/>
          </w:tcPr>
          <w:p>
            <w:pPr>
              <w:spacing w:after="0"/>
            </w:pPr>
            <w:r/>
            <w:r>
              <w:rPr>
                <w:rFonts w:ascii="Aptos" w:hAnsi="Aptos"/>
                <w:b w:val="0"/>
                <w:sz w:val="14"/>
              </w:rPr>
              <w:t>Med42 → DeepSeek verifier</w:t>
            </w:r>
          </w:p>
        </w:tc>
        <w:tc>
          <w:tcPr>
            <w:tcW w:type="dxa" w:w="3389"/>
            <w:vAlign w:val="top"/>
          </w:tcPr>
          <w:p>
            <w:pPr>
              <w:spacing w:after="0"/>
            </w:pPr>
            <w:r/>
            <w:r>
              <w:rPr>
                <w:rFonts w:ascii="Aptos" w:hAnsi="Aptos"/>
                <w:b w:val="0"/>
                <w:sz w:val="14"/>
              </w:rPr>
              <w:t>Collaborative</w:t>
            </w:r>
          </w:p>
        </w:tc>
        <w:tc>
          <w:tcPr>
            <w:tcW w:type="dxa" w:w="3389"/>
            <w:vAlign w:val="top"/>
          </w:tcPr>
          <w:p>
            <w:pPr>
              <w:spacing w:after="0"/>
            </w:pPr>
            <w:r/>
            <w:r>
              <w:rPr>
                <w:rFonts w:ascii="Aptos" w:hAnsi="Aptos"/>
                <w:b w:val="0"/>
                <w:sz w:val="14"/>
              </w:rPr>
              <w:t>Error detection / evidence verification</w:t>
            </w:r>
          </w:p>
        </w:tc>
      </w:tr>
      <w:tr>
        <w:tc>
          <w:tcPr>
            <w:tcW w:type="dxa" w:w="3389"/>
            <w:vAlign w:val="top"/>
          </w:tcPr>
          <w:p>
            <w:pPr>
              <w:spacing w:after="0"/>
            </w:pPr>
            <w:r/>
            <w:r>
              <w:rPr>
                <w:rFonts w:ascii="Aptos" w:hAnsi="Aptos"/>
                <w:b w:val="0"/>
                <w:sz w:val="14"/>
              </w:rPr>
              <w:t>DeepSeek → Med42 verifier</w:t>
            </w:r>
          </w:p>
        </w:tc>
        <w:tc>
          <w:tcPr>
            <w:tcW w:type="dxa" w:w="3389"/>
            <w:vAlign w:val="top"/>
          </w:tcPr>
          <w:p>
            <w:pPr>
              <w:spacing w:after="0"/>
            </w:pPr>
            <w:r/>
            <w:r>
              <w:rPr>
                <w:rFonts w:ascii="Aptos" w:hAnsi="Aptos"/>
                <w:b w:val="0"/>
                <w:sz w:val="14"/>
              </w:rPr>
              <w:t>Collaborative</w:t>
            </w:r>
          </w:p>
        </w:tc>
        <w:tc>
          <w:tcPr>
            <w:tcW w:type="dxa" w:w="3389"/>
            <w:vAlign w:val="top"/>
          </w:tcPr>
          <w:p>
            <w:pPr>
              <w:spacing w:after="0"/>
            </w:pPr>
            <w:r/>
            <w:r>
              <w:rPr>
                <w:rFonts w:ascii="Aptos" w:hAnsi="Aptos"/>
                <w:b w:val="0"/>
                <w:sz w:val="14"/>
              </w:rPr>
              <w:t>Reverse-role comparison</w:t>
            </w:r>
          </w:p>
        </w:tc>
      </w:tr>
      <w:tr>
        <w:tc>
          <w:tcPr>
            <w:tcW w:type="dxa" w:w="3389"/>
            <w:vAlign w:val="top"/>
          </w:tcPr>
          <w:p>
            <w:pPr>
              <w:spacing w:after="0"/>
            </w:pPr>
            <w:r/>
            <w:r>
              <w:rPr>
                <w:rFonts w:ascii="Aptos" w:hAnsi="Aptos"/>
                <w:b w:val="0"/>
                <w:sz w:val="14"/>
              </w:rPr>
              <w:t>Parallel agreement</w:t>
            </w:r>
          </w:p>
        </w:tc>
        <w:tc>
          <w:tcPr>
            <w:tcW w:type="dxa" w:w="3389"/>
            <w:vAlign w:val="top"/>
          </w:tcPr>
          <w:p>
            <w:pPr>
              <w:spacing w:after="0"/>
            </w:pPr>
            <w:r/>
            <w:r>
              <w:rPr>
                <w:rFonts w:ascii="Aptos" w:hAnsi="Aptos"/>
                <w:b w:val="0"/>
                <w:sz w:val="14"/>
              </w:rPr>
              <w:t>Collaborative</w:t>
            </w:r>
          </w:p>
        </w:tc>
        <w:tc>
          <w:tcPr>
            <w:tcW w:type="dxa" w:w="3389"/>
            <w:vAlign w:val="top"/>
          </w:tcPr>
          <w:p>
            <w:pPr>
              <w:spacing w:after="0"/>
            </w:pPr>
            <w:r/>
            <w:r>
              <w:rPr>
                <w:rFonts w:ascii="Aptos" w:hAnsi="Aptos"/>
                <w:b w:val="0"/>
                <w:sz w:val="14"/>
              </w:rPr>
              <w:t>Disagreement as review signal</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pPr>
              <w:spacing w:after="0"/>
            </w:pPr>
            <w:r/>
            <w:r>
              <w:rPr>
                <w:rFonts w:ascii="Aptos" w:hAnsi="Aptos"/>
                <w:b/>
                <w:sz w:val="15"/>
              </w:rPr>
              <w:t>Metric family</w:t>
            </w:r>
          </w:p>
        </w:tc>
        <w:tc>
          <w:tcPr>
            <w:tcW w:type="dxa" w:w="5083"/>
            <w:shd w:fill="D9EAF7"/>
          </w:tcPr>
          <w:p>
            <w:pPr>
              <w:spacing w:after="0"/>
            </w:pPr>
            <w:r/>
            <w:r>
              <w:rPr>
                <w:rFonts w:ascii="Aptos" w:hAnsi="Aptos"/>
                <w:b/>
                <w:sz w:val="15"/>
              </w:rPr>
              <w:t>Metrics</w:t>
            </w:r>
          </w:p>
        </w:tc>
      </w:tr>
      <w:tr>
        <w:tc>
          <w:tcPr>
            <w:tcW w:type="dxa" w:w="5083"/>
            <w:vAlign w:val="top"/>
          </w:tcPr>
          <w:p>
            <w:pPr>
              <w:spacing w:after="0"/>
            </w:pPr>
            <w:r/>
            <w:r>
              <w:rPr>
                <w:rFonts w:ascii="Aptos" w:hAnsi="Aptos"/>
                <w:b w:val="0"/>
                <w:sz w:val="14"/>
              </w:rPr>
              <w:t>Extraction</w:t>
            </w:r>
          </w:p>
        </w:tc>
        <w:tc>
          <w:tcPr>
            <w:tcW w:type="dxa" w:w="5083"/>
            <w:vAlign w:val="top"/>
          </w:tcPr>
          <w:p>
            <w:pPr>
              <w:spacing w:after="0"/>
            </w:pPr>
            <w:r/>
            <w:r>
              <w:rPr>
                <w:rFonts w:ascii="Aptos" w:hAnsi="Aptos"/>
                <w:b w:val="0"/>
                <w:sz w:val="14"/>
              </w:rPr>
              <w:t>macro-F1; micro-F1; precision; recall; per-class F1</w:t>
            </w:r>
          </w:p>
        </w:tc>
      </w:tr>
      <w:tr>
        <w:tc>
          <w:tcPr>
            <w:tcW w:type="dxa" w:w="5083"/>
            <w:vAlign w:val="top"/>
          </w:tcPr>
          <w:p>
            <w:pPr>
              <w:spacing w:after="0"/>
            </w:pPr>
            <w:r/>
            <w:r>
              <w:rPr>
                <w:rFonts w:ascii="Aptos" w:hAnsi="Aptos"/>
                <w:b w:val="0"/>
                <w:sz w:val="14"/>
              </w:rPr>
              <w:t>Evidence</w:t>
            </w:r>
          </w:p>
        </w:tc>
        <w:tc>
          <w:tcPr>
            <w:tcW w:type="dxa" w:w="5083"/>
            <w:vAlign w:val="top"/>
          </w:tcPr>
          <w:p>
            <w:pPr>
              <w:spacing w:after="0"/>
            </w:pPr>
            <w:r/>
            <w:r>
              <w:rPr>
                <w:rFonts w:ascii="Aptos" w:hAnsi="Aptos"/>
                <w:b w:val="0"/>
                <w:sz w:val="14"/>
              </w:rPr>
              <w:t>evidence-span correctness; support rate; unsupported-claim rate</w:t>
            </w:r>
          </w:p>
        </w:tc>
      </w:tr>
      <w:tr>
        <w:tc>
          <w:tcPr>
            <w:tcW w:type="dxa" w:w="5083"/>
            <w:vAlign w:val="top"/>
          </w:tcPr>
          <w:p>
            <w:pPr>
              <w:spacing w:after="0"/>
            </w:pPr>
            <w:r/>
            <w:r>
              <w:rPr>
                <w:rFonts w:ascii="Aptos" w:hAnsi="Aptos"/>
                <w:b w:val="0"/>
                <w:sz w:val="14"/>
              </w:rPr>
              <w:t>Context</w:t>
            </w:r>
          </w:p>
        </w:tc>
        <w:tc>
          <w:tcPr>
            <w:tcW w:type="dxa" w:w="5083"/>
            <w:vAlign w:val="top"/>
          </w:tcPr>
          <w:p>
            <w:pPr>
              <w:spacing w:after="0"/>
            </w:pPr>
            <w:r/>
            <w:r>
              <w:rPr>
                <w:rFonts w:ascii="Aptos" w:hAnsi="Aptos"/>
                <w:b w:val="0"/>
                <w:sz w:val="14"/>
              </w:rPr>
              <w:t>negation; certainty; temporality; laterality error rates</w:t>
            </w:r>
          </w:p>
        </w:tc>
      </w:tr>
      <w:tr>
        <w:tc>
          <w:tcPr>
            <w:tcW w:type="dxa" w:w="5083"/>
            <w:vAlign w:val="top"/>
          </w:tcPr>
          <w:p>
            <w:pPr>
              <w:spacing w:after="0"/>
            </w:pPr>
            <w:r/>
            <w:r>
              <w:rPr>
                <w:rFonts w:ascii="Aptos" w:hAnsi="Aptos"/>
                <w:b w:val="0"/>
                <w:sz w:val="14"/>
              </w:rPr>
              <w:t>Structure</w:t>
            </w:r>
          </w:p>
        </w:tc>
        <w:tc>
          <w:tcPr>
            <w:tcW w:type="dxa" w:w="5083"/>
            <w:vAlign w:val="top"/>
          </w:tcPr>
          <w:p>
            <w:pPr>
              <w:spacing w:after="0"/>
            </w:pPr>
            <w:r/>
            <w:r>
              <w:rPr>
                <w:rFonts w:ascii="Aptos" w:hAnsi="Aptos"/>
                <w:b w:val="0"/>
                <w:sz w:val="14"/>
              </w:rPr>
              <w:t>schema compliance; invalid value rate; missing required fields</w:t>
            </w:r>
          </w:p>
        </w:tc>
      </w:tr>
      <w:tr>
        <w:tc>
          <w:tcPr>
            <w:tcW w:type="dxa" w:w="5083"/>
            <w:vAlign w:val="top"/>
          </w:tcPr>
          <w:p>
            <w:pPr>
              <w:spacing w:after="0"/>
            </w:pPr>
            <w:r/>
            <w:r>
              <w:rPr>
                <w:rFonts w:ascii="Aptos" w:hAnsi="Aptos"/>
                <w:b w:val="0"/>
                <w:sz w:val="14"/>
              </w:rPr>
              <w:t>Longitudinal</w:t>
            </w:r>
          </w:p>
        </w:tc>
        <w:tc>
          <w:tcPr>
            <w:tcW w:type="dxa" w:w="5083"/>
            <w:vAlign w:val="top"/>
          </w:tcPr>
          <w:p>
            <w:pPr>
              <w:spacing w:after="0"/>
            </w:pPr>
            <w:r/>
            <w:r>
              <w:rPr>
                <w:rFonts w:ascii="Aptos" w:hAnsi="Aptos"/>
                <w:b w:val="0"/>
                <w:sz w:val="14"/>
              </w:rPr>
              <w:t>current-state accuracy; event-order accuracy; medication-state reconstruction</w:t>
            </w:r>
          </w:p>
        </w:tc>
      </w:tr>
      <w:tr>
        <w:tc>
          <w:tcPr>
            <w:tcW w:type="dxa" w:w="5083"/>
            <w:vAlign w:val="top"/>
          </w:tcPr>
          <w:p>
            <w:pPr>
              <w:spacing w:after="0"/>
            </w:pPr>
            <w:r/>
            <w:r>
              <w:rPr>
                <w:rFonts w:ascii="Aptos" w:hAnsi="Aptos"/>
                <w:b w:val="0"/>
                <w:sz w:val="14"/>
              </w:rPr>
              <w:t>Verifier</w:t>
            </w:r>
          </w:p>
        </w:tc>
        <w:tc>
          <w:tcPr>
            <w:tcW w:type="dxa" w:w="5083"/>
            <w:vAlign w:val="top"/>
          </w:tcPr>
          <w:p>
            <w:pPr>
              <w:spacing w:after="0"/>
            </w:pPr>
            <w:r/>
            <w:r>
              <w:rPr>
                <w:rFonts w:ascii="Aptos" w:hAnsi="Aptos"/>
                <w:b w:val="0"/>
                <w:sz w:val="14"/>
              </w:rPr>
              <w:t>error-detection sensitivity/specificity; false-review rate</w:t>
            </w:r>
          </w:p>
        </w:tc>
      </w:tr>
      <w:tr>
        <w:tc>
          <w:tcPr>
            <w:tcW w:type="dxa" w:w="5083"/>
            <w:vAlign w:val="top"/>
          </w:tcPr>
          <w:p>
            <w:pPr>
              <w:spacing w:after="0"/>
            </w:pPr>
            <w:r/>
            <w:r>
              <w:rPr>
                <w:rFonts w:ascii="Aptos" w:hAnsi="Aptos"/>
                <w:b w:val="0"/>
                <w:sz w:val="14"/>
              </w:rPr>
              <w:t>Robustness</w:t>
            </w:r>
          </w:p>
        </w:tc>
        <w:tc>
          <w:tcPr>
            <w:tcW w:type="dxa" w:w="5083"/>
            <w:vAlign w:val="top"/>
          </w:tcPr>
          <w:p>
            <w:pPr>
              <w:spacing w:after="0"/>
            </w:pPr>
            <w:r/>
            <w:r>
              <w:rPr>
                <w:rFonts w:ascii="Aptos" w:hAnsi="Aptos"/>
                <w:b w:val="0"/>
                <w:sz w:val="14"/>
              </w:rPr>
              <w:t>tier; document type; phenotype; style generator; rare/common class</w:t>
            </w:r>
          </w:p>
        </w:tc>
      </w:tr>
      <w:tr>
        <w:tc>
          <w:tcPr>
            <w:tcW w:type="dxa" w:w="5083"/>
            <w:vAlign w:val="top"/>
          </w:tcPr>
          <w:p>
            <w:pPr>
              <w:spacing w:after="0"/>
            </w:pPr>
            <w:r/>
            <w:r>
              <w:rPr>
                <w:rFonts w:ascii="Aptos" w:hAnsi="Aptos"/>
                <w:b w:val="0"/>
                <w:sz w:val="14"/>
              </w:rPr>
              <w:t>Operations</w:t>
            </w:r>
          </w:p>
        </w:tc>
        <w:tc>
          <w:tcPr>
            <w:tcW w:type="dxa" w:w="5083"/>
            <w:vAlign w:val="top"/>
          </w:tcPr>
          <w:p>
            <w:pPr>
              <w:spacing w:after="0"/>
            </w:pPr>
            <w:r/>
            <w:r>
              <w:rPr>
                <w:rFonts w:ascii="Aptos" w:hAnsi="Aptos"/>
                <w:b w:val="0"/>
                <w:sz w:val="14"/>
              </w:rPr>
              <w:t>latency; throughput; memory; token count; hardware</w:t>
            </w:r>
          </w:p>
        </w:tc>
      </w:tr>
    </w:tbl>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8"/>
              </w:rPr>
              <w:t>Primary endpoint recommendation</w:t>
              <w:br/>
            </w:r>
            <w:r>
              <w:rPr>
                <w:sz w:val="17"/>
              </w:rPr>
              <w:t>Pre-specify one primary endpoint before the locked test set is run. Macro-F1 across a frozen set of high-priority phenotype fields is a reasonable candidate because the classes are likely to be imbalanced, but the exact endpoint and statistical analysis should be finalized with the study statistician.</w:t>
            </w:r>
          </w:p>
        </w:tc>
      </w:tr>
    </w:tbl>
    <w:p/>
    <w:p>
      <w:pPr>
        <w:pStyle w:val="Heading1"/>
      </w:pPr>
      <w:r>
        <w:t>24. External/public benchmark anchoring</w:t>
      </w:r>
    </w:p>
    <w:p>
      <w:r>
        <w:t>The MedAI synthetic corpus should not be evaluated in isolation. The 2024 public epilepsy clinic-letter resource provides 200 synthetic clinician-written letters, double annotation, adjudicated gold-standard annotations, and public annotation guidelines; ExECTv2 achieved reported overall F1 0.87 per item and 0.90 per letter on that gold standard [S15].</w:t>
      </w:r>
    </w:p>
    <w:p>
      <w:pPr>
        <w:pStyle w:val="ListBullet"/>
        <w:ind w:left="403" w:hanging="202"/>
      </w:pPr>
      <w:r>
        <w:t>Use the public letters unchanged for an external benchmark whenever licensing/terms permit.</w:t>
      </w:r>
    </w:p>
    <w:p>
      <w:pPr>
        <w:pStyle w:val="ListBullet"/>
        <w:ind w:left="403" w:hanging="202"/>
      </w:pPr>
      <w:r>
        <w:t>Do not relabel them using MedAI rules without preserving the original published labels.</w:t>
      </w:r>
    </w:p>
    <w:p>
      <w:pPr>
        <w:pStyle w:val="ListBullet"/>
        <w:ind w:left="403" w:hanging="202"/>
      </w:pPr>
      <w:r>
        <w:t>Create a mapping layer between their annotation concepts and MedAI variables; mark non-equivalent mappings as broader/narrower/related.</w:t>
      </w:r>
    </w:p>
    <w:p>
      <w:pPr>
        <w:pStyle w:val="ListBullet"/>
        <w:ind w:left="403" w:hanging="202"/>
      </w:pPr>
      <w:r>
        <w:t>Report performance on the original task separately from performance on the MedAI synthetic benchmark.</w:t>
      </w:r>
    </w:p>
    <w:p>
      <w:pPr>
        <w:pStyle w:val="ListBullet"/>
        <w:ind w:left="403" w:hanging="202"/>
      </w:pPr>
      <w:r>
        <w:t>Use discrepancies to identify where MedAI's ontology/application profile is too narrow, too broad, or incompatible with prior annotation practice.</w:t>
      </w:r>
    </w:p>
    <w:p>
      <w:pPr>
        <w:pStyle w:val="Heading1"/>
      </w:pPr>
      <w:r>
        <w:t>25. Research output and interoperability</w:t>
      </w:r>
    </w:p>
    <w:p>
      <w:r>
        <w:t>The native MedAI representation should retain richer evidence and provenance than a flat research table. Downstream exports are projections. OMOP/OHDSI can be used for standardized observational research representation where mappings fit; no mapping should be forced when it loses essential semantics [S16].</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Output</w:t>
            </w:r>
          </w:p>
        </w:tc>
        <w:tc>
          <w:tcPr>
            <w:tcW w:type="dxa" w:w="3389"/>
            <w:shd w:fill="D9EAF7"/>
          </w:tcPr>
          <w:p>
            <w:pPr>
              <w:spacing w:after="0"/>
            </w:pPr>
            <w:r/>
            <w:r>
              <w:rPr>
                <w:rFonts w:ascii="Aptos" w:hAnsi="Aptos"/>
                <w:b/>
                <w:sz w:val="15"/>
              </w:rPr>
              <w:t>Required content</w:t>
            </w:r>
          </w:p>
        </w:tc>
        <w:tc>
          <w:tcPr>
            <w:tcW w:type="dxa" w:w="3389"/>
            <w:shd w:fill="D9EAF7"/>
          </w:tcPr>
          <w:p>
            <w:pPr>
              <w:spacing w:after="0"/>
            </w:pPr>
            <w:r/>
            <w:r>
              <w:rPr>
                <w:rFonts w:ascii="Aptos" w:hAnsi="Aptos"/>
                <w:b/>
                <w:sz w:val="15"/>
              </w:rPr>
              <w:t>Use</w:t>
            </w:r>
          </w:p>
        </w:tc>
      </w:tr>
      <w:tr>
        <w:tc>
          <w:tcPr>
            <w:tcW w:type="dxa" w:w="3389"/>
            <w:vAlign w:val="top"/>
          </w:tcPr>
          <w:p>
            <w:pPr>
              <w:spacing w:after="0"/>
            </w:pPr>
            <w:r/>
            <w:r>
              <w:rPr>
                <w:rFonts w:ascii="Aptos" w:hAnsi="Aptos"/>
                <w:b w:val="0"/>
                <w:sz w:val="14"/>
              </w:rPr>
              <w:t>JSON</w:t>
            </w:r>
          </w:p>
        </w:tc>
        <w:tc>
          <w:tcPr>
            <w:tcW w:type="dxa" w:w="3389"/>
            <w:vAlign w:val="top"/>
          </w:tcPr>
          <w:p>
            <w:pPr>
              <w:spacing w:after="0"/>
            </w:pPr>
            <w:r/>
            <w:r>
              <w:rPr>
                <w:rFonts w:ascii="Aptos" w:hAnsi="Aptos"/>
                <w:b w:val="0"/>
                <w:sz w:val="14"/>
              </w:rPr>
              <w:t>Full patient/event/assertion graph</w:t>
            </w:r>
          </w:p>
        </w:tc>
        <w:tc>
          <w:tcPr>
            <w:tcW w:type="dxa" w:w="3389"/>
            <w:vAlign w:val="top"/>
          </w:tcPr>
          <w:p>
            <w:pPr>
              <w:spacing w:after="0"/>
            </w:pPr>
            <w:r/>
            <w:r>
              <w:rPr>
                <w:rFonts w:ascii="Aptos" w:hAnsi="Aptos"/>
                <w:b w:val="0"/>
                <w:sz w:val="14"/>
              </w:rPr>
              <w:t>Canonical MedAI exchange format</w:t>
            </w:r>
          </w:p>
        </w:tc>
      </w:tr>
      <w:tr>
        <w:tc>
          <w:tcPr>
            <w:tcW w:type="dxa" w:w="3389"/>
            <w:vAlign w:val="top"/>
          </w:tcPr>
          <w:p>
            <w:pPr>
              <w:spacing w:after="0"/>
            </w:pPr>
            <w:r/>
            <w:r>
              <w:rPr>
                <w:rFonts w:ascii="Aptos" w:hAnsi="Aptos"/>
                <w:b w:val="0"/>
                <w:sz w:val="14"/>
              </w:rPr>
              <w:t>Parquet</w:t>
            </w:r>
          </w:p>
        </w:tc>
        <w:tc>
          <w:tcPr>
            <w:tcW w:type="dxa" w:w="3389"/>
            <w:vAlign w:val="top"/>
          </w:tcPr>
          <w:p>
            <w:pPr>
              <w:spacing w:after="0"/>
            </w:pPr>
            <w:r/>
            <w:r>
              <w:rPr>
                <w:rFonts w:ascii="Aptos" w:hAnsi="Aptos"/>
                <w:b w:val="0"/>
                <w:sz w:val="14"/>
              </w:rPr>
              <w:t>Flattened/repeated analytic tables</w:t>
            </w:r>
          </w:p>
        </w:tc>
        <w:tc>
          <w:tcPr>
            <w:tcW w:type="dxa" w:w="3389"/>
            <w:vAlign w:val="top"/>
          </w:tcPr>
          <w:p>
            <w:pPr>
              <w:spacing w:after="0"/>
            </w:pPr>
            <w:r/>
            <w:r>
              <w:rPr>
                <w:rFonts w:ascii="Aptos" w:hAnsi="Aptos"/>
                <w:b w:val="0"/>
                <w:sz w:val="14"/>
              </w:rPr>
              <w:t>Large-scale research analysis</w:t>
            </w:r>
          </w:p>
        </w:tc>
      </w:tr>
      <w:tr>
        <w:tc>
          <w:tcPr>
            <w:tcW w:type="dxa" w:w="3389"/>
            <w:vAlign w:val="top"/>
          </w:tcPr>
          <w:p>
            <w:pPr>
              <w:spacing w:after="0"/>
            </w:pPr>
            <w:r/>
            <w:r>
              <w:rPr>
                <w:rFonts w:ascii="Aptos" w:hAnsi="Aptos"/>
                <w:b w:val="0"/>
                <w:sz w:val="14"/>
              </w:rPr>
              <w:t>CSV</w:t>
            </w:r>
          </w:p>
        </w:tc>
        <w:tc>
          <w:tcPr>
            <w:tcW w:type="dxa" w:w="3389"/>
            <w:vAlign w:val="top"/>
          </w:tcPr>
          <w:p>
            <w:pPr>
              <w:spacing w:after="0"/>
            </w:pPr>
            <w:r/>
            <w:r>
              <w:rPr>
                <w:rFonts w:ascii="Aptos" w:hAnsi="Aptos"/>
                <w:b w:val="0"/>
                <w:sz w:val="14"/>
              </w:rPr>
              <w:t>Selected cohort variables</w:t>
            </w:r>
          </w:p>
        </w:tc>
        <w:tc>
          <w:tcPr>
            <w:tcW w:type="dxa" w:w="3389"/>
            <w:vAlign w:val="top"/>
          </w:tcPr>
          <w:p>
            <w:pPr>
              <w:spacing w:after="0"/>
            </w:pPr>
            <w:r/>
            <w:r>
              <w:rPr>
                <w:rFonts w:ascii="Aptos" w:hAnsi="Aptos"/>
                <w:b w:val="0"/>
                <w:sz w:val="14"/>
              </w:rPr>
              <w:t>Simple analysis/review</w:t>
            </w:r>
          </w:p>
        </w:tc>
      </w:tr>
      <w:tr>
        <w:tc>
          <w:tcPr>
            <w:tcW w:type="dxa" w:w="3389"/>
            <w:vAlign w:val="top"/>
          </w:tcPr>
          <w:p>
            <w:pPr>
              <w:spacing w:after="0"/>
            </w:pPr>
            <w:r/>
            <w:r>
              <w:rPr>
                <w:rFonts w:ascii="Aptos" w:hAnsi="Aptos"/>
                <w:b w:val="0"/>
                <w:sz w:val="14"/>
              </w:rPr>
              <w:t>REDCap</w:t>
            </w:r>
          </w:p>
        </w:tc>
        <w:tc>
          <w:tcPr>
            <w:tcW w:type="dxa" w:w="3389"/>
            <w:vAlign w:val="top"/>
          </w:tcPr>
          <w:p>
            <w:pPr>
              <w:spacing w:after="0"/>
            </w:pPr>
            <w:r/>
            <w:r>
              <w:rPr>
                <w:rFonts w:ascii="Aptos" w:hAnsi="Aptos"/>
                <w:b w:val="0"/>
                <w:sz w:val="14"/>
              </w:rPr>
              <w:t>Curated reviewed variables + provenance links</w:t>
            </w:r>
          </w:p>
        </w:tc>
        <w:tc>
          <w:tcPr>
            <w:tcW w:type="dxa" w:w="3389"/>
            <w:vAlign w:val="top"/>
          </w:tcPr>
          <w:p>
            <w:pPr>
              <w:spacing w:after="0"/>
            </w:pPr>
            <w:r/>
            <w:r>
              <w:rPr>
                <w:rFonts w:ascii="Aptos" w:hAnsi="Aptos"/>
                <w:b w:val="0"/>
                <w:sz w:val="14"/>
              </w:rPr>
              <w:t>Research registry workflows</w:t>
            </w:r>
          </w:p>
        </w:tc>
      </w:tr>
      <w:tr>
        <w:tc>
          <w:tcPr>
            <w:tcW w:type="dxa" w:w="3389"/>
            <w:vAlign w:val="top"/>
          </w:tcPr>
          <w:p>
            <w:pPr>
              <w:spacing w:after="0"/>
            </w:pPr>
            <w:r/>
            <w:r>
              <w:rPr>
                <w:rFonts w:ascii="Aptos" w:hAnsi="Aptos"/>
                <w:b w:val="0"/>
                <w:sz w:val="14"/>
              </w:rPr>
              <w:t>OMOP</w:t>
            </w:r>
          </w:p>
        </w:tc>
        <w:tc>
          <w:tcPr>
            <w:tcW w:type="dxa" w:w="3389"/>
            <w:vAlign w:val="top"/>
          </w:tcPr>
          <w:p>
            <w:pPr>
              <w:spacing w:after="0"/>
            </w:pPr>
            <w:r/>
            <w:r>
              <w:rPr>
                <w:rFonts w:ascii="Aptos" w:hAnsi="Aptos"/>
                <w:b w:val="0"/>
                <w:sz w:val="14"/>
              </w:rPr>
              <w:t>Mapped standard concepts + source/provenance extension strategy</w:t>
            </w:r>
          </w:p>
        </w:tc>
        <w:tc>
          <w:tcPr>
            <w:tcW w:type="dxa" w:w="3389"/>
            <w:vAlign w:val="top"/>
          </w:tcPr>
          <w:p>
            <w:pPr>
              <w:spacing w:after="0"/>
            </w:pPr>
            <w:r/>
            <w:r>
              <w:rPr>
                <w:rFonts w:ascii="Aptos" w:hAnsi="Aptos"/>
                <w:b w:val="0"/>
                <w:sz w:val="14"/>
              </w:rPr>
              <w:t>Cross-site observational research</w:t>
            </w:r>
          </w:p>
        </w:tc>
      </w:tr>
      <w:tr>
        <w:tc>
          <w:tcPr>
            <w:tcW w:type="dxa" w:w="3389"/>
            <w:vAlign w:val="top"/>
          </w:tcPr>
          <w:p>
            <w:pPr>
              <w:spacing w:after="0"/>
            </w:pPr>
            <w:r/>
            <w:r>
              <w:rPr>
                <w:rFonts w:ascii="Aptos" w:hAnsi="Aptos"/>
                <w:b w:val="0"/>
                <w:sz w:val="14"/>
              </w:rPr>
              <w:t>FHIR</w:t>
            </w:r>
          </w:p>
        </w:tc>
        <w:tc>
          <w:tcPr>
            <w:tcW w:type="dxa" w:w="3389"/>
            <w:vAlign w:val="top"/>
          </w:tcPr>
          <w:p>
            <w:pPr>
              <w:spacing w:after="0"/>
            </w:pPr>
            <w:r/>
            <w:r>
              <w:rPr>
                <w:rFonts w:ascii="Aptos" w:hAnsi="Aptos"/>
                <w:b w:val="0"/>
                <w:sz w:val="14"/>
              </w:rPr>
              <w:t>Future work only</w:t>
            </w:r>
          </w:p>
        </w:tc>
        <w:tc>
          <w:tcPr>
            <w:tcW w:type="dxa" w:w="3389"/>
            <w:vAlign w:val="top"/>
          </w:tcPr>
          <w:p>
            <w:pPr>
              <w:spacing w:after="0"/>
            </w:pPr>
            <w:r/>
            <w:r>
              <w:rPr>
                <w:rFonts w:ascii="Aptos" w:hAnsi="Aptos"/>
                <w:b w:val="0"/>
                <w:sz w:val="14"/>
              </w:rPr>
              <w:t>Potential clinical interoperability after separate implementation-profile design</w:t>
            </w:r>
          </w:p>
        </w:tc>
      </w:tr>
    </w:tbl>
    <w:p/>
    <w:p>
      <w:pPr>
        <w:pStyle w:val="Heading1"/>
      </w:pPr>
      <w:r>
        <w:t>26. Machine-readable schema requirements</w:t>
      </w:r>
    </w:p>
    <w:p>
      <w:r>
        <w:t>The implementation package generated from this document must contain JSON Schema and/or Pydantic models. At minimum:</w:t>
      </w:r>
    </w:p>
    <w:p>
      <w:pPr>
        <w:pStyle w:val="CodeBlock"/>
      </w:pPr>
      <w:r>
        <w:t>Patient</w:t>
        <w:br/>
        <w:t>Document</w:t>
        <w:br/>
        <w:t>ClinicalEvent</w:t>
        <w:br/>
        <w:t>PhenotypeAssertion</w:t>
        <w:br/>
        <w:t>MedicationExposure</w:t>
        <w:br/>
        <w:t>MedicationTrial</w:t>
        <w:br/>
        <w:t>SeizurePhenotype</w:t>
        <w:br/>
        <w:t>EtiologyPhenotype</w:t>
        <w:br/>
        <w:t>MRIPhenotype</w:t>
        <w:br/>
        <w:t>EEGPhenotype</w:t>
        <w:br/>
        <w:t>Procedure</w:t>
        <w:br/>
        <w:t>Outcome</w:t>
        <w:br/>
        <w:t>DerivedSynthesis</w:t>
        <w:br/>
        <w:t>MappingRecord</w:t>
        <w:br/>
        <w:t>GenerationProvenance</w:t>
        <w:br/>
        <w:t>ReviewRecord</w:t>
      </w:r>
    </w:p>
    <w:p>
      <w:r>
        <w:t>Every enumerated field must have explicit null/unknown semantics. Do not use empty string, false, zero, and unknown interchangeably.</w:t>
      </w:r>
    </w:p>
    <w:p>
      <w:pPr>
        <w:pStyle w:val="Heading1"/>
      </w:pPr>
      <w:r>
        <w:t>27. Final repository specification</w:t>
      </w:r>
    </w:p>
    <w:p>
      <w:pPr>
        <w:pStyle w:val="CodeBlock"/>
      </w:pPr>
      <w:r>
        <w:t>medai-epilepsy-spec/</w:t>
        <w:br/>
        <w:t>├── README.md</w:t>
        <w:br/>
        <w:t>├── VERSION</w:t>
        <w:br/>
        <w:t>├── CITATION.cff</w:t>
        <w:br/>
        <w:t>├── sources/</w:t>
        <w:br/>
        <w:t>│   ├── registry.yaml</w:t>
        <w:br/>
        <w:t>│   └── licenses.md</w:t>
        <w:br/>
        <w:t>├── schema/</w:t>
        <w:br/>
        <w:t>│   ├── patient.schema.json</w:t>
        <w:br/>
        <w:t>│   ├── document.schema.json</w:t>
        <w:br/>
        <w:t>│   ├── event.schema.json</w:t>
        <w:br/>
        <w:t>│   ├── phenotype_assertion.schema.json</w:t>
        <w:br/>
        <w:t>│   └── modules/</w:t>
        <w:br/>
        <w:t>│       ├── seizure.yaml</w:t>
        <w:br/>
        <w:t>│       ├── etiology.yaml</w:t>
        <w:br/>
        <w:t>│       ├── eeg.yaml</w:t>
        <w:br/>
        <w:t>│       ├── mri.yaml</w:t>
        <w:br/>
        <w:t>│       ├── medication.yaml</w:t>
        <w:br/>
        <w:t>│       ├── procedures.yaml</w:t>
        <w:br/>
        <w:t>│       └── outcomes.yaml</w:t>
        <w:br/>
        <w:t>├── mappings/</w:t>
        <w:br/>
        <w:t>│   ├── ilae.csv</w:t>
        <w:br/>
        <w:t>│   ├── ninds_cde.csv</w:t>
        <w:br/>
        <w:t>│   ├── epso.csv</w:t>
        <w:br/>
        <w:t>│   ├── rxnorm.csv</w:t>
        <w:br/>
        <w:t>│   ├── snomed.csv</w:t>
        <w:br/>
        <w:t>│   ├── radlex.csv</w:t>
        <w:br/>
        <w:t>│   └── eeg_terminology.csv</w:t>
        <w:br/>
        <w:t>├── rules/</w:t>
        <w:br/>
        <w:t>│   ├── sourced_rules.yaml</w:t>
        <w:br/>
        <w:t>│   ├── medai_rules.yaml</w:t>
        <w:br/>
        <w:t>│   ├── temporal_rules.yaml</w:t>
        <w:br/>
        <w:t>│   ├── document_visibility.yaml</w:t>
        <w:br/>
        <w:t>│   └── validation_rules.yaml</w:t>
        <w:br/>
        <w:t>├── synthetic/</w:t>
        <w:br/>
        <w:t>│   ├── scenarios/</w:t>
        <w:br/>
        <w:t>│   ├── latent_truth_generator/</w:t>
        <w:br/>
        <w:t>│   ├── timeline_generator/</w:t>
        <w:br/>
        <w:t>│   ├── document_templates/</w:t>
        <w:br/>
        <w:t>│   └── rendering/</w:t>
        <w:br/>
        <w:t>├── annotation/</w:t>
        <w:br/>
        <w:t>│   ├── manual.md</w:t>
        <w:br/>
        <w:t>│   ├── examples/</w:t>
        <w:br/>
        <w:t>│   └── adjudication.md</w:t>
        <w:br/>
        <w:t>├── validation/</w:t>
        <w:br/>
        <w:t>│   ├── clinician_review/</w:t>
        <w:br/>
        <w:t>│   ├── unit_tests/</w:t>
        <w:br/>
        <w:t>│   ├── benchmark/</w:t>
        <w:br/>
        <w:t>│   └── reports/</w:t>
        <w:br/>
        <w:t>└── releases/</w:t>
        <w:br/>
        <w:t xml:space="preserve">    └── v1.0/</w:t>
      </w:r>
    </w:p>
    <w:p>
      <w:pPr>
        <w:pStyle w:val="Heading1"/>
      </w:pPr>
      <w:r>
        <w:t>28. Release gates before generating a large corpus</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pPr>
              <w:spacing w:after="0"/>
            </w:pPr>
            <w:r/>
            <w:r>
              <w:rPr>
                <w:rFonts w:ascii="Aptos" w:hAnsi="Aptos"/>
                <w:b/>
                <w:sz w:val="15"/>
              </w:rPr>
              <w:t>Gate</w:t>
            </w:r>
          </w:p>
        </w:tc>
        <w:tc>
          <w:tcPr>
            <w:tcW w:type="dxa" w:w="5083"/>
            <w:shd w:fill="D9EAF7"/>
          </w:tcPr>
          <w:p>
            <w:pPr>
              <w:spacing w:after="0"/>
            </w:pPr>
            <w:r/>
            <w:r>
              <w:rPr>
                <w:rFonts w:ascii="Aptos" w:hAnsi="Aptos"/>
                <w:b/>
                <w:sz w:val="15"/>
              </w:rPr>
              <w:t>Must be true before passing</w:t>
            </w:r>
          </w:p>
        </w:tc>
      </w:tr>
      <w:tr>
        <w:tc>
          <w:tcPr>
            <w:tcW w:type="dxa" w:w="5083"/>
            <w:vAlign w:val="top"/>
          </w:tcPr>
          <w:p>
            <w:pPr>
              <w:spacing w:after="0"/>
            </w:pPr>
            <w:r/>
            <w:r>
              <w:rPr>
                <w:rFonts w:ascii="Aptos" w:hAnsi="Aptos"/>
                <w:b w:val="0"/>
                <w:sz w:val="14"/>
              </w:rPr>
              <w:t>G1 Source freeze</w:t>
            </w:r>
          </w:p>
        </w:tc>
        <w:tc>
          <w:tcPr>
            <w:tcW w:type="dxa" w:w="5083"/>
            <w:vAlign w:val="top"/>
          </w:tcPr>
          <w:p>
            <w:pPr>
              <w:spacing w:after="0"/>
            </w:pPr>
            <w:r/>
            <w:r>
              <w:rPr>
                <w:rFonts w:ascii="Aptos" w:hAnsi="Aptos"/>
                <w:b w:val="0"/>
                <w:sz w:val="14"/>
              </w:rPr>
              <w:t>Source registry contains version/date/URL/DOI and licensing note for every external terminology used.</w:t>
            </w:r>
          </w:p>
        </w:tc>
      </w:tr>
      <w:tr>
        <w:tc>
          <w:tcPr>
            <w:tcW w:type="dxa" w:w="5083"/>
            <w:vAlign w:val="top"/>
          </w:tcPr>
          <w:p>
            <w:pPr>
              <w:spacing w:after="0"/>
            </w:pPr>
            <w:r/>
            <w:r>
              <w:rPr>
                <w:rFonts w:ascii="Aptos" w:hAnsi="Aptos"/>
                <w:b w:val="0"/>
                <w:sz w:val="14"/>
              </w:rPr>
              <w:t>G2 Schema freeze</w:t>
            </w:r>
          </w:p>
        </w:tc>
        <w:tc>
          <w:tcPr>
            <w:tcW w:type="dxa" w:w="5083"/>
            <w:vAlign w:val="top"/>
          </w:tcPr>
          <w:p>
            <w:pPr>
              <w:spacing w:after="0"/>
            </w:pPr>
            <w:r/>
            <w:r>
              <w:rPr>
                <w:rFonts w:ascii="Aptos" w:hAnsi="Aptos"/>
                <w:b w:val="0"/>
                <w:sz w:val="14"/>
              </w:rPr>
              <w:t>v1 fields, definitions, null semantics, and value sets are approved.</w:t>
            </w:r>
          </w:p>
        </w:tc>
      </w:tr>
      <w:tr>
        <w:tc>
          <w:tcPr>
            <w:tcW w:type="dxa" w:w="5083"/>
            <w:vAlign w:val="top"/>
          </w:tcPr>
          <w:p>
            <w:pPr>
              <w:spacing w:after="0"/>
            </w:pPr>
            <w:r/>
            <w:r>
              <w:rPr>
                <w:rFonts w:ascii="Aptos" w:hAnsi="Aptos"/>
                <w:b w:val="0"/>
                <w:sz w:val="14"/>
              </w:rPr>
              <w:t>G3 Mapping review</w:t>
            </w:r>
          </w:p>
        </w:tc>
        <w:tc>
          <w:tcPr>
            <w:tcW w:type="dxa" w:w="5083"/>
            <w:vAlign w:val="top"/>
          </w:tcPr>
          <w:p>
            <w:pPr>
              <w:spacing w:after="0"/>
            </w:pPr>
            <w:r/>
            <w:r>
              <w:rPr>
                <w:rFonts w:ascii="Aptos" w:hAnsi="Aptos"/>
                <w:b w:val="0"/>
                <w:sz w:val="14"/>
              </w:rPr>
              <w:t>No external code/ID is fabricated; unresolved mappings remain explicitly unresolved.</w:t>
            </w:r>
          </w:p>
        </w:tc>
      </w:tr>
      <w:tr>
        <w:tc>
          <w:tcPr>
            <w:tcW w:type="dxa" w:w="5083"/>
            <w:vAlign w:val="top"/>
          </w:tcPr>
          <w:p>
            <w:pPr>
              <w:spacing w:after="0"/>
            </w:pPr>
            <w:r/>
            <w:r>
              <w:rPr>
                <w:rFonts w:ascii="Aptos" w:hAnsi="Aptos"/>
                <w:b w:val="0"/>
                <w:sz w:val="14"/>
              </w:rPr>
              <w:t>G4 Rule review</w:t>
            </w:r>
          </w:p>
        </w:tc>
        <w:tc>
          <w:tcPr>
            <w:tcW w:type="dxa" w:w="5083"/>
            <w:vAlign w:val="top"/>
          </w:tcPr>
          <w:p>
            <w:pPr>
              <w:spacing w:after="0"/>
            </w:pPr>
            <w:r/>
            <w:r>
              <w:rPr>
                <w:rFonts w:ascii="Aptos" w:hAnsi="Aptos"/>
                <w:b w:val="0"/>
                <w:sz w:val="14"/>
              </w:rPr>
              <w:t>All hard rules identify authority or MEDAI-PROPOSED status.</w:t>
            </w:r>
          </w:p>
        </w:tc>
      </w:tr>
      <w:tr>
        <w:tc>
          <w:tcPr>
            <w:tcW w:type="dxa" w:w="5083"/>
            <w:vAlign w:val="top"/>
          </w:tcPr>
          <w:p>
            <w:pPr>
              <w:spacing w:after="0"/>
            </w:pPr>
            <w:r/>
            <w:r>
              <w:rPr>
                <w:rFonts w:ascii="Aptos" w:hAnsi="Aptos"/>
                <w:b w:val="0"/>
                <w:sz w:val="14"/>
              </w:rPr>
              <w:t>G5 Clinician semantic review</w:t>
            </w:r>
          </w:p>
        </w:tc>
        <w:tc>
          <w:tcPr>
            <w:tcW w:type="dxa" w:w="5083"/>
            <w:vAlign w:val="top"/>
          </w:tcPr>
          <w:p>
            <w:pPr>
              <w:spacing w:after="0"/>
            </w:pPr>
            <w:r/>
            <w:r>
              <w:rPr>
                <w:rFonts w:ascii="Aptos" w:hAnsi="Aptos"/>
                <w:b w:val="0"/>
                <w:sz w:val="14"/>
              </w:rPr>
              <w:t>Epileptologist signs off on clinical domains; EEG/MRI specialists review their modules.</w:t>
            </w:r>
          </w:p>
        </w:tc>
      </w:tr>
      <w:tr>
        <w:tc>
          <w:tcPr>
            <w:tcW w:type="dxa" w:w="5083"/>
            <w:vAlign w:val="top"/>
          </w:tcPr>
          <w:p>
            <w:pPr>
              <w:spacing w:after="0"/>
            </w:pPr>
            <w:r/>
            <w:r>
              <w:rPr>
                <w:rFonts w:ascii="Aptos" w:hAnsi="Aptos"/>
                <w:b w:val="0"/>
                <w:sz w:val="14"/>
              </w:rPr>
              <w:t>G6 Generator tests</w:t>
            </w:r>
          </w:p>
        </w:tc>
        <w:tc>
          <w:tcPr>
            <w:tcW w:type="dxa" w:w="5083"/>
            <w:vAlign w:val="top"/>
          </w:tcPr>
          <w:p>
            <w:pPr>
              <w:spacing w:after="0"/>
            </w:pPr>
            <w:r/>
            <w:r>
              <w:rPr>
                <w:rFonts w:ascii="Aptos" w:hAnsi="Aptos"/>
                <w:b w:val="0"/>
                <w:sz w:val="14"/>
              </w:rPr>
              <w:t>Unit tests demonstrate no hard-rule violations across large trial generation.</w:t>
            </w:r>
          </w:p>
        </w:tc>
      </w:tr>
      <w:tr>
        <w:tc>
          <w:tcPr>
            <w:tcW w:type="dxa" w:w="5083"/>
            <w:vAlign w:val="top"/>
          </w:tcPr>
          <w:p>
            <w:pPr>
              <w:spacing w:after="0"/>
            </w:pPr>
            <w:r/>
            <w:r>
              <w:rPr>
                <w:rFonts w:ascii="Aptos" w:hAnsi="Aptos"/>
                <w:b w:val="0"/>
                <w:sz w:val="14"/>
              </w:rPr>
              <w:t>G7 Pilot realism</w:t>
            </w:r>
          </w:p>
        </w:tc>
        <w:tc>
          <w:tcPr>
            <w:tcW w:type="dxa" w:w="5083"/>
            <w:vAlign w:val="top"/>
          </w:tcPr>
          <w:p>
            <w:pPr>
              <w:spacing w:after="0"/>
            </w:pPr>
            <w:r/>
            <w:r>
              <w:rPr>
                <w:rFonts w:ascii="Aptos" w:hAnsi="Aptos"/>
                <w:b w:val="0"/>
                <w:sz w:val="14"/>
              </w:rPr>
              <w:t>Clinician review of pilot documents meets pre-specified acceptance threshold.</w:t>
            </w:r>
          </w:p>
        </w:tc>
      </w:tr>
      <w:tr>
        <w:tc>
          <w:tcPr>
            <w:tcW w:type="dxa" w:w="5083"/>
            <w:vAlign w:val="top"/>
          </w:tcPr>
          <w:p>
            <w:pPr>
              <w:spacing w:after="0"/>
            </w:pPr>
            <w:r/>
            <w:r>
              <w:rPr>
                <w:rFonts w:ascii="Aptos" w:hAnsi="Aptos"/>
                <w:b w:val="0"/>
                <w:sz w:val="14"/>
              </w:rPr>
              <w:t>G8 Leakage audit</w:t>
            </w:r>
          </w:p>
        </w:tc>
        <w:tc>
          <w:tcPr>
            <w:tcW w:type="dxa" w:w="5083"/>
            <w:vAlign w:val="top"/>
          </w:tcPr>
          <w:p>
            <w:pPr>
              <w:spacing w:after="0"/>
            </w:pPr>
            <w:r/>
            <w:r>
              <w:rPr>
                <w:rFonts w:ascii="Aptos" w:hAnsi="Aptos"/>
                <w:b w:val="0"/>
                <w:sz w:val="14"/>
              </w:rPr>
              <w:t>Patient-level split and near-duplicate checks pass.</w:t>
            </w:r>
          </w:p>
        </w:tc>
      </w:tr>
      <w:tr>
        <w:tc>
          <w:tcPr>
            <w:tcW w:type="dxa" w:w="5083"/>
            <w:vAlign w:val="top"/>
          </w:tcPr>
          <w:p>
            <w:pPr>
              <w:spacing w:after="0"/>
            </w:pPr>
            <w:r/>
            <w:r>
              <w:rPr>
                <w:rFonts w:ascii="Aptos" w:hAnsi="Aptos"/>
                <w:b w:val="0"/>
                <w:sz w:val="14"/>
              </w:rPr>
              <w:t>G9 Benchmark freeze</w:t>
            </w:r>
          </w:p>
        </w:tc>
        <w:tc>
          <w:tcPr>
            <w:tcW w:type="dxa" w:w="5083"/>
            <w:vAlign w:val="top"/>
          </w:tcPr>
          <w:p>
            <w:pPr>
              <w:spacing w:after="0"/>
            </w:pPr>
            <w:r/>
            <w:r>
              <w:rPr>
                <w:rFonts w:ascii="Aptos" w:hAnsi="Aptos"/>
                <w:b w:val="0"/>
                <w:sz w:val="14"/>
              </w:rPr>
              <w:t>Test set, primary endpoint, prompts, and statistical plan are locked.</w:t>
            </w:r>
          </w:p>
        </w:tc>
      </w:tr>
      <w:tr>
        <w:tc>
          <w:tcPr>
            <w:tcW w:type="dxa" w:w="5083"/>
            <w:vAlign w:val="top"/>
          </w:tcPr>
          <w:p>
            <w:pPr>
              <w:spacing w:after="0"/>
            </w:pPr>
            <w:r/>
            <w:r>
              <w:rPr>
                <w:rFonts w:ascii="Aptos" w:hAnsi="Aptos"/>
                <w:b w:val="0"/>
                <w:sz w:val="14"/>
              </w:rPr>
              <w:t>G10 Publication claims</w:t>
            </w:r>
          </w:p>
        </w:tc>
        <w:tc>
          <w:tcPr>
            <w:tcW w:type="dxa" w:w="5083"/>
            <w:vAlign w:val="top"/>
          </w:tcPr>
          <w:p>
            <w:pPr>
              <w:spacing w:after="0"/>
            </w:pPr>
            <w:r/>
            <w:r>
              <w:rPr>
                <w:rFonts w:ascii="Aptos" w:hAnsi="Aptos"/>
                <w:b w:val="0"/>
                <w:sz w:val="14"/>
              </w:rPr>
              <w:t>Synthetic-only results are not described as real-world clinical validation.</w:t>
            </w:r>
          </w:p>
        </w:tc>
      </w:tr>
    </w:tbl>
    <w:p/>
    <w:p>
      <w:pPr>
        <w:pStyle w:val="Heading1"/>
      </w:pPr>
      <w:r>
        <w:t>29. Implementation checklist</w:t>
      </w:r>
    </w:p>
    <w:p>
      <w:pPr>
        <w:pStyle w:val="ListNumber"/>
      </w:pPr>
      <w:r>
        <w:t>Download and archive the exact ILAE 2025 seizure-classification materials used by the project.</w:t>
      </w:r>
    </w:p>
    <w:p>
      <w:pPr>
        <w:pStyle w:val="ListNumber"/>
      </w:pPr>
      <w:r>
        <w:t>Archive the ILAE 2017 epilepsy classification and 2022 syndrome-definition sources.</w:t>
      </w:r>
    </w:p>
    <w:p>
      <w:pPr>
        <w:pStyle w:val="ListNumber"/>
      </w:pPr>
      <w:r>
        <w:t>Download EpSO v3.1 OWL/CSV from BioPortal and inspect actual class identifiers/relationships before creating the crosswalk.</w:t>
      </w:r>
    </w:p>
    <w:p>
      <w:pPr>
        <w:pStyle w:val="ListNumber"/>
      </w:pPr>
      <w:r>
        <w:t>Export the selected NINDS Epilepsy CDEs and record exact CDE identifiers, classifications, response sets, and revision metadata.</w:t>
      </w:r>
    </w:p>
    <w:p>
      <w:pPr>
        <w:pStyle w:val="ListNumber"/>
      </w:pPr>
      <w:r>
        <w:t>Establish approved access to SNOMED CT content as required by the project's jurisdiction/license; do not redistribute restricted terminology blindly.</w:t>
      </w:r>
    </w:p>
    <w:p>
      <w:pPr>
        <w:pStyle w:val="ListNumber"/>
      </w:pPr>
      <w:r>
        <w:t>Use NLM RxNorm files/API to resolve medication identifiers; never hard-code guessed RXCUIs.</w:t>
      </w:r>
    </w:p>
    <w:p>
      <w:pPr>
        <w:pStyle w:val="ListNumber"/>
      </w:pPr>
      <w:r>
        <w:t>Download/record the RadLex release used for imaging normalization.</w:t>
      </w:r>
    </w:p>
    <w:p>
      <w:pPr>
        <w:pStyle w:val="ListNumber"/>
      </w:pPr>
      <w:r>
        <w:t>Freeze the EEG terminology subset from SCORE and applicable ACNS materials; record source/version for every controlled term.</w:t>
      </w:r>
    </w:p>
    <w:p>
      <w:pPr>
        <w:pStyle w:val="ListNumber"/>
      </w:pPr>
      <w:r>
        <w:t>Implement MPAM and module schemas in JSON Schema/Pydantic.</w:t>
      </w:r>
    </w:p>
    <w:p>
      <w:pPr>
        <w:pStyle w:val="ListNumber"/>
      </w:pPr>
      <w:r>
        <w:t>Implement sourced_rules.yaml and medai_rules.yaml separately.</w:t>
      </w:r>
    </w:p>
    <w:p>
      <w:pPr>
        <w:pStyle w:val="ListNumber"/>
      </w:pPr>
      <w:r>
        <w:t>Write unit tests for every hard rule.</w:t>
      </w:r>
    </w:p>
    <w:p>
      <w:pPr>
        <w:pStyle w:val="ListNumber"/>
      </w:pPr>
      <w:r>
        <w:t>Create 25-50 hand-audited latent patients spanning the scenario families.</w:t>
      </w:r>
    </w:p>
    <w:p>
      <w:pPr>
        <w:pStyle w:val="ListNumber"/>
      </w:pPr>
      <w:r>
        <w:t>Have clinicians review the schema/rules before scaling prose generation.</w:t>
      </w:r>
    </w:p>
    <w:p>
      <w:pPr>
        <w:pStyle w:val="ListNumber"/>
      </w:pPr>
      <w:r>
        <w:t>Generate a 100-300-document pilot across MRI, EEG, progress, EMU, and presurgical document types.</w:t>
      </w:r>
    </w:p>
    <w:p>
      <w:pPr>
        <w:pStyle w:val="ListNumber"/>
      </w:pPr>
      <w:r>
        <w:t>Run clinician realism/faithfulness review and revise.</w:t>
      </w:r>
    </w:p>
    <w:p>
      <w:pPr>
        <w:pStyle w:val="ListNumber"/>
      </w:pPr>
      <w:r>
        <w:t>Generate benchmark v1 with frozen seeds and patient-level splits.</w:t>
      </w:r>
    </w:p>
    <w:p>
      <w:pPr>
        <w:pStyle w:val="ListNumber"/>
      </w:pPr>
      <w:r>
        <w:t>Run zero/few-shot Med42/DeepSeek experiments plus collaborative verification experiments.</w:t>
      </w:r>
    </w:p>
    <w:p>
      <w:pPr>
        <w:pStyle w:val="ListNumber"/>
      </w:pPr>
      <w:r>
        <w:t>Validate against the public 2024 synthetic epilepsy letter benchmark.</w:t>
      </w:r>
    </w:p>
    <w:p>
      <w:pPr>
        <w:pStyle w:val="ListNumber"/>
      </w:pPr>
      <w:r>
        <w:t>Only after synthetic/public benchmark validation, proceed to IRB-governed real-world validation.</w:t>
      </w:r>
    </w:p>
    <w:p>
      <w:pPr>
        <w:pStyle w:val="Heading1"/>
      </w:pPr>
      <w:r>
        <w:t>30. Items deliberately left unresolved</w:t>
      </w:r>
    </w:p>
    <w:p>
      <w:r>
        <w:t>These items are not filled with guesses. They require direct source extraction or expert decision before implementation:</w:t>
      </w:r>
    </w:p>
    <w:p>
      <w:pPr>
        <w:pStyle w:val="ListBullet"/>
        <w:ind w:left="403" w:hanging="202"/>
      </w:pPr>
      <w:r>
        <w:t>Exact NINDS CDE identifiers and response sets for every selected MedAI variable.</w:t>
      </w:r>
    </w:p>
    <w:p>
      <w:pPr>
        <w:pStyle w:val="ListBullet"/>
        <w:ind w:left="403" w:hanging="202"/>
      </w:pPr>
      <w:r>
        <w:t>Exact EpSO v3.1 class IDs and predicates for every crosswalk row.</w:t>
      </w:r>
    </w:p>
    <w:p>
      <w:pPr>
        <w:pStyle w:val="ListBullet"/>
        <w:ind w:left="403" w:hanging="202"/>
      </w:pPr>
      <w:r>
        <w:t>Exact SNOMED CT concept IDs for local implementation and redistribution constraints.</w:t>
      </w:r>
    </w:p>
    <w:p>
      <w:pPr>
        <w:pStyle w:val="ListBullet"/>
        <w:ind w:left="403" w:hanging="202"/>
      </w:pPr>
      <w:r>
        <w:t>Exact RadLex IDs for selected MRI concepts.</w:t>
      </w:r>
    </w:p>
    <w:p>
      <w:pPr>
        <w:pStyle w:val="ListBullet"/>
        <w:ind w:left="403" w:hanging="202"/>
      </w:pPr>
      <w:r>
        <w:t>Exact RxNorm RXCUIs for each antiseizure medication; resolve from current RxNorm rather than embedding static guesses.</w:t>
      </w:r>
    </w:p>
    <w:p>
      <w:pPr>
        <w:pStyle w:val="ListBullet"/>
        <w:ind w:left="403" w:hanging="202"/>
      </w:pPr>
      <w:r>
        <w:t>Final SCORE term subset and any licensing/implementation constraints.</w:t>
      </w:r>
    </w:p>
    <w:p>
      <w:pPr>
        <w:pStyle w:val="ListBullet"/>
        <w:ind w:left="403" w:hanging="202"/>
      </w:pPr>
      <w:r>
        <w:t>Clinician-approved operational categories for certainty and concordance.</w:t>
      </w:r>
    </w:p>
    <w:p>
      <w:pPr>
        <w:pStyle w:val="ListBullet"/>
        <w:ind w:left="403" w:hanging="202"/>
      </w:pPr>
      <w:r>
        <w:t>Clinician-approved synthetic prevalence/sampling distributions.</w:t>
      </w:r>
    </w:p>
    <w:p>
      <w:pPr>
        <w:pStyle w:val="ListBullet"/>
        <w:ind w:left="403" w:hanging="202"/>
      </w:pPr>
      <w:r>
        <w:t>Whether syndrome-level generation belongs in v1 or a later release.</w:t>
      </w:r>
    </w:p>
    <w:p>
      <w:pPr>
        <w:pStyle w:val="ListBullet"/>
        <w:ind w:left="403" w:hanging="202"/>
      </w:pPr>
      <w:r>
        <w:t>Final statistical primary endpoint, sample size, and acceptance thresholds.</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8"/>
              </w:rPr>
              <w:t>Why these remain open</w:t>
              <w:br/>
            </w:r>
            <w:r>
              <w:rPr>
                <w:sz w:val="17"/>
              </w:rPr>
              <w:t>Leaving a field unresolved is preferable to inventing a standard mapping. The project should close these gaps by retrieving the exact authoritative artifacts, recording their versions, and documenting expert decisions.</w:t>
            </w:r>
          </w:p>
        </w:tc>
      </w:tr>
    </w:tbl>
    <w:p/>
    <w:p>
      <w:pPr>
        <w:pStyle w:val="Heading1"/>
      </w:pPr>
      <w:r>
        <w:t>31. Frozen generation contract</w:t>
      </w:r>
    </w:p>
    <w:tbl>
      <w:tblPr>
        <w:tblStyle w:val="TableGrid"/>
        <w:tblW w:type="auto" w:w="0"/>
        <w:tblLook w:firstColumn="1" w:firstRow="1" w:lastColumn="0" w:lastRow="0" w:noHBand="0" w:noVBand="1" w:val="04A0"/>
      </w:tblPr>
      <w:tblGrid>
        <w:gridCol w:w="10166"/>
      </w:tblGrid>
      <w:tr>
        <w:tc>
          <w:tcPr>
            <w:tcW w:type="dxa" w:w="10166"/>
            <w:shd w:fill="EEF4FB"/>
          </w:tcPr>
          <w:p>
            <w:r>
              <w:rPr>
                <w:b/>
                <w:color w:val="17365D"/>
                <w:sz w:val="18"/>
              </w:rPr>
              <w:t>Generation contract v1.0</w:t>
              <w:br/>
            </w:r>
            <w:r>
              <w:rPr>
                <w:sz w:val="17"/>
              </w:rPr>
              <w:t>A MedAI synthetic patient is valid only if: (1) all canonical values conform to the frozen schema; (2) all sourced rules pass; (3) all MedAI hard consistency/temporal rules pass; (4) every document contains only facts visible to that document plus explicitly permitted distractors; (5) the latent truth predates and is independent of extraction-model predictions; (6) all external terminology IDs are verified or explicitly unresolved; (7) provenance records schema/rule/source/generator versions; and (8) the corpus is clearly labeled synthetic and is not used to claim real-world clinical accuracy without real-data validation.</w:t>
            </w:r>
          </w:p>
        </w:tc>
      </w:tr>
    </w:tbl>
    <w:p/>
    <w:p>
      <w:pPr>
        <w:pStyle w:val="Heading1"/>
      </w:pPr>
      <w:r>
        <w:t>32. Recommended first generation target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pPr>
              <w:spacing w:after="0"/>
            </w:pPr>
            <w:r/>
            <w:r>
              <w:rPr>
                <w:rFonts w:ascii="Aptos" w:hAnsi="Aptos"/>
                <w:b/>
                <w:sz w:val="15"/>
              </w:rPr>
              <w:t>Component</w:t>
            </w:r>
          </w:p>
        </w:tc>
        <w:tc>
          <w:tcPr>
            <w:tcW w:type="dxa" w:w="3389"/>
            <w:shd w:fill="D9EAF7"/>
          </w:tcPr>
          <w:p>
            <w:pPr>
              <w:spacing w:after="0"/>
            </w:pPr>
            <w:r/>
            <w:r>
              <w:rPr>
                <w:rFonts w:ascii="Aptos" w:hAnsi="Aptos"/>
                <w:b/>
                <w:sz w:val="15"/>
              </w:rPr>
              <w:t>Pilot target</w:t>
            </w:r>
          </w:p>
        </w:tc>
        <w:tc>
          <w:tcPr>
            <w:tcW w:type="dxa" w:w="3389"/>
            <w:shd w:fill="D9EAF7"/>
          </w:tcPr>
          <w:p>
            <w:pPr>
              <w:spacing w:after="0"/>
            </w:pPr>
            <w:r/>
            <w:r>
              <w:rPr>
                <w:rFonts w:ascii="Aptos" w:hAnsi="Aptos"/>
                <w:b/>
                <w:sz w:val="15"/>
              </w:rPr>
              <w:t>Reason</w:t>
            </w:r>
          </w:p>
        </w:tc>
      </w:tr>
      <w:tr>
        <w:tc>
          <w:tcPr>
            <w:tcW w:type="dxa" w:w="3389"/>
            <w:vAlign w:val="top"/>
          </w:tcPr>
          <w:p>
            <w:pPr>
              <w:spacing w:after="0"/>
            </w:pPr>
            <w:r/>
            <w:r>
              <w:rPr>
                <w:rFonts w:ascii="Aptos" w:hAnsi="Aptos"/>
                <w:b w:val="0"/>
                <w:sz w:val="14"/>
              </w:rPr>
              <w:t>Synthetic patients</w:t>
            </w:r>
          </w:p>
        </w:tc>
        <w:tc>
          <w:tcPr>
            <w:tcW w:type="dxa" w:w="3389"/>
            <w:vAlign w:val="top"/>
          </w:tcPr>
          <w:p>
            <w:pPr>
              <w:spacing w:after="0"/>
            </w:pPr>
            <w:r/>
            <w:r>
              <w:rPr>
                <w:rFonts w:ascii="Aptos" w:hAnsi="Aptos"/>
                <w:b w:val="0"/>
                <w:sz w:val="14"/>
              </w:rPr>
              <w:t>100-150</w:t>
            </w:r>
          </w:p>
        </w:tc>
        <w:tc>
          <w:tcPr>
            <w:tcW w:type="dxa" w:w="3389"/>
            <w:vAlign w:val="top"/>
          </w:tcPr>
          <w:p>
            <w:pPr>
              <w:spacing w:after="0"/>
            </w:pPr>
            <w:r/>
            <w:r>
              <w:rPr>
                <w:rFonts w:ascii="Aptos" w:hAnsi="Aptos"/>
                <w:b w:val="0"/>
                <w:sz w:val="14"/>
              </w:rPr>
              <w:t>Enough to exercise scenario logic before scaling</w:t>
            </w:r>
          </w:p>
        </w:tc>
      </w:tr>
      <w:tr>
        <w:tc>
          <w:tcPr>
            <w:tcW w:type="dxa" w:w="3389"/>
            <w:vAlign w:val="top"/>
          </w:tcPr>
          <w:p>
            <w:pPr>
              <w:spacing w:after="0"/>
            </w:pPr>
            <w:r/>
            <w:r>
              <w:rPr>
                <w:rFonts w:ascii="Aptos" w:hAnsi="Aptos"/>
                <w:b w:val="0"/>
                <w:sz w:val="14"/>
              </w:rPr>
              <w:t>Documents/patient</w:t>
            </w:r>
          </w:p>
        </w:tc>
        <w:tc>
          <w:tcPr>
            <w:tcW w:type="dxa" w:w="3389"/>
            <w:vAlign w:val="top"/>
          </w:tcPr>
          <w:p>
            <w:pPr>
              <w:spacing w:after="0"/>
            </w:pPr>
            <w:r/>
            <w:r>
              <w:rPr>
                <w:rFonts w:ascii="Aptos" w:hAnsi="Aptos"/>
                <w:b w:val="0"/>
                <w:sz w:val="14"/>
              </w:rPr>
              <w:t>2-5</w:t>
            </w:r>
          </w:p>
        </w:tc>
        <w:tc>
          <w:tcPr>
            <w:tcW w:type="dxa" w:w="3389"/>
            <w:vAlign w:val="top"/>
          </w:tcPr>
          <w:p>
            <w:pPr>
              <w:spacing w:after="0"/>
            </w:pPr>
            <w:r/>
            <w:r>
              <w:rPr>
                <w:rFonts w:ascii="Aptos" w:hAnsi="Aptos"/>
                <w:b w:val="0"/>
                <w:sz w:val="14"/>
              </w:rPr>
              <w:t>Tests cross-document consistency</w:t>
            </w:r>
          </w:p>
        </w:tc>
      </w:tr>
      <w:tr>
        <w:tc>
          <w:tcPr>
            <w:tcW w:type="dxa" w:w="3389"/>
            <w:vAlign w:val="top"/>
          </w:tcPr>
          <w:p>
            <w:pPr>
              <w:spacing w:after="0"/>
            </w:pPr>
            <w:r/>
            <w:r>
              <w:rPr>
                <w:rFonts w:ascii="Aptos" w:hAnsi="Aptos"/>
                <w:b w:val="0"/>
                <w:sz w:val="14"/>
              </w:rPr>
              <w:t>Document types</w:t>
            </w:r>
          </w:p>
        </w:tc>
        <w:tc>
          <w:tcPr>
            <w:tcW w:type="dxa" w:w="3389"/>
            <w:vAlign w:val="top"/>
          </w:tcPr>
          <w:p>
            <w:pPr>
              <w:spacing w:after="0"/>
            </w:pPr>
            <w:r/>
            <w:r>
              <w:rPr>
                <w:rFonts w:ascii="Aptos" w:hAnsi="Aptos"/>
                <w:b w:val="0"/>
                <w:sz w:val="14"/>
              </w:rPr>
              <w:t>MRI, EEG, progress, EMU/presurgical</w:t>
            </w:r>
          </w:p>
        </w:tc>
        <w:tc>
          <w:tcPr>
            <w:tcW w:type="dxa" w:w="3389"/>
            <w:vAlign w:val="top"/>
          </w:tcPr>
          <w:p>
            <w:pPr>
              <w:spacing w:after="0"/>
            </w:pPr>
            <w:r/>
            <w:r>
              <w:rPr>
                <w:rFonts w:ascii="Aptos" w:hAnsi="Aptos"/>
                <w:b w:val="0"/>
                <w:sz w:val="14"/>
              </w:rPr>
              <w:t>Core heterogeneous set</w:t>
            </w:r>
          </w:p>
        </w:tc>
      </w:tr>
      <w:tr>
        <w:tc>
          <w:tcPr>
            <w:tcW w:type="dxa" w:w="3389"/>
            <w:vAlign w:val="top"/>
          </w:tcPr>
          <w:p>
            <w:pPr>
              <w:spacing w:after="0"/>
            </w:pPr>
            <w:r/>
            <w:r>
              <w:rPr>
                <w:rFonts w:ascii="Aptos" w:hAnsi="Aptos"/>
                <w:b w:val="0"/>
                <w:sz w:val="14"/>
              </w:rPr>
              <w:t>Difficulty</w:t>
            </w:r>
          </w:p>
        </w:tc>
        <w:tc>
          <w:tcPr>
            <w:tcW w:type="dxa" w:w="3389"/>
            <w:vAlign w:val="top"/>
          </w:tcPr>
          <w:p>
            <w:pPr>
              <w:spacing w:after="0"/>
            </w:pPr>
            <w:r/>
            <w:r>
              <w:rPr>
                <w:rFonts w:ascii="Aptos" w:hAnsi="Aptos"/>
                <w:b w:val="0"/>
                <w:sz w:val="14"/>
              </w:rPr>
              <w:t>T1-T6 initially; small T7 set</w:t>
            </w:r>
          </w:p>
        </w:tc>
        <w:tc>
          <w:tcPr>
            <w:tcW w:type="dxa" w:w="3389"/>
            <w:vAlign w:val="top"/>
          </w:tcPr>
          <w:p>
            <w:pPr>
              <w:spacing w:after="0"/>
            </w:pPr>
            <w:r/>
            <w:r>
              <w:rPr>
                <w:rFonts w:ascii="Aptos" w:hAnsi="Aptos"/>
                <w:b w:val="0"/>
                <w:sz w:val="14"/>
              </w:rPr>
              <w:t>Avoid overcomplicating before core rules stabilize</w:t>
            </w:r>
          </w:p>
        </w:tc>
      </w:tr>
      <w:tr>
        <w:tc>
          <w:tcPr>
            <w:tcW w:type="dxa" w:w="3389"/>
            <w:vAlign w:val="top"/>
          </w:tcPr>
          <w:p>
            <w:pPr>
              <w:spacing w:after="0"/>
            </w:pPr>
            <w:r/>
            <w:r>
              <w:rPr>
                <w:rFonts w:ascii="Aptos" w:hAnsi="Aptos"/>
                <w:b w:val="0"/>
                <w:sz w:val="14"/>
              </w:rPr>
              <w:t>High-priority variables</w:t>
            </w:r>
          </w:p>
        </w:tc>
        <w:tc>
          <w:tcPr>
            <w:tcW w:type="dxa" w:w="3389"/>
            <w:vAlign w:val="top"/>
          </w:tcPr>
          <w:p>
            <w:pPr>
              <w:spacing w:after="0"/>
            </w:pPr>
            <w:r/>
            <w:r>
              <w:rPr>
                <w:rFonts w:ascii="Aptos" w:hAnsi="Aptos"/>
                <w:b w:val="0"/>
                <w:sz w:val="14"/>
              </w:rPr>
              <w:t>~20-30 v1 fields</w:t>
            </w:r>
          </w:p>
        </w:tc>
        <w:tc>
          <w:tcPr>
            <w:tcW w:type="dxa" w:w="3389"/>
            <w:vAlign w:val="top"/>
          </w:tcPr>
          <w:p>
            <w:pPr>
              <w:spacing w:after="0"/>
            </w:pPr>
            <w:r/>
            <w:r>
              <w:rPr>
                <w:rFonts w:ascii="Aptos" w:hAnsi="Aptos"/>
                <w:b w:val="0"/>
                <w:sz w:val="14"/>
              </w:rPr>
              <w:t>Clinically meaningful and tractable</w:t>
            </w:r>
          </w:p>
        </w:tc>
      </w:tr>
      <w:tr>
        <w:tc>
          <w:tcPr>
            <w:tcW w:type="dxa" w:w="3389"/>
            <w:vAlign w:val="top"/>
          </w:tcPr>
          <w:p>
            <w:pPr>
              <w:spacing w:after="0"/>
            </w:pPr>
            <w:r/>
            <w:r>
              <w:rPr>
                <w:rFonts w:ascii="Aptos" w:hAnsi="Aptos"/>
                <w:b w:val="0"/>
                <w:sz w:val="14"/>
              </w:rPr>
              <w:t>Clinician-reviewed subset</w:t>
            </w:r>
          </w:p>
        </w:tc>
        <w:tc>
          <w:tcPr>
            <w:tcW w:type="dxa" w:w="3389"/>
            <w:vAlign w:val="top"/>
          </w:tcPr>
          <w:p>
            <w:pPr>
              <w:spacing w:after="0"/>
            </w:pPr>
            <w:r/>
            <w:r>
              <w:rPr>
                <w:rFonts w:ascii="Aptos" w:hAnsi="Aptos"/>
                <w:b w:val="0"/>
                <w:sz w:val="14"/>
              </w:rPr>
              <w:t>At least a stratified subset; exact N determined prospectively</w:t>
            </w:r>
          </w:p>
        </w:tc>
        <w:tc>
          <w:tcPr>
            <w:tcW w:type="dxa" w:w="3389"/>
            <w:vAlign w:val="top"/>
          </w:tcPr>
          <w:p>
            <w:pPr>
              <w:spacing w:after="0"/>
            </w:pPr>
            <w:r/>
            <w:r>
              <w:rPr>
                <w:rFonts w:ascii="Aptos" w:hAnsi="Aptos"/>
                <w:b w:val="0"/>
                <w:sz w:val="14"/>
              </w:rPr>
              <w:t>Establish realism/faithfulness</w:t>
            </w:r>
          </w:p>
        </w:tc>
      </w:tr>
      <w:tr>
        <w:tc>
          <w:tcPr>
            <w:tcW w:type="dxa" w:w="3389"/>
            <w:vAlign w:val="top"/>
          </w:tcPr>
          <w:p>
            <w:pPr>
              <w:spacing w:after="0"/>
            </w:pPr>
            <w:r/>
            <w:r>
              <w:rPr>
                <w:rFonts w:ascii="Aptos" w:hAnsi="Aptos"/>
                <w:b w:val="0"/>
                <w:sz w:val="14"/>
              </w:rPr>
              <w:t>Large benchmark</w:t>
            </w:r>
          </w:p>
        </w:tc>
        <w:tc>
          <w:tcPr>
            <w:tcW w:type="dxa" w:w="3389"/>
            <w:vAlign w:val="top"/>
          </w:tcPr>
          <w:p>
            <w:pPr>
              <w:spacing w:after="0"/>
            </w:pPr>
            <w:r/>
            <w:r>
              <w:rPr>
                <w:rFonts w:ascii="Aptos" w:hAnsi="Aptos"/>
                <w:b w:val="0"/>
                <w:sz w:val="14"/>
              </w:rPr>
              <w:t>Only after pilot passes release gates</w:t>
            </w:r>
          </w:p>
        </w:tc>
        <w:tc>
          <w:tcPr>
            <w:tcW w:type="dxa" w:w="3389"/>
            <w:vAlign w:val="top"/>
          </w:tcPr>
          <w:p>
            <w:pPr>
              <w:spacing w:after="0"/>
            </w:pPr>
            <w:r/>
            <w:r>
              <w:rPr>
                <w:rFonts w:ascii="Aptos" w:hAnsi="Aptos"/>
                <w:b w:val="0"/>
                <w:sz w:val="14"/>
              </w:rPr>
              <w:t>Prevents scaling flawed ontology/rules</w:t>
            </w:r>
          </w:p>
        </w:tc>
      </w:tr>
    </w:tbl>
    <w:p/>
    <w:p>
      <w:pPr>
        <w:pStyle w:val="Heading1"/>
      </w:pPr>
      <w:r>
        <w:t>33. Authoritative sources and primary references</w:t>
      </w:r>
    </w:p>
    <w:p>
      <w:pPr>
        <w:ind w:left="259" w:hanging="259"/>
      </w:pPr>
      <w:r>
        <w:rPr>
          <w:b/>
          <w:sz w:val="16"/>
        </w:rPr>
        <w:t xml:space="preserve">S1. International League Against Epilepsy. Updated classification of epileptic seizures (2025). Position paper page and supporting materials. </w:t>
      </w:r>
      <w:r>
        <w:rPr>
          <w:color w:val="2F5597"/>
          <w:sz w:val="16"/>
        </w:rPr>
        <w:t>https://www.ilae.org/updated-classification-epileptic-seizures-2025</w:t>
      </w:r>
    </w:p>
    <w:p>
      <w:pPr>
        <w:ind w:left="259" w:hanging="259"/>
      </w:pPr>
      <w:r>
        <w:rPr>
          <w:b/>
          <w:sz w:val="16"/>
        </w:rPr>
        <w:t xml:space="preserve">S2. International League Against Epilepsy. ILAE Classification of the Epilepsies (2017). </w:t>
      </w:r>
      <w:r>
        <w:rPr>
          <w:color w:val="2F5597"/>
          <w:sz w:val="16"/>
        </w:rPr>
        <w:t>https://www.ilae.org/guidelines/definition-and-classification/ilae-classification-of-the-epilepsies-2017</w:t>
      </w:r>
    </w:p>
    <w:p>
      <w:pPr>
        <w:ind w:left="259" w:hanging="259"/>
      </w:pPr>
      <w:r>
        <w:rPr>
          <w:b/>
          <w:sz w:val="16"/>
        </w:rPr>
        <w:t xml:space="preserve">S3. International League Against Epilepsy. Classification and Definition of Epilepsy Syndromes (2022 resources). </w:t>
      </w:r>
      <w:r>
        <w:rPr>
          <w:color w:val="2F5597"/>
          <w:sz w:val="16"/>
        </w:rPr>
        <w:t>https://www.ilae.org/guidelines/definition-and-classification/classification-and-definition-of-epilepsy-syndromes/classification-and-definition-of-epilepsy-syndromes</w:t>
      </w:r>
    </w:p>
    <w:p>
      <w:pPr>
        <w:ind w:left="259" w:hanging="259"/>
      </w:pPr>
      <w:r>
        <w:rPr>
          <w:b/>
          <w:sz w:val="16"/>
        </w:rPr>
        <w:t xml:space="preserve">S4. NCBO BioPortal. Epilepsy and Seizure Ontology (EpSO), version 3.1 listing. </w:t>
      </w:r>
      <w:r>
        <w:rPr>
          <w:color w:val="2F5597"/>
          <w:sz w:val="16"/>
        </w:rPr>
        <w:t>https://bioportal.bioontology.org/ontologies/EPSO</w:t>
      </w:r>
    </w:p>
    <w:p>
      <w:pPr>
        <w:ind w:left="259" w:hanging="259"/>
      </w:pPr>
      <w:r>
        <w:rPr>
          <w:b/>
          <w:sz w:val="16"/>
        </w:rPr>
        <w:t xml:space="preserve">S5. Sahoo SS et al. Epilepsy and seizure ontology: towards an epilepsy informatics infrastructure for clinical research and patient care. </w:t>
      </w:r>
      <w:r>
        <w:rPr>
          <w:color w:val="2F5597"/>
          <w:sz w:val="16"/>
        </w:rPr>
        <w:t>https://pmc.ncbi.nlm.nih.gov/articles/PMC3912711/</w:t>
      </w:r>
    </w:p>
    <w:p>
      <w:pPr>
        <w:ind w:left="259" w:hanging="259"/>
      </w:pPr>
      <w:r>
        <w:rPr>
          <w:b/>
          <w:sz w:val="16"/>
        </w:rPr>
        <w:t xml:space="preserve">S6. National Institute of Neurological Disorders and Stroke. Epilepsy Common Data Elements. </w:t>
      </w:r>
      <w:r>
        <w:rPr>
          <w:color w:val="2F5597"/>
          <w:sz w:val="16"/>
        </w:rPr>
        <w:t>https://www.commondataelements.ninds.nih.gov/epilepsy</w:t>
      </w:r>
    </w:p>
    <w:p>
      <w:pPr>
        <w:ind w:left="259" w:hanging="259"/>
      </w:pPr>
      <w:r>
        <w:rPr>
          <w:b/>
          <w:sz w:val="16"/>
        </w:rPr>
        <w:t xml:space="preserve">S7. U.S. National Library of Medicine. RxNorm Overview. </w:t>
      </w:r>
      <w:r>
        <w:rPr>
          <w:color w:val="2F5597"/>
          <w:sz w:val="16"/>
        </w:rPr>
        <w:t>https://www.nlm.nih.gov/research/umls/rxnorm/overview.html</w:t>
      </w:r>
    </w:p>
    <w:p>
      <w:pPr>
        <w:ind w:left="259" w:hanging="259"/>
      </w:pPr>
      <w:r>
        <w:rPr>
          <w:b/>
          <w:sz w:val="16"/>
        </w:rPr>
        <w:t xml:space="preserve">S8. SNOMED International. SNOMED CT documentation/glossary. </w:t>
      </w:r>
      <w:r>
        <w:rPr>
          <w:color w:val="2F5597"/>
          <w:sz w:val="16"/>
        </w:rPr>
        <w:t>https://docs.snomed.org/snomed-international-documents/snomed-ct-glossary/s/snomed-clinical-terms</w:t>
      </w:r>
    </w:p>
    <w:p>
      <w:pPr>
        <w:ind w:left="259" w:hanging="259"/>
      </w:pPr>
      <w:r>
        <w:rPr>
          <w:b/>
          <w:sz w:val="16"/>
        </w:rPr>
        <w:t xml:space="preserve">S9. Radiological Society of North America. RadLex radiology lexicon. </w:t>
      </w:r>
      <w:r>
        <w:rPr>
          <w:color w:val="2F5597"/>
          <w:sz w:val="16"/>
        </w:rPr>
        <w:t>https://www.rsna.org/practice-tools/data-tools-and-standards/radlex-radiology-lexicon</w:t>
      </w:r>
    </w:p>
    <w:p>
      <w:pPr>
        <w:ind w:left="259" w:hanging="259"/>
      </w:pPr>
      <w:r>
        <w:rPr>
          <w:b/>
          <w:sz w:val="16"/>
        </w:rPr>
        <w:t xml:space="preserve">S10. Beniczky S et al. Standardized computer-based organized reporting of EEG: SCORE - Second version. Clin Neurophysiol. 2017;128:2334-2346. PMID 28838815. </w:t>
      </w:r>
      <w:r>
        <w:rPr>
          <w:color w:val="2F5597"/>
          <w:sz w:val="16"/>
        </w:rPr>
        <w:t>https://pubmed.ncbi.nlm.nih.gov/28838815/</w:t>
      </w:r>
    </w:p>
    <w:p>
      <w:pPr>
        <w:ind w:left="259" w:hanging="259"/>
      </w:pPr>
      <w:r>
        <w:rPr>
          <w:b/>
          <w:sz w:val="16"/>
        </w:rPr>
        <w:t xml:space="preserve">S11. American Clinical Neurophysiology Society. Guidelines and Consensus Statements; standardized critical-care EEG terminology resources. </w:t>
      </w:r>
      <w:r>
        <w:rPr>
          <w:color w:val="2F5597"/>
          <w:sz w:val="16"/>
        </w:rPr>
        <w:t>https://www.acns.org/practice/guidelines</w:t>
      </w:r>
    </w:p>
    <w:p>
      <w:pPr>
        <w:ind w:left="259" w:hanging="259"/>
      </w:pPr>
      <w:r>
        <w:rPr>
          <w:b/>
          <w:sz w:val="16"/>
        </w:rPr>
        <w:t xml:space="preserve">S12. Kwan P et al. Definition of drug resistant epilepsy: consensus proposal by the ad hoc Task Force of the ILAE Commission on Therapeutic Strategies. Epilepsia. 2010;51:1069-1077. PMID 19889013. </w:t>
      </w:r>
      <w:r>
        <w:rPr>
          <w:color w:val="2F5597"/>
          <w:sz w:val="16"/>
        </w:rPr>
        <w:t>https://pubmed.ncbi.nlm.nih.gov/19889013/</w:t>
      </w:r>
    </w:p>
    <w:p>
      <w:pPr>
        <w:ind w:left="259" w:hanging="259"/>
      </w:pPr>
      <w:r>
        <w:rPr>
          <w:b/>
          <w:sz w:val="16"/>
        </w:rPr>
        <w:t xml:space="preserve">S13. Blümcke I et al. International consensus classification of hippocampal sclerosis in temporal lobe epilepsy. Epilepsia. 2013;54:1315-1329. PMID 23692496. </w:t>
      </w:r>
      <w:r>
        <w:rPr>
          <w:color w:val="2F5597"/>
          <w:sz w:val="16"/>
        </w:rPr>
        <w:t>https://pubmed.ncbi.nlm.nih.gov/23692496/</w:t>
      </w:r>
    </w:p>
    <w:p>
      <w:pPr>
        <w:ind w:left="259" w:hanging="259"/>
      </w:pPr>
      <w:r>
        <w:rPr>
          <w:b/>
          <w:sz w:val="16"/>
        </w:rPr>
        <w:t xml:space="preserve">S14. Najm I et al. The ILAE consensus classification of focal cortical dysplasia: an update. Epilepsia. 2022;63:1899-1919. PMID 35706131. </w:t>
      </w:r>
      <w:r>
        <w:rPr>
          <w:color w:val="2F5597"/>
          <w:sz w:val="16"/>
        </w:rPr>
        <w:t>https://pubmed.ncbi.nlm.nih.gov/35706131/</w:t>
      </w:r>
    </w:p>
    <w:p>
      <w:pPr>
        <w:ind w:left="259" w:hanging="259"/>
      </w:pPr>
      <w:r>
        <w:rPr>
          <w:b/>
          <w:sz w:val="16"/>
        </w:rPr>
        <w:t xml:space="preserve">S15. Fonferko-Shadrach B et al. Annotation of epilepsy clinic letters for natural language processing. J Biomed Semantics. 2024;15:17. Public synthetic letters/annotations/guidelines linked in article. </w:t>
      </w:r>
      <w:r>
        <w:rPr>
          <w:color w:val="2F5597"/>
          <w:sz w:val="16"/>
        </w:rPr>
        <w:t>https://pmc.ncbi.nlm.nih.gov/articles/PMC11402197/</w:t>
      </w:r>
    </w:p>
    <w:p>
      <w:pPr>
        <w:ind w:left="259" w:hanging="259"/>
      </w:pPr>
      <w:r>
        <w:rPr>
          <w:b/>
          <w:sz w:val="16"/>
        </w:rPr>
        <w:t xml:space="preserve">S16. OHDSI. OMOP Common Data Model / Data Standardization. </w:t>
      </w:r>
      <w:r>
        <w:rPr>
          <w:color w:val="2F5597"/>
          <w:sz w:val="16"/>
        </w:rPr>
        <w:t>https://www.ohdsi.org/data-standardization/the-common-data-model/</w:t>
      </w:r>
    </w:p>
    <w:p>
      <w:pPr>
        <w:pStyle w:val="Heading1"/>
      </w:pPr>
      <w:r>
        <w:t>34. Final project statement</w:t>
      </w:r>
    </w:p>
    <w:p>
      <w:r>
        <w:t>This specification establishes the standards-informed foundation for MedAI's synthetic epilepsy dataset. The project should now implement, rather than reinterpret, this document: verify exact external concept identifiers; build the machine-readable schema and rule registry; construct a small clinician-reviewed latent-patient pilot; generate heterogeneous documents only from approved truth; validate extraction against both the controlled corpus and existing public epilepsy NLP resources; and then proceed to real-world clinical validation. The scientific contribution is not a claim to replace ILAE, NINDS, EpSO, or established terminologies. It is the construction and validation of an evidence-grounded application profile and benchmark that makes those resources operational for reproducible epilepsy phenotyping from clinical text.</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Standards-informed research specification • 24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5"/>
      </w:rPr>
      <w:t>MedAI • Final Synthetic Epilepsy Data Generation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4546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30" w:right="115"/>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