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0"/>
        </w:rPr>
        <w:t>MedAI Paper 1</w:t>
      </w:r>
    </w:p>
    <w:p>
      <w:pPr>
        <w:jc w:val="center"/>
      </w:pPr>
      <w:r>
        <w:rPr>
          <w:b/>
          <w:sz w:val="40"/>
        </w:rPr>
        <w:t>Full Study Protocol &amp; Manuscript Blueprint</w:t>
      </w:r>
    </w:p>
    <w:p>
      <w:pPr>
        <w:jc w:val="center"/>
      </w:pPr>
      <w:r>
        <w:rPr>
          <w:i/>
        </w:rPr>
        <w:t>From Prompting to Fine-Tuning: Evidence-Grounded Structured Epilepsy Phenotyping with Local Medical Language Models</w:t>
      </w:r>
    </w:p>
    <w:p>
      <w:pPr>
        <w:jc w:val="center"/>
      </w:pPr>
      <w:r>
        <w:t>Complete requirements from study conception through submission | Version 1.0 | September 2026</w:t>
      </w:r>
    </w:p>
    <w:p/>
    <w:p>
      <w:pPr>
        <w:jc w:val="center"/>
      </w:pPr>
      <w:r>
        <w:t>Primary purpose: produce a rigorous, reproducible clinical NLP paper—not merely demonstrate a Med42 application.</w:t>
      </w:r>
    </w:p>
    <w:p>
      <w:r>
        <w:br w:type="page"/>
      </w:r>
    </w:p>
    <w:p>
      <w:pPr>
        <w:pStyle w:val="Heading1"/>
      </w:pPr>
      <w:r>
        <w:t>1. Paper at a Glance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CEAF7"/>
          </w:tcPr>
          <w:p>
            <w:r>
              <w:rPr>
                <w:b/>
                <w:sz w:val="16"/>
              </w:rPr>
              <w:t>Item</w:t>
            </w:r>
          </w:p>
        </w:tc>
        <w:tc>
          <w:tcPr>
            <w:tcW w:type="dxa" w:w="5083"/>
            <w:shd w:fill="DCEAF7"/>
          </w:tcPr>
          <w:p>
            <w:r>
              <w:rPr>
                <w:b/>
                <w:sz w:val="16"/>
              </w:rPr>
              <w:t>Specification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5"/>
              </w:rPr>
              <w:t>Primary research question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5"/>
              </w:rPr>
              <w:t>What level of model adaptation is necessary for reliable, evidence-grounded extraction of epilepsy phenotypes from clinical records?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5"/>
              </w:rPr>
              <w:t>Primary task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5"/>
              </w:rPr>
              <w:t>Clinical information extraction / structured epilepsy phenotyping from free-text neurology records.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5"/>
              </w:rPr>
              <w:t>Primary contribution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5"/>
              </w:rPr>
              <w:t>A systematic comparison of traditional NLP, zero-shot/few-shot medical LLM prompting, schema constraints, evidence grounding, and PEFT fine-tuning under a clinician-annotated held-out evaluation.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5"/>
              </w:rPr>
              <w:t>Clinical domain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5"/>
              </w:rPr>
              <w:t>Epilepsy; start narrow enough for rigorous expert annotation.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5"/>
              </w:rPr>
              <w:t>Model role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5"/>
              </w:rPr>
              <w:t>Med42 is a model under study and a MedAI component; it is not itself the scientific contribution.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5"/>
              </w:rPr>
              <w:t>Core output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5"/>
              </w:rPr>
              <w:t>Versioned structured phenotype JSON in which each extracted non-null fact can be linked to supporting source evidence.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5"/>
              </w:rPr>
              <w:t>Study design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5"/>
              </w:rPr>
              <w:t>Retrospective clinical NLP validation study with patient-level train/validation/test partitioning.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5"/>
              </w:rPr>
              <w:t>Potential venues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5"/>
              </w:rPr>
              <w:t>ACL/EMNLP clinical NLP ecosystem, AMIA, MLHC/CHIL; KDD if methodological contribution/generalization is sufficiently strong.</w:t>
            </w:r>
          </w:p>
        </w:tc>
      </w:tr>
    </w:tbl>
    <w:p/>
    <w:p>
      <w:pPr>
        <w:pStyle w:val="Heading1"/>
      </w:pPr>
      <w:r>
        <w:t>2. Scientific Motivation and Gap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Important epilepsy variables are often embedded in narrative notes rather than reliably available as structured fields.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Conventional code-based cohort definitions may miss semiology, temporality, drug-resistance reasoning, uncertainty and clinical localization.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Medical LLMs permit zero/few-shot extraction, but reliability, evidence support, schema compliance and the value of task-specific fine-tuning must be measured rather than assumed.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Clinical annotation is expensive. A learning-curve analysis can quantify when PEFT becomes worthwhile relative to prompting.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The paper should emphasize reproducible information extraction and evidence traceability, not autonomous diagnosis.</w:t>
      </w:r>
    </w:p>
    <w:p>
      <w:pPr>
        <w:pStyle w:val="Heading1"/>
      </w:pPr>
      <w:r>
        <w:t>3. Specific Aims and Hypotheses</w:t>
      </w:r>
    </w:p>
    <w:p>
      <w:pPr>
        <w:pStyle w:val="Heading2"/>
      </w:pPr>
      <w:r>
        <w:t>Aim 1 — Establish traditional and prompting baselines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Compare rules/supervised clinical NLP with Med42 zero-shot and few-shot extraction.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Hypothesis H1: few-shot prompting improves field-level extraction over zero-shot prompting for at least some phenotype categories.</w:t>
      </w:r>
    </w:p>
    <w:p>
      <w:pPr>
        <w:pStyle w:val="Heading2"/>
      </w:pPr>
      <w:r>
        <w:t>Aim 2 — Test structured and evidence-grounded inference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Add schema-constrained output and claim-level evidence requirements.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H2: schema constraints improve parse/schema validity.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H3: evidence grounding reduces unsupported claims and improves auditability.</w:t>
      </w:r>
    </w:p>
    <w:p>
      <w:pPr>
        <w:pStyle w:val="Heading2"/>
      </w:pPr>
      <w:r>
        <w:t>Aim 3 — Quantify the value of task-specific adaptation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Fine-tune Med42 using PEFT (e.g., LoRA/QLoRA) on clinician-annotated training examples.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H4: PEFT improves phenotype extraction when enough labeled examples are available.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H5: the annotation learning curve identifies a practical crossover point between prompting and fine-tuning.</w:t>
      </w:r>
    </w:p>
    <w:p>
      <w:pPr>
        <w:pStyle w:val="Heading2"/>
      </w:pPr>
      <w:r>
        <w:t>Aim 4 — Evaluate reliability, errors, and deployment properties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Measure performance, hallucination/unsupported claims, evidence correctness, temporality/negation failures, runtime and reproducibility.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Do not prespecify that the most complex system must win; all hypotheses are empirical.</w:t>
      </w:r>
    </w:p>
    <w:p>
      <w:pPr>
        <w:pStyle w:val="Heading1"/>
      </w:pPr>
      <w:r>
        <w:t>4. Scope: What the First Paper Should and Should Not 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CEAF7"/>
          </w:tcPr>
          <w:p>
            <w:r>
              <w:rPr>
                <w:b/>
                <w:sz w:val="16"/>
              </w:rPr>
              <w:t>Include</w:t>
            </w:r>
          </w:p>
        </w:tc>
        <w:tc>
          <w:tcPr>
            <w:tcW w:type="dxa" w:w="5083"/>
            <w:shd w:fill="DCEAF7"/>
          </w:tcPr>
          <w:p>
            <w:r>
              <w:rPr>
                <w:b/>
                <w:sz w:val="16"/>
              </w:rPr>
              <w:t>Defer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5"/>
              </w:rPr>
              <w:t>Clinical text phenotype extraction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5"/>
              </w:rPr>
              <w:t>Raw MRI/EEG multimodal fusion (Paper 2)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5"/>
              </w:rPr>
              <w:t>Epilepsy-specific structured schema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5"/>
              </w:rPr>
              <w:t>Autonomous diagnosis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5"/>
              </w:rPr>
              <w:t>Prompting + schema + evidence + PEFT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5"/>
              </w:rPr>
              <w:t>Treatment recommendation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5"/>
              </w:rPr>
              <w:t>Clinician gold standard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5"/>
              </w:rPr>
              <w:t>Longitudinal generative summaries (Paper 4)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5"/>
              </w:rPr>
              <w:t>Patient-level held-out evaluation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5"/>
              </w:rPr>
              <w:t>Natural-language cohort search (Paper 5)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5"/>
              </w:rPr>
              <w:t>Error and learning-curve analyses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5"/>
              </w:rPr>
              <w:t>Claims of clinical deployment without prospective validation</w:t>
            </w:r>
          </w:p>
        </w:tc>
      </w:tr>
    </w:tbl>
    <w:p/>
    <w:p>
      <w:pPr>
        <w:pStyle w:val="Heading1"/>
      </w:pPr>
      <w:r>
        <w:t>5. Cohort and Source Documents</w:t>
      </w:r>
    </w:p>
    <w:p>
      <w:pPr>
        <w:pStyle w:val="Heading2"/>
      </w:pPr>
      <w:r>
        <w:t>5.1 Population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Define a retrospective epilepsy cohort with explicit study dates, care setting, age range and inclusion/exclusion criteria.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Specify whether the study includes confirmed epilepsy only or also diagnostic uncertainty/non-epileptic events.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Use one patient as the statistical partitioning unit even when multiple notes exist.</w:t>
      </w:r>
    </w:p>
    <w:p>
      <w:pPr>
        <w:pStyle w:val="Heading2"/>
      </w:pPr>
      <w:r>
        <w:t>5.2 Candidate note types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Initial epilepsy consultation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Epilepsy follow-up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EMU/admission or discharge report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Presurgical evaluation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Epilepsy conference note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Other neurology note only if its role is predefined</w:t>
      </w:r>
    </w:p>
    <w:p>
      <w:pPr>
        <w:pStyle w:val="Heading2"/>
      </w:pPr>
      <w:r>
        <w:t>5.3 Data inventory table to produce before annotation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CEAF7"/>
          </w:tcPr>
          <w:p>
            <w:r>
              <w:rPr>
                <w:b/>
                <w:sz w:val="16"/>
              </w:rPr>
              <w:t>Variable</w:t>
            </w:r>
          </w:p>
        </w:tc>
        <w:tc>
          <w:tcPr>
            <w:tcW w:type="dxa" w:w="5083"/>
            <w:shd w:fill="DCEAF7"/>
          </w:tcPr>
          <w:p>
            <w:r>
              <w:rPr>
                <w:b/>
                <w:sz w:val="16"/>
              </w:rPr>
              <w:t>Required inventory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5"/>
              </w:rPr>
              <w:t>Patients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5"/>
              </w:rPr>
              <w:t>Unique patients available and eligible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5"/>
              </w:rPr>
              <w:t>Notes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5"/>
              </w:rPr>
              <w:t>Total notes and notes/patient distribution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5"/>
              </w:rPr>
              <w:t>Note types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5"/>
              </w:rPr>
              <w:t>Counts by type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5"/>
              </w:rPr>
              <w:t>Time span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5"/>
              </w:rPr>
              <w:t>Years represented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5"/>
              </w:rPr>
              <w:t>Label prevalence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5"/>
              </w:rPr>
              <w:t>Expected prevalence for each target phenotype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5"/>
              </w:rPr>
              <w:t>Documentation style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5"/>
              </w:rPr>
              <w:t>Templates/copy-forward prevalence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5"/>
              </w:rPr>
              <w:t>Missingness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5"/>
              </w:rPr>
              <w:t>Fields commonly undocumented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5"/>
              </w:rPr>
              <w:t>Duplicates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5"/>
              </w:rPr>
              <w:t>Duplicate/near-duplicate note assessment</w:t>
            </w:r>
          </w:p>
        </w:tc>
      </w:tr>
    </w:tbl>
    <w:p/>
    <w:p>
      <w:pPr>
        <w:pStyle w:val="Heading1"/>
      </w:pPr>
      <w:r>
        <w:t>6. Phenotype Schema</w:t>
      </w:r>
    </w:p>
    <w:p>
      <w:r>
        <w:t>Start with approximately 10–20 high-value variables. Every field needs an operational definition, allowed values, null/unknown rules, evidence rule and temporality rule.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CEAF7"/>
          </w:tcPr>
          <w:p>
            <w:r>
              <w:rPr>
                <w:b/>
                <w:sz w:val="16"/>
              </w:rPr>
              <w:t>Domain</w:t>
            </w:r>
          </w:p>
        </w:tc>
        <w:tc>
          <w:tcPr>
            <w:tcW w:type="dxa" w:w="3389"/>
            <w:shd w:fill="DCEAF7"/>
          </w:tcPr>
          <w:p>
            <w:r>
              <w:rPr>
                <w:b/>
                <w:sz w:val="16"/>
              </w:rPr>
              <w:t>Candidate fields</w:t>
            </w:r>
          </w:p>
        </w:tc>
        <w:tc>
          <w:tcPr>
            <w:tcW w:type="dxa" w:w="3389"/>
            <w:shd w:fill="DCEAF7"/>
          </w:tcPr>
          <w:p>
            <w:r>
              <w:rPr>
                <w:b/>
                <w:sz w:val="16"/>
              </w:rPr>
              <w:t>Key annotation issue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5"/>
              </w:rPr>
              <w:t>Seizure classification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focal/generalized/combined-other/unknown; awareness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Do not infer beyond explicit or adjudicated clinical evidence.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5"/>
              </w:rPr>
              <w:t>Semiology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aura, behavioral arrest, automatisms, motor, sensory, language, postictal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Permit multiple values and explicit negation.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5"/>
              </w:rPr>
              <w:t>Disease course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age at onset, frequency, duration/status history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Normalize units while preserving source text.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5"/>
              </w:rPr>
              <w:t>Localization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left/right/bilateral/unknown; temporal/frontal/parietal/occipital/multifocal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Separate reported localization from model inference.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5"/>
              </w:rPr>
              <w:t>Medication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current ASMs, prior ASMs, failures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Distinguish stopped, failed, allergy/intolerance and current.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5"/>
              </w:rPr>
              <w:t>Drug resistance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yes/no/uncertain/not documented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Define criterion and whether direct clinician statement vs computed rule is used.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5"/>
              </w:rPr>
              <w:t>Etiology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HS, FCD, tumor, vascular, genetic/other, unknown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Keep suspected vs confirmed status.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5"/>
              </w:rPr>
              <w:t>Intervention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surgery, neurostimulation, other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Dates and status where available.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5"/>
              </w:rPr>
              <w:t>Outcome/status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current seizure status / last seizure if included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Strong temporal definition required.</w:t>
            </w:r>
          </w:p>
        </w:tc>
      </w:tr>
    </w:tbl>
    <w:p/>
    <w:p>
      <w:pPr>
        <w:pStyle w:val="Heading1"/>
      </w:pPr>
      <w:r>
        <w:t>7. Annotation Protocol</w:t>
      </w:r>
    </w:p>
    <w:p>
      <w:pPr>
        <w:pStyle w:val="Heading2"/>
      </w:pPr>
      <w:r>
        <w:t>7.1 Annotation manual must define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Exact field definitions and examples/non-examples.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Allowed values and normalization rules.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Negation, historical statements, family history, hypothetical statements and copied-forward text.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Uncertainty: suspected/probable/possible vs confirmed.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Temporal scope: current, historical, resolved, future plan.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Conflicting statements across notes.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Evidence span selection: minimal sufficient text versus full sentence.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How to mark not documented, unknown, not applicable and ambiguous.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Adjudication procedure.</w:t>
      </w:r>
    </w:p>
    <w:p>
      <w:pPr>
        <w:pStyle w:val="Heading2"/>
      </w:pPr>
      <w:r>
        <w:t>7.2 Pilot annotation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Annotate a small heterogeneous pilot before scaling.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Have at least two qualified annotators independently annotate a meaningful subset.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Review disagreements with an epilepsy expert; revise the manual before freezing the production version.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Re-annotate pilot cases if schema definitions materially change.</w:t>
      </w:r>
    </w:p>
    <w:p>
      <w:pPr>
        <w:pStyle w:val="Heading2"/>
      </w:pPr>
      <w:r>
        <w:t>7.3 Gold standard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Use adjudicated labels for the final evaluation set.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Retain individual annotator labels to quantify agreement.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Report agreement with field-appropriate statistics (e.g., Cohen's kappa for suitable categorical variables plus raw agreement; span/entity metrics for evidence annotations).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Do not use model output to silently define the gold standard.</w:t>
      </w:r>
    </w:p>
    <w:p>
      <w:pPr>
        <w:pStyle w:val="Heading1"/>
      </w:pPr>
      <w:r>
        <w:t>8. Dataset Partitioning and Leakage Control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Split by patient, never by note.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All notes from one patient remain in one partition.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Few-shot examples must come only from the development/training population.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Fine-tuning uses training data only; hyperparameter/model selection uses validation data.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Freeze the final test set before iterative prompt/model development.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Detect duplicate/near-duplicate and templated/copy-forward text that can cross partitions.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If multiple institutions/time periods are available, reserve a temporal or external set for a stronger generalization analysis.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CEAF7"/>
          </w:tcPr>
          <w:p>
            <w:r>
              <w:rPr>
                <w:b/>
                <w:sz w:val="16"/>
              </w:rPr>
              <w:t>Partition</w:t>
            </w:r>
          </w:p>
        </w:tc>
        <w:tc>
          <w:tcPr>
            <w:tcW w:type="dxa" w:w="5083"/>
            <w:shd w:fill="DCEAF7"/>
          </w:tcPr>
          <w:p>
            <w:r>
              <w:rPr>
                <w:b/>
                <w:sz w:val="16"/>
              </w:rPr>
              <w:t>Permitted use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5"/>
              </w:rPr>
              <w:t>Train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5"/>
              </w:rPr>
              <w:t>PEFT training, rule/BERT training, candidate few-shot examples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5"/>
              </w:rPr>
              <w:t>Validation/development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5"/>
              </w:rPr>
              <w:t>Prompt design, example selection strategy, threshold/hyperparameter selection, schema debugging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5"/>
              </w:rPr>
              <w:t>Test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5"/>
              </w:rPr>
              <w:t>One locked final evaluation; no prompt/model tuning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5"/>
              </w:rPr>
              <w:t>Optional external/temporal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5"/>
              </w:rPr>
              <w:t>Generalization only; no development</w:t>
            </w:r>
          </w:p>
        </w:tc>
      </w:tr>
    </w:tbl>
    <w:p/>
    <w:p>
      <w:pPr>
        <w:pStyle w:val="Heading1"/>
      </w:pPr>
      <w:r>
        <w:t>9. Experimental Systems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CEAF7"/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3389"/>
            <w:shd w:fill="DCEAF7"/>
          </w:tcPr>
          <w:p>
            <w:r>
              <w:rPr>
                <w:b/>
                <w:sz w:val="16"/>
              </w:rPr>
              <w:t>System</w:t>
            </w:r>
          </w:p>
        </w:tc>
        <w:tc>
          <w:tcPr>
            <w:tcW w:type="dxa" w:w="3389"/>
            <w:shd w:fill="DCEAF7"/>
          </w:tcPr>
          <w:p>
            <w:r>
              <w:rPr>
                <w:b/>
                <w:sz w:val="16"/>
              </w:rPr>
              <w:t>Purpose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5"/>
              </w:rPr>
              <w:t>B0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Rule-based extraction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Simple transparent baseline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5"/>
              </w:rPr>
              <w:t>B1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Supervised clinical NLP baseline (e.g., BioClinicalBERT-style classifier/NER as appropriate)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Conventional learned baseline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5"/>
              </w:rPr>
              <w:t>M0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Med42 zero-shot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No task examples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5"/>
              </w:rPr>
              <w:t>M1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Med42 few-shot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In-context demonstration effect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5"/>
              </w:rPr>
              <w:t>M2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M1 + schema-constrained structured output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Effect of output constraints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5"/>
              </w:rPr>
              <w:t>M3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M2 + evidence grounding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Effect of requiring source support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5"/>
              </w:rPr>
              <w:t>M4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Med42 PEFT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Task-specific adaptation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5"/>
              </w:rPr>
              <w:t>M5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M4 + schema constraints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Fair structured fine-tuned comparison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5"/>
              </w:rPr>
              <w:t>M6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M5 + evidence grounding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Full proposed MedAI extraction system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5"/>
              </w:rPr>
              <w:t>C1 optional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Comparable general open LLM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Tests whether medical specialization matters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5"/>
              </w:rPr>
              <w:t>C2 optional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Second medical LLM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Tests architecture/model dependence</w:t>
            </w:r>
          </w:p>
        </w:tc>
      </w:tr>
    </w:tbl>
    <w:p/>
    <w:p>
      <w:pPr>
        <w:pStyle w:val="Heading1"/>
      </w:pPr>
      <w:r>
        <w:t>10. Prompting and Inference Specification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System role: extraction system, not diagnostician.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Explicit instruction not to guess; use null/unknown when evidence is absent.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Fixed schema and enumerated values.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Few-shot examples selected without test leakage and frozen for final evaluation.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Temperature near deterministic for reproducibility; document all decoding parameters.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Long-note strategy predefined: full note if within context, otherwise section-aware chunking/retrieval with deterministic merge rules.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Output parser + schema validator; record repair attempts separately rather than hiding invalid outputs.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Evidence requirement: each non-null extracted fact should carry source text and source document metadata where feasible.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Version every prompt and schema.</w:t>
      </w:r>
    </w:p>
    <w:p>
      <w:pPr>
        <w:pStyle w:val="Heading1"/>
      </w:pPr>
      <w:r>
        <w:t>11. Fine-Tuning Plan</w:t>
      </w:r>
    </w:p>
    <w:p>
      <w:pPr>
        <w:pStyle w:val="Heading2"/>
      </w:pPr>
      <w:r>
        <w:t>11.1 Recommended approach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Begin with PEFT rather than full 8B parameter fine-tuning unless a strong reason/resources justify full tuning.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Candidate methods: LoRA or QLoRA.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Training target should match the final structured schema, including evidence fields if evidence grounding is part of the claim.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Use only adjudicated/high-quality labels for the core fine-tuning experiment; optionally study silver labels separately.</w:t>
      </w:r>
    </w:p>
    <w:p>
      <w:pPr>
        <w:pStyle w:val="Heading2"/>
      </w:pPr>
      <w:r>
        <w:t>11.2 Training example structure</w:t>
      </w:r>
    </w:p>
    <w:p>
      <w:r>
        <w:t>Input: clinical note or predefined relevant sections + extraction instruction. Target: valid structured phenotype object with normalized values and supporting evidence.</w:t>
      </w:r>
    </w:p>
    <w:p>
      <w:pPr>
        <w:pStyle w:val="Heading2"/>
      </w:pPr>
      <w:r>
        <w:t>11.3 Learning-curve experiment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Train at progressively larger labeled-data sizes such as 25, 50, 100, 250, 500+ examples/patients as feasible.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Use repeated subsampling where computationally feasible to reduce dependence on one subset.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Plot field-level/macro F1 versus annotation volume.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Also plot hallucination/evidence accuracy versus annotation volume.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Estimate annotation time/cost to contextualize performance gains.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Do not promise a specific crossover point; the crossover is a result.</w:t>
      </w:r>
    </w:p>
    <w:p>
      <w:pPr>
        <w:pStyle w:val="Heading2"/>
      </w:pPr>
      <w:r>
        <w:t>11.4 Fine-tuning metadata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Base checkpoint/hash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Adapter configuration/rank/alpha/dropout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Quantization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Optimizer and learning rate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Batch/gradient accumulation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Epochs/early stopping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Seed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Hardware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Training time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Best-checkpoint selection rule</w:t>
      </w:r>
    </w:p>
    <w:p>
      <w:pPr>
        <w:pStyle w:val="Heading1"/>
      </w:pPr>
      <w:r>
        <w:t>12. Outcome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CEAF7"/>
          </w:tcPr>
          <w:p>
            <w:r>
              <w:rPr>
                <w:b/>
                <w:sz w:val="16"/>
              </w:rPr>
              <w:t>Metric family</w:t>
            </w:r>
          </w:p>
        </w:tc>
        <w:tc>
          <w:tcPr>
            <w:tcW w:type="dxa" w:w="5083"/>
            <w:shd w:fill="DCEAF7"/>
          </w:tcPr>
          <w:p>
            <w:r>
              <w:rPr>
                <w:b/>
                <w:sz w:val="16"/>
              </w:rPr>
              <w:t>Required metrics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5"/>
              </w:rPr>
              <w:t>Extraction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5"/>
              </w:rPr>
              <w:t>Per-field precision, recall, F1, support; macro/micro summaries where meaningful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5"/>
              </w:rPr>
              <w:t>Classification fields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5"/>
              </w:rPr>
              <w:t>Accuracy/balanced accuracy and specificity when appropriate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5"/>
              </w:rPr>
              <w:t>Structured output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5"/>
              </w:rPr>
              <w:t>Valid JSON/schema rate, parser failure rate, repair rate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5"/>
              </w:rPr>
              <w:t>Grounding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5"/>
              </w:rPr>
              <w:t>Evidence precision/correctness, evidence recall/coverage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5"/>
              </w:rPr>
              <w:t>Safety/reliability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5"/>
              </w:rPr>
              <w:t>Unsupported-claim/hallucination rate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5"/>
              </w:rPr>
              <w:t>Language phenomena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5"/>
              </w:rPr>
              <w:t>Negation error, uncertainty error, temporality error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5"/>
              </w:rPr>
              <w:t>Efficiency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5"/>
              </w:rPr>
              <w:t>Latency, throughput, GPU memory, token use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5"/>
              </w:rPr>
              <w:t>Annotation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5"/>
              </w:rPr>
              <w:t>Inter-annotator agreement and adjudication rate</w:t>
            </w:r>
          </w:p>
        </w:tc>
      </w:tr>
    </w:tbl>
    <w:p/>
    <w:p>
      <w:pPr>
        <w:pStyle w:val="Heading1"/>
      </w:pPr>
      <w:r>
        <w:t>13. Statistical Analysis Plan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Declare one primary endpoint before final test evaluation—for example macro F1 across prespecified core phenotype fields or a carefully justified composite.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Declare key secondary endpoints: unsupported-claim rate, evidence correctness and schema-validity rate.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Report 95% confidence intervals, preferably using patient-level bootstrap where suitable.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Use paired system comparisons because models are evaluated on the same held-out patients.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Correct for multiple comparisons when making many formal pairwise claims; otherwise clearly label exploratory comparisons.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Report effect sizes/differences with confidence intervals, not p-values alone.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Predefine handling of rare classes and undefined precision/recall cases.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Analyze performance by note type and other prespecified clinically relevant strata when sample sizes allow.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Learning-curve analysis should show uncertainty around each training-size condition.</w:t>
      </w:r>
    </w:p>
    <w:p>
      <w:pPr>
        <w:pStyle w:val="Heading1"/>
      </w:pPr>
      <w:r>
        <w:t>14. Sample Size and Feasibility</w:t>
      </w:r>
    </w:p>
    <w:p>
      <w:r>
        <w:t>Do not choose an arbitrary sample size. Final sizing should use the prevalence of target phenotypes, desired precision of F1/sensitivity estimates, number of positive cases per key field, expected annotation agreement, and the needs of PEFT. A pilot should first estimate label prevalence and annotation time. Rare fields may need oversampling for training while the final test set should preserve a defensible target-population distribution.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Produce a prevalence table before final power/precision calculations.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Ensure enough positive test cases for each primary phenotype to yield interpretable confidence intervals.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Separate the annotation sample needed for model development from the locked evaluation sample.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Document any enrichment/oversampling and never report enriched prevalence as clinical prevalence.</w:t>
      </w:r>
    </w:p>
    <w:p>
      <w:pPr>
        <w:pStyle w:val="Heading1"/>
      </w:pPr>
      <w:r>
        <w:t>15. Error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CEAF7"/>
          </w:tcPr>
          <w:p>
            <w:r>
              <w:rPr>
                <w:b/>
                <w:sz w:val="16"/>
              </w:rPr>
              <w:t>Error type</w:t>
            </w:r>
          </w:p>
        </w:tc>
        <w:tc>
          <w:tcPr>
            <w:tcW w:type="dxa" w:w="5083"/>
            <w:shd w:fill="DCEAF7"/>
          </w:tcPr>
          <w:p>
            <w:r>
              <w:rPr>
                <w:b/>
                <w:sz w:val="16"/>
              </w:rPr>
              <w:t>Example question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5"/>
              </w:rPr>
              <w:t>Missed extraction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5"/>
              </w:rPr>
              <w:t>Was explicit evidence present but ignored?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5"/>
              </w:rPr>
              <w:t>Wrong normalization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5"/>
              </w:rPr>
              <w:t>Was the right concept found but mapped to the wrong enum/unit?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5"/>
              </w:rPr>
              <w:t>Negation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5"/>
              </w:rPr>
              <w:t>Did the model extract a negated finding?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5"/>
              </w:rPr>
              <w:t>Temporality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5"/>
              </w:rPr>
              <w:t>Did it confuse historical and current status?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5"/>
              </w:rPr>
              <w:t>Uncertainty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5"/>
              </w:rPr>
              <w:t>Did possible/suspected become confirmed?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5"/>
              </w:rPr>
              <w:t>Unsupported inference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5"/>
              </w:rPr>
              <w:t>Did the model infer a fact not stated?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5"/>
              </w:rPr>
              <w:t>Conflict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5"/>
              </w:rPr>
              <w:t>Did it fail when notes disagreed?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5"/>
              </w:rPr>
              <w:t>Medication status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5"/>
              </w:rPr>
              <w:t>Did it confuse prior vs current/failed medication?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5"/>
              </w:rPr>
              <w:t>Evidence mismatch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5"/>
              </w:rPr>
              <w:t>Correct value but wrong evidence span?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5"/>
              </w:rPr>
              <w:t>Schema failure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5"/>
              </w:rPr>
              <w:t>Invalid/missing keys/types?</w:t>
            </w:r>
          </w:p>
        </w:tc>
      </w:tr>
    </w:tbl>
    <w:p/>
    <w:p>
      <w:pPr>
        <w:pStyle w:val="Compact"/>
        <w:ind w:left="288" w:hanging="187"/>
      </w:pPr>
      <w:r>
        <w:rPr>
          <w:b/>
        </w:rPr>
        <w:t xml:space="preserve">• </w:t>
      </w:r>
      <w:r>
        <w:t>Manually review a prespecified sample of errors from every system.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Report both aggregate error frequencies and representative de-identified examples.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Have clinical experts review high-risk errors rather than relying only on NLP researchers.</w:t>
      </w:r>
    </w:p>
    <w:p>
      <w:pPr>
        <w:pStyle w:val="Heading1"/>
      </w:pPr>
      <w:r>
        <w:t>16. Robustness and Generalization Analyses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Performance by note type.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Performance by short vs long notes.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Performance by documentation period/template where relevant.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Performance on rare versus common phenotype fields.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Temporal or site external validation if available.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Prompt robustness: limited prespecified perturbation analysis rather than endless prompt searching.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Model-version robustness if comparing more than one checkpoint.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Optional calibration/confidence analysis if the system emits a meaningful confidence score.</w:t>
      </w:r>
    </w:p>
    <w:p>
      <w:pPr>
        <w:pStyle w:val="Heading1"/>
      </w:pPr>
      <w:r>
        <w:t>17. Reproducibility and Software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CEAF7"/>
          </w:tcPr>
          <w:p>
            <w:r>
              <w:rPr>
                <w:b/>
                <w:sz w:val="16"/>
              </w:rPr>
              <w:t>Artifact</w:t>
            </w:r>
          </w:p>
        </w:tc>
        <w:tc>
          <w:tcPr>
            <w:tcW w:type="dxa" w:w="5083"/>
            <w:shd w:fill="DCEAF7"/>
          </w:tcPr>
          <w:p>
            <w:r>
              <w:rPr>
                <w:b/>
                <w:sz w:val="16"/>
              </w:rPr>
              <w:t>Required contents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5"/>
              </w:rPr>
              <w:t>Code repository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5"/>
              </w:rPr>
              <w:t>Preprocessing, prompts, inference, validation, evaluation, statistics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5"/>
              </w:rPr>
              <w:t>Configuration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5"/>
              </w:rPr>
              <w:t>YAML/JSON configs for each experimental arm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5"/>
              </w:rPr>
              <w:t>Prompt registry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5"/>
              </w:rPr>
              <w:t>Prompt text, version, examples and change history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5"/>
              </w:rPr>
              <w:t>Schema registry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5"/>
              </w:rPr>
              <w:t>JSON Schema/Pydantic model and version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5"/>
              </w:rPr>
              <w:t>Model registry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5"/>
              </w:rPr>
              <w:t>Checkpoint names/hashes and adapter versions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5"/>
              </w:rPr>
              <w:t>Run metadata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5"/>
              </w:rPr>
              <w:t>Model/prompt/schema/code version, decoding, input IDs, timestamp, hardware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5"/>
              </w:rPr>
              <w:t>Container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5"/>
              </w:rPr>
              <w:t>Docker and/or Apptainer/Singularity for local/HPC reproduction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5"/>
              </w:rPr>
              <w:t>Evaluation harness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5"/>
              </w:rPr>
              <w:t>Single reproducible script/pipeline for locked test evaluation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5"/>
              </w:rPr>
              <w:t>Output audit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5"/>
              </w:rPr>
              <w:t>Raw model response, parsed output, validation status, evidence and errors</w:t>
            </w:r>
          </w:p>
        </w:tc>
      </w:tr>
    </w:tbl>
    <w:p/>
    <w:p>
      <w:pPr>
        <w:pStyle w:val="Heading1"/>
      </w:pPr>
      <w:r>
        <w:t>18. Data Governance and Security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Obtain IRB determination/approval before using clinical records for research.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Confirm data-use permissions and whether model weights/inference environment can process PHI locally.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Use approved secure storage/compute and access controls.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Do not send PHI to external services unless specifically approved.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Define de-identification requirements for manuscript examples and released artifacts.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Maintain an audit trail of data extraction and model runs.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Document intended research use and explicitly avoid unsupported clinical-deployment claims.</w:t>
      </w:r>
    </w:p>
    <w:p>
      <w:pPr>
        <w:pStyle w:val="Heading1"/>
      </w:pPr>
      <w:r>
        <w:t>19. Manuscript Structure — Full Paper Blueprint</w:t>
      </w:r>
    </w:p>
    <w:p>
      <w:pPr>
        <w:pStyle w:val="Heading2"/>
      </w:pPr>
      <w:r>
        <w:t>19.1 Title</w:t>
      </w:r>
    </w:p>
    <w:p>
      <w:r>
        <w:t>Preferred working title: From Prompting to Fine-Tuning: Evidence-Grounded Structured Epilepsy Phenotyping with Local Medical Language Models</w:t>
      </w:r>
    </w:p>
    <w:p>
      <w:pPr>
        <w:pStyle w:val="Heading2"/>
      </w:pPr>
      <w:r>
        <w:t>19.2 Abstract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Background/problem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Objective/research question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Dataset/cohort and annotation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Compared systems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Primary metrics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Key quantitative result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Conclusion and intended research use</w:t>
      </w:r>
    </w:p>
    <w:p>
      <w:pPr>
        <w:pStyle w:val="Heading2"/>
      </w:pPr>
      <w:r>
        <w:t>19.3 Introduction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Clinical importance of structured epilepsy phenotypes.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Why narrative notes remain difficult to use computationally.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Limitations of rules/supervised NLP and opportunities/risks of medical LLMs.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Need to compare prompting, structured output, evidence grounding and fine-tuning under one controlled evaluation.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End with 3–4 explicit contributions, not marketing claims.</w:t>
      </w:r>
    </w:p>
    <w:p>
      <w:pPr>
        <w:pStyle w:val="Heading2"/>
      </w:pPr>
      <w:r>
        <w:t>19.4 Related Work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Clinical information extraction and phenotyping.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Clinical/biomedical BERT-style models.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Zero/few-shot LLM clinical information extraction.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Medical LLMs and Med42.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Structured/constrained generation.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Evidence grounding and hallucination/factuality.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PEFT/LoRA/QLoRA for clinical NLP.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Epilepsy-specific NLP/phenotyping and cohort identification.</w:t>
      </w:r>
    </w:p>
    <w:p>
      <w:pPr>
        <w:pStyle w:val="Heading2"/>
      </w:pPr>
      <w:r>
        <w:t>19.5 Methods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Study design and governance.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Cohort selection and note types.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Phenotype schema.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Annotation process and gold standard.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Train/validation/test split.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Baselines.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Med42 prompting conditions.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Schema constraints and evidence grounding.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PEFT fine-tuning.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Learning-curve experiment.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Metrics and statistical analysis.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Implementation/hardware/reproducibility.</w:t>
      </w:r>
    </w:p>
    <w:p>
      <w:pPr>
        <w:pStyle w:val="Heading2"/>
      </w:pPr>
      <w:r>
        <w:t>19.6 Results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Cohort characteristics and phenotype prevalence.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Annotation agreement.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Primary held-out performance table.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Ablation results M0→M6.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Learning curve.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Evidence/hallucination results.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Schema-validity results.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Efficiency/runtime.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Subgroup/note-type analyses.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Error analysis.</w:t>
      </w:r>
    </w:p>
    <w:p>
      <w:pPr>
        <w:pStyle w:val="Heading2"/>
      </w:pPr>
      <w:r>
        <w:t>19.7 Discussion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Interpret the primary result and which components actually added value.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Discuss whether fine-tuning justified annotation cost.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Explain clinical-research usefulness without claiming autonomous diagnosis.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Compare with prior clinical IE/LLM literature.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Discuss error types and implications for human review.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Generalizability limits: institution, specialty, documentation style, model family.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Future work: EEG/MRI integration, summarization, cohort discovery.</w:t>
      </w:r>
    </w:p>
    <w:p>
      <w:pPr>
        <w:pStyle w:val="Heading2"/>
      </w:pPr>
      <w:r>
        <w:t>19.8 Limitations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Retrospective/single-site design if applicable.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Sample size and rare phenotype imbalance.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Dependence on documentation quality.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Gold-standard subjectivity and annotator expertise.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Model/version dependence.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Potential copy-forward/template leakage.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No prospective clinical impact claim.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Data-sharing constraints.</w:t>
      </w:r>
    </w:p>
    <w:p>
      <w:pPr>
        <w:pStyle w:val="Heading2"/>
      </w:pPr>
      <w:r>
        <w:t>19.9 Conclusion</w:t>
      </w:r>
    </w:p>
    <w:p>
      <w:r>
        <w:t>One concise paragraph answering the research question and stating the evidence-supported role of the system as a research phenotype extraction tool.</w:t>
      </w:r>
    </w:p>
    <w:p>
      <w:pPr>
        <w:pStyle w:val="Heading1"/>
      </w:pPr>
      <w:r>
        <w:t>20. Figures and Tables Required for the Final Paper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CEAF7"/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5083"/>
            <w:shd w:fill="DCEAF7"/>
          </w:tcPr>
          <w:p>
            <w:r>
              <w:rPr>
                <w:b/>
                <w:sz w:val="16"/>
              </w:rPr>
              <w:t>Artifact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5"/>
              </w:rPr>
              <w:t>Figure 1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5"/>
              </w:rPr>
              <w:t>Study flow: patient selection → annotation → partitions → experiments → evaluation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5"/>
              </w:rPr>
              <w:t>Figure 2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5"/>
              </w:rPr>
              <w:t>MedAI Paper-1 architecture: note → prompt/model → schema validator → evidence-grounded phenotype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5"/>
              </w:rPr>
              <w:t>Figure 3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5"/>
              </w:rPr>
              <w:t>Fine-tuning learning curve: performance vs number of annotated examples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5"/>
              </w:rPr>
              <w:t>Figure 4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5"/>
              </w:rPr>
              <w:t>Error taxonomy or evidence-grounding/hallucination comparison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5"/>
              </w:rPr>
              <w:t>Table 1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5"/>
              </w:rPr>
              <w:t>Cohort and note characteristics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5"/>
              </w:rPr>
              <w:t>Table 2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5"/>
              </w:rPr>
              <w:t>Phenotype schema and label prevalence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5"/>
              </w:rPr>
              <w:t>Table 3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5"/>
              </w:rPr>
              <w:t>Primary model comparison M0–M6 + baselines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5"/>
              </w:rPr>
              <w:t>Table 4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5"/>
              </w:rPr>
              <w:t>Evidence, hallucination, schema-validity and efficiency metrics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5"/>
              </w:rPr>
              <w:t>Table 5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5"/>
              </w:rPr>
              <w:t>Subgroup/note-type performance or detailed per-field metrics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5"/>
              </w:rPr>
              <w:t>Supplement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5"/>
              </w:rPr>
              <w:t>Full prompts, schema, annotation guideline summary, hyperparameters, extra per-field results, statistical details</w:t>
            </w:r>
          </w:p>
        </w:tc>
      </w:tr>
    </w:tbl>
    <w:p/>
    <w:p>
      <w:pPr>
        <w:pStyle w:val="Heading1"/>
      </w:pPr>
      <w:r>
        <w:t>21. Artifacts That Must Exist Before Submission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IRB/data-governance documentation.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Frozen cohort inclusion/exclusion specification.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Patient-level partition manifest.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Versioned phenotype schema.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Versioned annotation manual.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Gold-standard annotation dataset.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Inter-annotator agreement report.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Baseline implementations.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Prompt registry.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PEFT training configuration and adapters/checkpoint references.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Locked inference configurations.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Raw held-out outputs and parsed outputs.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Statistical analysis scripts.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Error-review spreadsheet/database.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Figures and tables generated from reproducible scripts.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Model/data/research limitations statement.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Code/container release plan consistent with institutional policy.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Manuscript and supplementary material.</w:t>
      </w:r>
    </w:p>
    <w:p>
      <w:pPr>
        <w:pStyle w:val="Heading1"/>
      </w:pPr>
      <w:r>
        <w:t>22. Stage-Gated Execution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CEAF7"/>
          </w:tcPr>
          <w:p>
            <w:r>
              <w:rPr>
                <w:b/>
                <w:sz w:val="16"/>
              </w:rPr>
              <w:t>Gate</w:t>
            </w:r>
          </w:p>
        </w:tc>
        <w:tc>
          <w:tcPr>
            <w:tcW w:type="dxa" w:w="3389"/>
            <w:shd w:fill="DCEAF7"/>
          </w:tcPr>
          <w:p>
            <w:r>
              <w:rPr>
                <w:b/>
                <w:sz w:val="16"/>
              </w:rPr>
              <w:t>Work</w:t>
            </w:r>
          </w:p>
        </w:tc>
        <w:tc>
          <w:tcPr>
            <w:tcW w:type="dxa" w:w="3389"/>
            <w:shd w:fill="DCEAF7"/>
          </w:tcPr>
          <w:p>
            <w:r>
              <w:rPr>
                <w:b/>
                <w:sz w:val="16"/>
              </w:rPr>
              <w:t>Exit criterion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5"/>
              </w:rPr>
              <w:t>G0 Feasibility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Data inventory, governance, preliminary prevalence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Enough usable notes/patients and approved research path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5"/>
              </w:rPr>
              <w:t>G1 Schema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Define 10–20 fields and annotation manual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Expert-approved schema/manual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5"/>
              </w:rPr>
              <w:t>G2 Pilot annotation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Double-annotate heterogeneous pilot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Acceptable definitions; disagreements understood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5"/>
              </w:rPr>
              <w:t>G3 Dataset build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Scale annotation and adjudication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Gold train/val/test complete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5"/>
              </w:rPr>
              <w:t>G4 Baselines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Rules/BERT + zero/few-shot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Reproducible baseline results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5"/>
              </w:rPr>
              <w:t>G5 Reliability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Schema + evidence experiments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Validated structured/grounded pipeline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5"/>
              </w:rPr>
              <w:t>G6 Fine-tuning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PEFT + learning curve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Frozen adapters/configs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5"/>
              </w:rPr>
              <w:t>G7 Lock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Freeze prompts/models/test protocol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No further test-driven tuning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5"/>
              </w:rPr>
              <w:t>G8 Final evaluation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Run all systems once on locked test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Primary results + CIs complete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5"/>
              </w:rPr>
              <w:t>G9 Clinical error review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Review failures and evidence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Error taxonomy finalized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5"/>
              </w:rPr>
              <w:t>G10 Manuscript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Write paper/supplement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Internal coauthor review complete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5"/>
              </w:rPr>
              <w:t>G11 Submission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Formatting, reporting checklist, artifacts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Submission-ready package</w:t>
            </w:r>
          </w:p>
        </w:tc>
      </w:tr>
    </w:tbl>
    <w:p/>
    <w:p>
      <w:pPr>
        <w:pStyle w:val="Heading1"/>
      </w:pPr>
      <w:r>
        <w:t>23. Decision Rules Before Expanding Scope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If annotation agreement is poor, fix the phenotype definition before training models.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If rare labels have too few positive cases, remove them from the primary endpoint or collect more data.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If zero/few-shot already saturates performance, fine-tuning may become a cost/efficiency analysis rather than the central contribution.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If fine-tuning improves extraction but increases unsupported claims, evidence grounding remains an independent contribution.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If the external/temporal cohort performs substantially worse, report the generalization failure rather than tuning on it and relabeling it a test set.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If the study cannot support diagnosis claims, keep the paper explicitly about phenotype extraction for clinical research.</w:t>
      </w:r>
    </w:p>
    <w:p>
      <w:pPr>
        <w:pStyle w:val="Heading1"/>
      </w:pPr>
      <w:r>
        <w:t>24. Minimal vs Strong vs Flagship Version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CEAF7"/>
          </w:tcPr>
          <w:p>
            <w:r>
              <w:rPr>
                <w:b/>
                <w:sz w:val="16"/>
              </w:rPr>
              <w:t>Version</w:t>
            </w:r>
          </w:p>
        </w:tc>
        <w:tc>
          <w:tcPr>
            <w:tcW w:type="dxa" w:w="5083"/>
            <w:shd w:fill="DCEAF7"/>
          </w:tcPr>
          <w:p>
            <w:r>
              <w:rPr>
                <w:b/>
                <w:sz w:val="16"/>
              </w:rPr>
              <w:t>What it contains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5"/>
              </w:rPr>
              <w:t>Minimum publishable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5"/>
              </w:rPr>
              <w:t>Clinician gold standard; rules/BERT; Med42 zero/few-shot; schema validation; held-out patient test; rigorous metrics/error analysis.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5"/>
              </w:rPr>
              <w:t>Strong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5"/>
              </w:rPr>
              <w:t>Minimum + evidence grounding + PEFT + learning curve + double annotation + runtime/reproducibility.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5"/>
              </w:rPr>
              <w:t>Flagship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5"/>
              </w:rPr>
              <w:t>Strong + second model family + temporal/external validation + robust evidence attribution + open/reproducible evaluation artifacts where governance permits.</w:t>
            </w:r>
          </w:p>
        </w:tc>
      </w:tr>
    </w:tbl>
    <w:p/>
    <w:p>
      <w:pPr>
        <w:pStyle w:val="Heading1"/>
      </w:pPr>
      <w:r>
        <w:t>25. Immediate Next Actions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Choose the initial 10–20 phenotype fields.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Inventory eligible patients, note types and label prevalence proxies.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Draft annotation guideline v0.1.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Select 20–50 heterogeneous pilot notes/patients for annotation.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Decide who will annotate and who will adjudicate.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Create the patient-level partitioning plan before model development.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Implement the versioned JSON/Pydantic phenotype schema.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Set up local Med42 inference with fully logged decoding/model versions.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Implement zero-shot/few-shot baselines before fine-tuning.</w:t>
      </w:r>
    </w:p>
    <w:p>
      <w:pPr>
        <w:pStyle w:val="Compact"/>
        <w:ind w:left="288" w:hanging="187"/>
      </w:pPr>
      <w:r>
        <w:rPr>
          <w:b/>
        </w:rPr>
        <w:t xml:space="preserve">• </w:t>
      </w:r>
      <w:r>
        <w:t>After pilot annotation, calculate the realistic annotation budget and PEFT learning-curve sizes.</w:t>
      </w:r>
    </w:p>
    <w:p>
      <w:pPr>
        <w:pStyle w:val="Heading1"/>
      </w:pPr>
      <w:r>
        <w:t>26. Final Definition of a Completed Paper</w:t>
      </w:r>
    </w:p>
    <w:p>
      <w:r>
        <w:t>Paper 1 is complete when a clinician-adjudicated, patient-level held-out test set has been evaluated with traditional NLP, zero-shot, few-shot, schema-constrained, evidence-grounded and PEFT-adapted Med42 systems; the contribution of each component is quantified with uncertainty; unsupported claims and evidence quality are explicitly measured; annotation reliability and learning curves are reported; errors are clinically reviewed; the full pipeline is versioned and reproducible; and the manuscript's claims are limited to evidence-grounded epilepsy phenotype extraction for research use.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pPr>
      <w:spacing w:after="40"/>
    </w:pPr>
    <w:rPr>
      <w:rFonts w:ascii="Aptos" w:hAnsi="Apto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