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7365D"/>
          <w:sz w:val="68"/>
        </w:rPr>
        <w:t>MedAI</w:t>
      </w:r>
    </w:p>
    <w:p>
      <w:pPr>
        <w:jc w:val="center"/>
      </w:pPr>
      <w:r>
        <w:rPr>
          <w:b/>
          <w:color w:val="2F5597"/>
          <w:sz w:val="42"/>
        </w:rPr>
        <w:t>Phase 1 — Authoritative Evidence Base &amp; Source Freeze</w:t>
      </w:r>
    </w:p>
    <w:p>
      <w:pPr>
        <w:jc w:val="center"/>
      </w:pPr>
      <w:r>
        <w:rPr>
          <w:sz w:val="22"/>
        </w:rPr>
        <w:t>Version 1.0 • 25 September 2026</w:t>
        <w:br/>
        <w:t>Evidence registry for the epilepsy semantic schema, rule engine, annotation manual and synthetic-data generator</w:t>
      </w:r>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rPr>
              <w:t>Purpose</w:t>
              <w:br/>
            </w:r>
            <w:r>
              <w:t>Freeze the authoritative source families before semantic definitions or synthetic clinical data are generated. This document records what each source is allowed to support, what has been verified, and what remains unresolved. It does not invent missing identifiers, mappings, clinical criteria, or licensing permissions.</w:t>
            </w:r>
          </w:p>
        </w:tc>
      </w:tr>
    </w:tbl>
    <w:p/>
    <w:p>
      <w:r>
        <w:br w:type="page"/>
      </w:r>
    </w:p>
    <w:p>
      <w:pPr>
        <w:pStyle w:val="Heading1"/>
      </w:pPr>
      <w:r>
        <w:t>1. Phase 1 completion criteria</w:t>
      </w:r>
    </w:p>
    <w:p>
      <w:pPr>
        <w:pStyle w:val="ListBullet"/>
      </w:pPr>
      <w:r>
        <w:t>Every source family needed by the current MedAI v1.1 specification has an authoritative citation and stable source URL.</w:t>
      </w:r>
    </w:p>
    <w:p>
      <w:pPr>
        <w:pStyle w:val="ListBullet"/>
      </w:pPr>
      <w:r>
        <w:t>Each source has a defined role: clinical semantics, research CDEs, ontology relationships, terminology normalization, EEG reporting, pathology, interoperability, or annotation precedent.</w:t>
      </w:r>
    </w:p>
    <w:p>
      <w:pPr>
        <w:pStyle w:val="ListBullet"/>
      </w:pPr>
      <w:r>
        <w:t>Version-sensitive resources are marked for exact release freeze before machine-readable mappings are produced.</w:t>
      </w:r>
    </w:p>
    <w:p>
      <w:pPr>
        <w:pStyle w:val="ListBullet"/>
      </w:pPr>
      <w:r>
        <w:t>Licensing/redistribution questions are recorded rather than assumed.</w:t>
      </w:r>
    </w:p>
    <w:p>
      <w:pPr>
        <w:pStyle w:val="ListBullet"/>
      </w:pPr>
      <w:r>
        <w:t>Items requiring artifact-level extraction (EpSO classes, NINDS CDE IDs, RxNorm RXCUIs, SNOMED/RadLex IDs, SCORE subset) remain explicitly pending.</w:t>
      </w:r>
    </w:p>
    <w:p>
      <w:pPr>
        <w:pStyle w:val="ListBullet"/>
      </w:pPr>
      <w:r>
        <w:t>No synthetic patient or clinical note should be generated from an unresolved external identifier.</w:t>
      </w:r>
    </w:p>
    <w:p>
      <w:pPr>
        <w:pStyle w:val="Heading1"/>
      </w:pPr>
      <w:r>
        <w:t>2. Evidence hierarchy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4"/>
              </w:rPr>
              <w:t>Class</w:t>
            </w:r>
          </w:p>
        </w:tc>
        <w:tc>
          <w:tcPr>
            <w:tcW w:type="dxa" w:w="3389"/>
            <w:shd w:fill="D9EAF7"/>
          </w:tcPr>
          <w:p>
            <w:r>
              <w:rPr>
                <w:b/>
                <w:sz w:val="14"/>
              </w:rPr>
              <w:t>Meaning</w:t>
            </w:r>
          </w:p>
        </w:tc>
        <w:tc>
          <w:tcPr>
            <w:tcW w:type="dxa" w:w="3389"/>
            <w:shd w:fill="D9EAF7"/>
          </w:tcPr>
          <w:p>
            <w:r>
              <w:rPr>
                <w:b/>
                <w:sz w:val="14"/>
              </w:rPr>
              <w:t>Examples</w:t>
            </w:r>
          </w:p>
        </w:tc>
      </w:tr>
      <w:tr>
        <w:tc>
          <w:tcPr>
            <w:tcW w:type="dxa" w:w="3389"/>
            <w:vAlign w:val="top"/>
          </w:tcPr>
          <w:p>
            <w:pPr>
              <w:spacing w:after="0"/>
            </w:pPr>
            <w:r>
              <w:rPr>
                <w:sz w:val="15"/>
              </w:rPr>
              <w:t>STANDARD</w:t>
            </w:r>
          </w:p>
        </w:tc>
        <w:tc>
          <w:tcPr>
            <w:tcW w:type="dxa" w:w="3389"/>
            <w:vAlign w:val="top"/>
          </w:tcPr>
          <w:p>
            <w:pPr>
              <w:spacing w:after="0"/>
            </w:pPr>
            <w:r>
              <w:rPr>
                <w:sz w:val="15"/>
              </w:rPr>
              <w:t>Authoritative clinical/research standard or consensus.</w:t>
            </w:r>
          </w:p>
        </w:tc>
        <w:tc>
          <w:tcPr>
            <w:tcW w:type="dxa" w:w="3389"/>
            <w:vAlign w:val="top"/>
          </w:tcPr>
          <w:p>
            <w:pPr>
              <w:spacing w:after="0"/>
            </w:pPr>
            <w:r>
              <w:rPr>
                <w:sz w:val="15"/>
              </w:rPr>
              <w:t>ILAE classifications; NINDS CDE; SCORE/ACNS.</w:t>
            </w:r>
          </w:p>
        </w:tc>
      </w:tr>
      <w:tr>
        <w:tc>
          <w:tcPr>
            <w:tcW w:type="dxa" w:w="3389"/>
            <w:vAlign w:val="top"/>
          </w:tcPr>
          <w:p>
            <w:pPr>
              <w:spacing w:after="0"/>
            </w:pPr>
            <w:r>
              <w:rPr>
                <w:sz w:val="15"/>
              </w:rPr>
              <w:t>ONTOLOGY/TERMINOLOGY</w:t>
            </w:r>
          </w:p>
        </w:tc>
        <w:tc>
          <w:tcPr>
            <w:tcW w:type="dxa" w:w="3389"/>
            <w:vAlign w:val="top"/>
          </w:tcPr>
          <w:p>
            <w:pPr>
              <w:spacing w:after="0"/>
            </w:pPr>
            <w:r>
              <w:rPr>
                <w:sz w:val="15"/>
              </w:rPr>
              <w:t>Machine-readable concept system or normalized vocabulary.</w:t>
            </w:r>
          </w:p>
        </w:tc>
        <w:tc>
          <w:tcPr>
            <w:tcW w:type="dxa" w:w="3389"/>
            <w:vAlign w:val="top"/>
          </w:tcPr>
          <w:p>
            <w:pPr>
              <w:spacing w:after="0"/>
            </w:pPr>
            <w:r>
              <w:rPr>
                <w:sz w:val="15"/>
              </w:rPr>
              <w:t>EpSO; RxNorm; SNOMED CT; RadLex.</w:t>
            </w:r>
          </w:p>
        </w:tc>
      </w:tr>
      <w:tr>
        <w:tc>
          <w:tcPr>
            <w:tcW w:type="dxa" w:w="3389"/>
            <w:vAlign w:val="top"/>
          </w:tcPr>
          <w:p>
            <w:pPr>
              <w:spacing w:after="0"/>
            </w:pPr>
            <w:r>
              <w:rPr>
                <w:sz w:val="15"/>
              </w:rPr>
              <w:t>PUBLISHED METHOD</w:t>
            </w:r>
          </w:p>
        </w:tc>
        <w:tc>
          <w:tcPr>
            <w:tcW w:type="dxa" w:w="3389"/>
            <w:vAlign w:val="top"/>
          </w:tcPr>
          <w:p>
            <w:pPr>
              <w:spacing w:after="0"/>
            </w:pPr>
            <w:r>
              <w:rPr>
                <w:sz w:val="15"/>
              </w:rPr>
              <w:t>Peer-reviewed precedent for annotation/generation/validation.</w:t>
            </w:r>
          </w:p>
        </w:tc>
        <w:tc>
          <w:tcPr>
            <w:tcW w:type="dxa" w:w="3389"/>
            <w:vAlign w:val="top"/>
          </w:tcPr>
          <w:p>
            <w:pPr>
              <w:spacing w:after="0"/>
            </w:pPr>
            <w:r>
              <w:rPr>
                <w:sz w:val="15"/>
              </w:rPr>
              <w:t>Fonferko-Shadrach et al. 2024.</w:t>
            </w:r>
          </w:p>
        </w:tc>
      </w:tr>
      <w:tr>
        <w:tc>
          <w:tcPr>
            <w:tcW w:type="dxa" w:w="3389"/>
            <w:vAlign w:val="top"/>
          </w:tcPr>
          <w:p>
            <w:pPr>
              <w:spacing w:after="0"/>
            </w:pPr>
            <w:r>
              <w:rPr>
                <w:sz w:val="15"/>
              </w:rPr>
              <w:t>MEDAI-PROPOSED</w:t>
            </w:r>
          </w:p>
        </w:tc>
        <w:tc>
          <w:tcPr>
            <w:tcW w:type="dxa" w:w="3389"/>
            <w:vAlign w:val="top"/>
          </w:tcPr>
          <w:p>
            <w:pPr>
              <w:spacing w:after="0"/>
            </w:pPr>
            <w:r>
              <w:rPr>
                <w:sz w:val="15"/>
              </w:rPr>
              <w:t>Project operationalization, schema or benchmark choice.</w:t>
            </w:r>
          </w:p>
        </w:tc>
        <w:tc>
          <w:tcPr>
            <w:tcW w:type="dxa" w:w="3389"/>
            <w:vAlign w:val="top"/>
          </w:tcPr>
          <w:p>
            <w:pPr>
              <w:spacing w:after="0"/>
            </w:pPr>
            <w:r>
              <w:rPr>
                <w:sz w:val="15"/>
              </w:rPr>
              <w:t>Tri-state representations, visibility rules, benchmark weights.</w:t>
            </w:r>
          </w:p>
        </w:tc>
      </w:tr>
    </w:tbl>
    <w:p/>
    <w:p>
      <w:pPr>
        <w:pStyle w:val="Heading1"/>
      </w:pPr>
      <w:r>
        <w:t>3. Frozen source registry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sz w:val="14"/>
              </w:rPr>
              <w:t>ID</w:t>
            </w:r>
          </w:p>
        </w:tc>
        <w:tc>
          <w:tcPr>
            <w:tcW w:type="dxa" w:w="2541"/>
            <w:shd w:fill="D9EAF7"/>
          </w:tcPr>
          <w:p>
            <w:r>
              <w:rPr>
                <w:b/>
                <w:sz w:val="14"/>
              </w:rPr>
              <w:t>Domain / source</w:t>
            </w:r>
          </w:p>
        </w:tc>
        <w:tc>
          <w:tcPr>
            <w:tcW w:type="dxa" w:w="2541"/>
            <w:shd w:fill="D9EAF7"/>
          </w:tcPr>
          <w:p>
            <w:r>
              <w:rPr>
                <w:b/>
                <w:sz w:val="14"/>
              </w:rPr>
              <w:t>Version/status</w:t>
            </w:r>
          </w:p>
        </w:tc>
        <w:tc>
          <w:tcPr>
            <w:tcW w:type="dxa" w:w="2541"/>
            <w:shd w:fill="D9EAF7"/>
          </w:tcPr>
          <w:p>
            <w:r>
              <w:rPr>
                <w:b/>
                <w:sz w:val="14"/>
              </w:rPr>
              <w:t>MedAI use</w:t>
            </w:r>
          </w:p>
        </w:tc>
      </w:tr>
      <w:tr>
        <w:tc>
          <w:tcPr>
            <w:tcW w:type="dxa" w:w="2541"/>
            <w:vAlign w:val="top"/>
          </w:tcPr>
          <w:p>
            <w:pPr>
              <w:spacing w:after="0"/>
            </w:pPr>
            <w:r>
              <w:rPr>
                <w:sz w:val="13"/>
              </w:rPr>
              <w:t>S01</w:t>
            </w:r>
          </w:p>
        </w:tc>
        <w:tc>
          <w:tcPr>
            <w:tcW w:type="dxa" w:w="2541"/>
            <w:vAlign w:val="top"/>
          </w:tcPr>
          <w:p>
            <w:pPr>
              <w:spacing w:after="0"/>
            </w:pPr>
            <w:r>
              <w:rPr>
                <w:sz w:val="13"/>
              </w:rPr>
              <w:t>Seizure classification</w:t>
              <w:br/>
              <w:t>Updated classification of epileptic seizures: Position paper of the International League Against Epilepsy</w:t>
            </w:r>
          </w:p>
        </w:tc>
        <w:tc>
          <w:tcPr>
            <w:tcW w:type="dxa" w:w="2541"/>
            <w:vAlign w:val="top"/>
          </w:tcPr>
          <w:p>
            <w:pPr>
              <w:spacing w:after="0"/>
            </w:pPr>
            <w:r>
              <w:rPr>
                <w:sz w:val="13"/>
              </w:rPr>
              <w:t>2025 revision</w:t>
              <w:br/>
              <w:t>VERIFIED</w:t>
            </w:r>
          </w:p>
        </w:tc>
        <w:tc>
          <w:tcPr>
            <w:tcW w:type="dxa" w:w="2541"/>
            <w:vAlign w:val="top"/>
          </w:tcPr>
          <w:p>
            <w:pPr>
              <w:spacing w:after="0"/>
            </w:pPr>
            <w:r>
              <w:rPr>
                <w:sz w:val="13"/>
              </w:rPr>
              <w:t>Normative seizure main classes, seizure types, classifiers/descriptors, consciousness framework and 2017→2025 migration.</w:t>
            </w:r>
          </w:p>
        </w:tc>
      </w:tr>
      <w:tr>
        <w:tc>
          <w:tcPr>
            <w:tcW w:type="dxa" w:w="2541"/>
            <w:vAlign w:val="top"/>
          </w:tcPr>
          <w:p>
            <w:pPr>
              <w:spacing w:after="0"/>
            </w:pPr>
            <w:r>
              <w:rPr>
                <w:sz w:val="13"/>
              </w:rPr>
              <w:t>S02</w:t>
            </w:r>
          </w:p>
        </w:tc>
        <w:tc>
          <w:tcPr>
            <w:tcW w:type="dxa" w:w="2541"/>
            <w:vAlign w:val="top"/>
          </w:tcPr>
          <w:p>
            <w:pPr>
              <w:spacing w:after="0"/>
            </w:pPr>
            <w:r>
              <w:rPr>
                <w:sz w:val="13"/>
              </w:rPr>
              <w:t>Epilepsy definition</w:t>
              <w:br/>
              <w:t>A practical clinical definition of epilepsy</w:t>
            </w:r>
          </w:p>
        </w:tc>
        <w:tc>
          <w:tcPr>
            <w:tcW w:type="dxa" w:w="2541"/>
            <w:vAlign w:val="top"/>
          </w:tcPr>
          <w:p>
            <w:pPr>
              <w:spacing w:after="0"/>
            </w:pPr>
            <w:r>
              <w:rPr>
                <w:sz w:val="13"/>
              </w:rPr>
              <w:t>2014 official report</w:t>
              <w:br/>
              <w:t>VERIFIED</w:t>
            </w:r>
          </w:p>
        </w:tc>
        <w:tc>
          <w:tcPr>
            <w:tcW w:type="dxa" w:w="2541"/>
            <w:vAlign w:val="top"/>
          </w:tcPr>
          <w:p>
            <w:pPr>
              <w:spacing w:after="0"/>
            </w:pPr>
            <w:r>
              <w:rPr>
                <w:sz w:val="13"/>
              </w:rPr>
              <w:t>Definition of epilepsy and resolved epilepsy; patient-level epilepsy-status semantics.</w:t>
            </w:r>
          </w:p>
        </w:tc>
      </w:tr>
      <w:tr>
        <w:tc>
          <w:tcPr>
            <w:tcW w:type="dxa" w:w="2541"/>
            <w:vAlign w:val="top"/>
          </w:tcPr>
          <w:p>
            <w:pPr>
              <w:spacing w:after="0"/>
            </w:pPr>
            <w:r>
              <w:rPr>
                <w:sz w:val="13"/>
              </w:rPr>
              <w:t>S03</w:t>
            </w:r>
          </w:p>
        </w:tc>
        <w:tc>
          <w:tcPr>
            <w:tcW w:type="dxa" w:w="2541"/>
            <w:vAlign w:val="top"/>
          </w:tcPr>
          <w:p>
            <w:pPr>
              <w:spacing w:after="0"/>
            </w:pPr>
            <w:r>
              <w:rPr>
                <w:sz w:val="13"/>
              </w:rPr>
              <w:t>Epilepsy classification</w:t>
              <w:br/>
              <w:t>ILAE Classification of the Epilepsies</w:t>
            </w:r>
          </w:p>
        </w:tc>
        <w:tc>
          <w:tcPr>
            <w:tcW w:type="dxa" w:w="2541"/>
            <w:vAlign w:val="top"/>
          </w:tcPr>
          <w:p>
            <w:pPr>
              <w:spacing w:after="0"/>
            </w:pPr>
            <w:r>
              <w:rPr>
                <w:sz w:val="13"/>
              </w:rPr>
              <w:t>2017 classification</w:t>
              <w:br/>
              <w:t>VERIFIED</w:t>
            </w:r>
          </w:p>
        </w:tc>
        <w:tc>
          <w:tcPr>
            <w:tcW w:type="dxa" w:w="2541"/>
            <w:vAlign w:val="top"/>
          </w:tcPr>
          <w:p>
            <w:pPr>
              <w:spacing w:after="0"/>
            </w:pPr>
            <w:r>
              <w:rPr>
                <w:sz w:val="13"/>
              </w:rPr>
              <w:t>Epilepsy type, syndrome level and etiologic categories; kept distinct from seizure classification.</w:t>
            </w:r>
          </w:p>
        </w:tc>
      </w:tr>
      <w:tr>
        <w:tc>
          <w:tcPr>
            <w:tcW w:type="dxa" w:w="2541"/>
            <w:vAlign w:val="top"/>
          </w:tcPr>
          <w:p>
            <w:pPr>
              <w:spacing w:after="0"/>
            </w:pPr>
            <w:r>
              <w:rPr>
                <w:sz w:val="13"/>
              </w:rPr>
              <w:t>S04</w:t>
            </w:r>
          </w:p>
        </w:tc>
        <w:tc>
          <w:tcPr>
            <w:tcW w:type="dxa" w:w="2541"/>
            <w:vAlign w:val="top"/>
          </w:tcPr>
          <w:p>
            <w:pPr>
              <w:spacing w:after="0"/>
            </w:pPr>
            <w:r>
              <w:rPr>
                <w:sz w:val="13"/>
              </w:rPr>
              <w:t>Epilepsy syndromes</w:t>
              <w:br/>
              <w:t>ILAE Classification and Definition of Epilepsy Syndromes</w:t>
            </w:r>
          </w:p>
        </w:tc>
        <w:tc>
          <w:tcPr>
            <w:tcW w:type="dxa" w:w="2541"/>
            <w:vAlign w:val="top"/>
          </w:tcPr>
          <w:p>
            <w:pPr>
              <w:spacing w:after="0"/>
            </w:pPr>
            <w:r>
              <w:rPr>
                <w:sz w:val="13"/>
              </w:rPr>
              <w:t>2022 syndrome series</w:t>
              <w:br/>
              <w:t>VERIFIED</w:t>
            </w:r>
          </w:p>
        </w:tc>
        <w:tc>
          <w:tcPr>
            <w:tcW w:type="dxa" w:w="2541"/>
            <w:vAlign w:val="top"/>
          </w:tcPr>
          <w:p>
            <w:pPr>
              <w:spacing w:after="0"/>
            </w:pPr>
            <w:r>
              <w:rPr>
                <w:sz w:val="13"/>
              </w:rPr>
              <w:t>Canonical syndrome names/definitions only after exact syndrome paper is linked in the semantic dictionary.</w:t>
            </w:r>
          </w:p>
        </w:tc>
      </w:tr>
      <w:tr>
        <w:tc>
          <w:tcPr>
            <w:tcW w:type="dxa" w:w="2541"/>
            <w:vAlign w:val="top"/>
          </w:tcPr>
          <w:p>
            <w:pPr>
              <w:spacing w:after="0"/>
            </w:pPr>
            <w:r>
              <w:rPr>
                <w:sz w:val="13"/>
              </w:rPr>
              <w:t>S05</w:t>
            </w:r>
          </w:p>
        </w:tc>
        <w:tc>
          <w:tcPr>
            <w:tcW w:type="dxa" w:w="2541"/>
            <w:vAlign w:val="top"/>
          </w:tcPr>
          <w:p>
            <w:pPr>
              <w:spacing w:after="0"/>
            </w:pPr>
            <w:r>
              <w:rPr>
                <w:sz w:val="13"/>
              </w:rPr>
              <w:t>Research data elements</w:t>
              <w:br/>
              <w:t>NINDS Epilepsy Common Data Elements</w:t>
            </w:r>
          </w:p>
        </w:tc>
        <w:tc>
          <w:tcPr>
            <w:tcW w:type="dxa" w:w="2541"/>
            <w:vAlign w:val="top"/>
          </w:tcPr>
          <w:p>
            <w:pPr>
              <w:spacing w:after="0"/>
            </w:pPr>
            <w:r>
              <w:rPr>
                <w:sz w:val="13"/>
              </w:rPr>
              <w:t>Dynamic/current site; revision history must be frozen at extraction</w:t>
              <w:br/>
              <w:t>VERIFIED-METADATA; EXACT CDE EXTRACTION PENDING</w:t>
            </w:r>
          </w:p>
        </w:tc>
        <w:tc>
          <w:tcPr>
            <w:tcW w:type="dxa" w:w="2541"/>
            <w:vAlign w:val="top"/>
          </w:tcPr>
          <w:p>
            <w:pPr>
              <w:spacing w:after="0"/>
            </w:pPr>
            <w:r>
              <w:rPr>
                <w:sz w:val="13"/>
              </w:rPr>
              <w:t>Research-variable traceability, CDE names/IDs/classifications/response sets and CRF guidance.</w:t>
            </w:r>
          </w:p>
        </w:tc>
      </w:tr>
      <w:tr>
        <w:tc>
          <w:tcPr>
            <w:tcW w:type="dxa" w:w="2541"/>
            <w:vAlign w:val="top"/>
          </w:tcPr>
          <w:p>
            <w:pPr>
              <w:spacing w:after="0"/>
            </w:pPr>
            <w:r>
              <w:rPr>
                <w:sz w:val="13"/>
              </w:rPr>
              <w:t>S06</w:t>
            </w:r>
          </w:p>
        </w:tc>
        <w:tc>
          <w:tcPr>
            <w:tcW w:type="dxa" w:w="2541"/>
            <w:vAlign w:val="top"/>
          </w:tcPr>
          <w:p>
            <w:pPr>
              <w:spacing w:after="0"/>
            </w:pPr>
            <w:r>
              <w:rPr>
                <w:sz w:val="13"/>
              </w:rPr>
              <w:t>Epilepsy ontology</w:t>
              <w:br/>
              <w:t>Epilepsy and Seizure Ontology (EpSO)</w:t>
            </w:r>
          </w:p>
        </w:tc>
        <w:tc>
          <w:tcPr>
            <w:tcW w:type="dxa" w:w="2541"/>
            <w:vAlign w:val="top"/>
          </w:tcPr>
          <w:p>
            <w:pPr>
              <w:spacing w:after="0"/>
            </w:pPr>
            <w:r>
              <w:rPr>
                <w:sz w:val="13"/>
              </w:rPr>
              <w:t>3.1, released/uploaded 2025-05-29</w:t>
              <w:br/>
              <w:t>VERIFIED RELEASE; CLASS/PREDICATE EXTRACTION PENDING</w:t>
            </w:r>
          </w:p>
        </w:tc>
        <w:tc>
          <w:tcPr>
            <w:tcW w:type="dxa" w:w="2541"/>
            <w:vAlign w:val="top"/>
          </w:tcPr>
          <w:p>
            <w:pPr>
              <w:spacing w:after="0"/>
            </w:pPr>
            <w:r>
              <w:rPr>
                <w:sz w:val="13"/>
              </w:rPr>
              <w:t>Ontology classes/relationships for epilepsy, seizure, etiology, EEG, medication, neuropathology and anatomy. Exact IDs/predicates must come from v3.1 artifact.</w:t>
            </w:r>
          </w:p>
        </w:tc>
      </w:tr>
      <w:tr>
        <w:tc>
          <w:tcPr>
            <w:tcW w:type="dxa" w:w="2541"/>
            <w:vAlign w:val="top"/>
          </w:tcPr>
          <w:p>
            <w:pPr>
              <w:spacing w:after="0"/>
            </w:pPr>
            <w:r>
              <w:rPr>
                <w:sz w:val="13"/>
              </w:rPr>
              <w:t>S07</w:t>
            </w:r>
          </w:p>
        </w:tc>
        <w:tc>
          <w:tcPr>
            <w:tcW w:type="dxa" w:w="2541"/>
            <w:vAlign w:val="top"/>
          </w:tcPr>
          <w:p>
            <w:pPr>
              <w:spacing w:after="0"/>
            </w:pPr>
            <w:r>
              <w:rPr>
                <w:sz w:val="13"/>
              </w:rPr>
              <w:t>Drug resistance</w:t>
              <w:br/>
              <w:t>Definition of drug resistant epilepsy</w:t>
            </w:r>
          </w:p>
        </w:tc>
        <w:tc>
          <w:tcPr>
            <w:tcW w:type="dxa" w:w="2541"/>
            <w:vAlign w:val="top"/>
          </w:tcPr>
          <w:p>
            <w:pPr>
              <w:spacing w:after="0"/>
            </w:pPr>
            <w:r>
              <w:rPr>
                <w:sz w:val="13"/>
              </w:rPr>
              <w:t>Consensus definition</w:t>
              <w:br/>
              <w:t>VERIFIED</w:t>
            </w:r>
          </w:p>
        </w:tc>
        <w:tc>
          <w:tcPr>
            <w:tcW w:type="dxa" w:w="2541"/>
            <w:vAlign w:val="top"/>
          </w:tcPr>
          <w:p>
            <w:pPr>
              <w:spacing w:after="0"/>
            </w:pPr>
            <w:r>
              <w:rPr>
                <w:sz w:val="13"/>
              </w:rPr>
              <w:t>DRE rule and medication-trial evidence requirements; supports yes/no/indeterminate MedAI operationalization.</w:t>
            </w:r>
          </w:p>
        </w:tc>
      </w:tr>
      <w:tr>
        <w:tc>
          <w:tcPr>
            <w:tcW w:type="dxa" w:w="2541"/>
            <w:vAlign w:val="top"/>
          </w:tcPr>
          <w:p>
            <w:pPr>
              <w:spacing w:after="0"/>
            </w:pPr>
            <w:r>
              <w:rPr>
                <w:sz w:val="13"/>
              </w:rPr>
              <w:t>S08</w:t>
            </w:r>
          </w:p>
        </w:tc>
        <w:tc>
          <w:tcPr>
            <w:tcW w:type="dxa" w:w="2541"/>
            <w:vAlign w:val="top"/>
          </w:tcPr>
          <w:p>
            <w:pPr>
              <w:spacing w:after="0"/>
            </w:pPr>
            <w:r>
              <w:rPr>
                <w:sz w:val="13"/>
              </w:rPr>
              <w:t>EEG reporting</w:t>
              <w:br/>
              <w:t>Standardized computer-based organized reporting of EEG: SCORE — Second version</w:t>
            </w:r>
          </w:p>
        </w:tc>
        <w:tc>
          <w:tcPr>
            <w:tcW w:type="dxa" w:w="2541"/>
            <w:vAlign w:val="top"/>
          </w:tcPr>
          <w:p>
            <w:pPr>
              <w:spacing w:after="0"/>
            </w:pPr>
            <w:r>
              <w:rPr>
                <w:sz w:val="13"/>
              </w:rPr>
              <w:t>SCORE second version</w:t>
              <w:br/>
              <w:t>VERIFIED PUBLICATION; IMPLEMENTATION SUBSET PENDING</w:t>
            </w:r>
          </w:p>
        </w:tc>
        <w:tc>
          <w:tcPr>
            <w:tcW w:type="dxa" w:w="2541"/>
            <w:vAlign w:val="top"/>
          </w:tcPr>
          <w:p>
            <w:pPr>
              <w:spacing w:after="0"/>
            </w:pPr>
            <w:r>
              <w:rPr>
                <w:sz w:val="13"/>
              </w:rPr>
              <w:t>General structured EEG reporting terminology and organization; exact subset to be frozen for MedAI.</w:t>
            </w:r>
          </w:p>
        </w:tc>
      </w:tr>
      <w:tr>
        <w:tc>
          <w:tcPr>
            <w:tcW w:type="dxa" w:w="2541"/>
            <w:vAlign w:val="top"/>
          </w:tcPr>
          <w:p>
            <w:pPr>
              <w:spacing w:after="0"/>
            </w:pPr>
            <w:r>
              <w:rPr>
                <w:sz w:val="13"/>
              </w:rPr>
              <w:t>S09</w:t>
            </w:r>
          </w:p>
        </w:tc>
        <w:tc>
          <w:tcPr>
            <w:tcW w:type="dxa" w:w="2541"/>
            <w:vAlign w:val="top"/>
          </w:tcPr>
          <w:p>
            <w:pPr>
              <w:spacing w:after="0"/>
            </w:pPr>
            <w:r>
              <w:rPr>
                <w:sz w:val="13"/>
              </w:rPr>
              <w:t>Critical-care EEG</w:t>
              <w:br/>
              <w:t>ACNS Standardized Critical Care EEG Terminology: 2021 Version</w:t>
            </w:r>
          </w:p>
        </w:tc>
        <w:tc>
          <w:tcPr>
            <w:tcW w:type="dxa" w:w="2541"/>
            <w:vAlign w:val="top"/>
          </w:tcPr>
          <w:p>
            <w:pPr>
              <w:spacing w:after="0"/>
            </w:pPr>
            <w:r>
              <w:rPr>
                <w:sz w:val="13"/>
              </w:rPr>
              <w:t>2021</w:t>
              <w:br/>
              <w:t>VERIFIED</w:t>
            </w:r>
          </w:p>
        </w:tc>
        <w:tc>
          <w:tcPr>
            <w:tcW w:type="dxa" w:w="2541"/>
            <w:vAlign w:val="top"/>
          </w:tcPr>
          <w:p>
            <w:pPr>
              <w:spacing w:after="0"/>
            </w:pPr>
            <w:r>
              <w:rPr>
                <w:sz w:val="13"/>
              </w:rPr>
              <w:t>Critical-care EEG terminology only when document/scenario is in scope; not sole vocabulary for outpatient/EMU EEG.</w:t>
            </w:r>
          </w:p>
        </w:tc>
      </w:tr>
      <w:tr>
        <w:tc>
          <w:tcPr>
            <w:tcW w:type="dxa" w:w="2541"/>
            <w:vAlign w:val="top"/>
          </w:tcPr>
          <w:p>
            <w:pPr>
              <w:spacing w:after="0"/>
            </w:pPr>
            <w:r>
              <w:rPr>
                <w:sz w:val="13"/>
              </w:rPr>
              <w:t>S10</w:t>
            </w:r>
          </w:p>
        </w:tc>
        <w:tc>
          <w:tcPr>
            <w:tcW w:type="dxa" w:w="2541"/>
            <w:vAlign w:val="top"/>
          </w:tcPr>
          <w:p>
            <w:pPr>
              <w:spacing w:after="0"/>
            </w:pPr>
            <w:r>
              <w:rPr>
                <w:sz w:val="13"/>
              </w:rPr>
              <w:t>Hippocampal sclerosis pathology</w:t>
              <w:br/>
              <w:t>International consensus classification of hippocampal sclerosis in temporal lobe epilepsy</w:t>
            </w:r>
          </w:p>
        </w:tc>
        <w:tc>
          <w:tcPr>
            <w:tcW w:type="dxa" w:w="2541"/>
            <w:vAlign w:val="top"/>
          </w:tcPr>
          <w:p>
            <w:pPr>
              <w:spacing w:after="0"/>
            </w:pPr>
            <w:r>
              <w:rPr>
                <w:sz w:val="13"/>
              </w:rPr>
              <w:t>ILAE pathology consensus</w:t>
              <w:br/>
              <w:t>VERIFIED</w:t>
            </w:r>
          </w:p>
        </w:tc>
        <w:tc>
          <w:tcPr>
            <w:tcW w:type="dxa" w:w="2541"/>
            <w:vAlign w:val="top"/>
          </w:tcPr>
          <w:p>
            <w:pPr>
              <w:spacing w:after="0"/>
            </w:pPr>
            <w:r>
              <w:rPr>
                <w:sz w:val="13"/>
              </w:rPr>
              <w:t>Neuropathologic HS classification. Do not assign pathology subtype from MRI-only text.</w:t>
            </w:r>
          </w:p>
        </w:tc>
      </w:tr>
      <w:tr>
        <w:tc>
          <w:tcPr>
            <w:tcW w:type="dxa" w:w="2541"/>
            <w:vAlign w:val="top"/>
          </w:tcPr>
          <w:p>
            <w:pPr>
              <w:spacing w:after="0"/>
            </w:pPr>
            <w:r>
              <w:rPr>
                <w:sz w:val="13"/>
              </w:rPr>
              <w:t>S11</w:t>
            </w:r>
          </w:p>
        </w:tc>
        <w:tc>
          <w:tcPr>
            <w:tcW w:type="dxa" w:w="2541"/>
            <w:vAlign w:val="top"/>
          </w:tcPr>
          <w:p>
            <w:pPr>
              <w:spacing w:after="0"/>
            </w:pPr>
            <w:r>
              <w:rPr>
                <w:sz w:val="13"/>
              </w:rPr>
              <w:t>Focal cortical dysplasia pathology</w:t>
              <w:br/>
              <w:t>ILAE consensus classification of focal cortical dysplasia: update</w:t>
            </w:r>
          </w:p>
        </w:tc>
        <w:tc>
          <w:tcPr>
            <w:tcW w:type="dxa" w:w="2541"/>
            <w:vAlign w:val="top"/>
          </w:tcPr>
          <w:p>
            <w:pPr>
              <w:spacing w:after="0"/>
            </w:pPr>
            <w:r>
              <w:rPr>
                <w:sz w:val="13"/>
              </w:rPr>
              <w:t>2022 update</w:t>
              <w:br/>
              <w:t>VERIFIED</w:t>
            </w:r>
          </w:p>
        </w:tc>
        <w:tc>
          <w:tcPr>
            <w:tcW w:type="dxa" w:w="2541"/>
            <w:vAlign w:val="top"/>
          </w:tcPr>
          <w:p>
            <w:pPr>
              <w:spacing w:after="0"/>
            </w:pPr>
            <w:r>
              <w:rPr>
                <w:sz w:val="13"/>
              </w:rPr>
              <w:t>FCD pathology classification; imaging suspicion remains distinct from pathology subtype.</w:t>
            </w:r>
          </w:p>
        </w:tc>
      </w:tr>
      <w:tr>
        <w:tc>
          <w:tcPr>
            <w:tcW w:type="dxa" w:w="2541"/>
            <w:vAlign w:val="top"/>
          </w:tcPr>
          <w:p>
            <w:pPr>
              <w:spacing w:after="0"/>
            </w:pPr>
            <w:r>
              <w:rPr>
                <w:sz w:val="13"/>
              </w:rPr>
              <w:t>S12</w:t>
            </w:r>
          </w:p>
        </w:tc>
        <w:tc>
          <w:tcPr>
            <w:tcW w:type="dxa" w:w="2541"/>
            <w:vAlign w:val="top"/>
          </w:tcPr>
          <w:p>
            <w:pPr>
              <w:spacing w:after="0"/>
            </w:pPr>
            <w:r>
              <w:rPr>
                <w:sz w:val="13"/>
              </w:rPr>
              <w:t>Medication normalization</w:t>
              <w:br/>
              <w:t>RxNorm</w:t>
            </w:r>
          </w:p>
        </w:tc>
        <w:tc>
          <w:tcPr>
            <w:tcW w:type="dxa" w:w="2541"/>
            <w:vAlign w:val="top"/>
          </w:tcPr>
          <w:p>
            <w:pPr>
              <w:spacing w:after="0"/>
            </w:pPr>
            <w:r>
              <w:rPr>
                <w:sz w:val="13"/>
              </w:rPr>
              <w:t>Release must be frozen at mapping time</w:t>
              <w:br/>
              <w:t>VERIFIED SYSTEM; RELEASE/RXCUIs PENDING</w:t>
            </w:r>
          </w:p>
        </w:tc>
        <w:tc>
          <w:tcPr>
            <w:tcW w:type="dxa" w:w="2541"/>
            <w:vAlign w:val="top"/>
          </w:tcPr>
          <w:p>
            <w:pPr>
              <w:spacing w:after="0"/>
            </w:pPr>
            <w:r>
              <w:rPr>
                <w:sz w:val="13"/>
              </w:rPr>
              <w:t>Normalize generic/brand medication concepts and verified RXCUIs; no guessed identifiers.</w:t>
            </w:r>
          </w:p>
        </w:tc>
      </w:tr>
      <w:tr>
        <w:tc>
          <w:tcPr>
            <w:tcW w:type="dxa" w:w="2541"/>
            <w:vAlign w:val="top"/>
          </w:tcPr>
          <w:p>
            <w:pPr>
              <w:spacing w:after="0"/>
            </w:pPr>
            <w:r>
              <w:rPr>
                <w:sz w:val="13"/>
              </w:rPr>
              <w:t>S13</w:t>
            </w:r>
          </w:p>
        </w:tc>
        <w:tc>
          <w:tcPr>
            <w:tcW w:type="dxa" w:w="2541"/>
            <w:vAlign w:val="top"/>
          </w:tcPr>
          <w:p>
            <w:pPr>
              <w:spacing w:after="0"/>
            </w:pPr>
            <w:r>
              <w:rPr>
                <w:sz w:val="13"/>
              </w:rPr>
              <w:t>Clinical terminology</w:t>
              <w:br/>
              <w:t>SNOMED CT</w:t>
            </w:r>
          </w:p>
        </w:tc>
        <w:tc>
          <w:tcPr>
            <w:tcW w:type="dxa" w:w="2541"/>
            <w:vAlign w:val="top"/>
          </w:tcPr>
          <w:p>
            <w:pPr>
              <w:spacing w:after="0"/>
            </w:pPr>
            <w:r>
              <w:rPr>
                <w:sz w:val="13"/>
              </w:rPr>
              <w:t>Exact edition/release must be frozen</w:t>
              <w:br/>
              <w:t>VERIFIED SYSTEM; LICENSE/EDITION/IDS PENDING</w:t>
            </w:r>
          </w:p>
        </w:tc>
        <w:tc>
          <w:tcPr>
            <w:tcW w:type="dxa" w:w="2541"/>
            <w:vAlign w:val="top"/>
          </w:tcPr>
          <w:p>
            <w:pPr>
              <w:spacing w:after="0"/>
            </w:pPr>
            <w:r>
              <w:rPr>
                <w:sz w:val="13"/>
              </w:rPr>
              <w:t>General clinical concept normalization where a verified mapping adds value.</w:t>
            </w:r>
          </w:p>
        </w:tc>
      </w:tr>
      <w:tr>
        <w:tc>
          <w:tcPr>
            <w:tcW w:type="dxa" w:w="2541"/>
            <w:vAlign w:val="top"/>
          </w:tcPr>
          <w:p>
            <w:pPr>
              <w:spacing w:after="0"/>
            </w:pPr>
            <w:r>
              <w:rPr>
                <w:sz w:val="13"/>
              </w:rPr>
              <w:t>S14</w:t>
            </w:r>
          </w:p>
        </w:tc>
        <w:tc>
          <w:tcPr>
            <w:tcW w:type="dxa" w:w="2541"/>
            <w:vAlign w:val="top"/>
          </w:tcPr>
          <w:p>
            <w:pPr>
              <w:spacing w:after="0"/>
            </w:pPr>
            <w:r>
              <w:rPr>
                <w:sz w:val="13"/>
              </w:rPr>
              <w:t>Radiology terminology</w:t>
              <w:br/>
              <w:t>RadLex Radiology Lexicon</w:t>
            </w:r>
          </w:p>
        </w:tc>
        <w:tc>
          <w:tcPr>
            <w:tcW w:type="dxa" w:w="2541"/>
            <w:vAlign w:val="top"/>
          </w:tcPr>
          <w:p>
            <w:pPr>
              <w:spacing w:after="0"/>
            </w:pPr>
            <w:r>
              <w:rPr>
                <w:sz w:val="13"/>
              </w:rPr>
              <w:t>Release must be frozen before mappings</w:t>
              <w:br/>
              <w:t>VERIFIED SYSTEM; RELEASE/IDS PENDING</w:t>
            </w:r>
          </w:p>
        </w:tc>
        <w:tc>
          <w:tcPr>
            <w:tcW w:type="dxa" w:w="2541"/>
            <w:vAlign w:val="top"/>
          </w:tcPr>
          <w:p>
            <w:pPr>
              <w:spacing w:after="0"/>
            </w:pPr>
            <w:r>
              <w:rPr>
                <w:sz w:val="13"/>
              </w:rPr>
              <w:t>Radiology/anatomy terminology for MRI findings where exact mappings are verified.</w:t>
            </w:r>
          </w:p>
        </w:tc>
      </w:tr>
      <w:tr>
        <w:tc>
          <w:tcPr>
            <w:tcW w:type="dxa" w:w="2541"/>
            <w:vAlign w:val="top"/>
          </w:tcPr>
          <w:p>
            <w:pPr>
              <w:spacing w:after="0"/>
            </w:pPr>
            <w:r>
              <w:rPr>
                <w:sz w:val="13"/>
              </w:rPr>
              <w:t>S15</w:t>
            </w:r>
          </w:p>
        </w:tc>
        <w:tc>
          <w:tcPr>
            <w:tcW w:type="dxa" w:w="2541"/>
            <w:vAlign w:val="top"/>
          </w:tcPr>
          <w:p>
            <w:pPr>
              <w:spacing w:after="0"/>
            </w:pPr>
            <w:r>
              <w:rPr>
                <w:sz w:val="13"/>
              </w:rPr>
              <w:t>Interoperability</w:t>
              <w:br/>
              <w:t>OMOP Common Data Model</w:t>
            </w:r>
          </w:p>
        </w:tc>
        <w:tc>
          <w:tcPr>
            <w:tcW w:type="dxa" w:w="2541"/>
            <w:vAlign w:val="top"/>
          </w:tcPr>
          <w:p>
            <w:pPr>
              <w:spacing w:after="0"/>
            </w:pPr>
            <w:r>
              <w:rPr>
                <w:sz w:val="13"/>
              </w:rPr>
              <w:t>Current site lists CDM v5.5</w:t>
              <w:br/>
              <w:t>VERIFIED</w:t>
            </w:r>
          </w:p>
        </w:tc>
        <w:tc>
          <w:tcPr>
            <w:tcW w:type="dxa" w:w="2541"/>
            <w:vAlign w:val="top"/>
          </w:tcPr>
          <w:p>
            <w:pPr>
              <w:spacing w:after="0"/>
            </w:pPr>
            <w:r>
              <w:rPr>
                <w:sz w:val="13"/>
              </w:rPr>
              <w:t>Derived interoperability/export view; MedAI-native assertion model remains canonical.</w:t>
            </w:r>
          </w:p>
        </w:tc>
      </w:tr>
      <w:tr>
        <w:tc>
          <w:tcPr>
            <w:tcW w:type="dxa" w:w="2541"/>
            <w:vAlign w:val="top"/>
          </w:tcPr>
          <w:p>
            <w:pPr>
              <w:spacing w:after="0"/>
            </w:pPr>
            <w:r>
              <w:rPr>
                <w:sz w:val="13"/>
              </w:rPr>
              <w:t>S16</w:t>
            </w:r>
          </w:p>
        </w:tc>
        <w:tc>
          <w:tcPr>
            <w:tcW w:type="dxa" w:w="2541"/>
            <w:vAlign w:val="top"/>
          </w:tcPr>
          <w:p>
            <w:pPr>
              <w:spacing w:after="0"/>
            </w:pPr>
            <w:r>
              <w:rPr>
                <w:sz w:val="13"/>
              </w:rPr>
              <w:t>Published annotation precedent</w:t>
              <w:br/>
              <w:t>Annotation of epilepsy clinic letters for natural language processing</w:t>
            </w:r>
          </w:p>
        </w:tc>
        <w:tc>
          <w:tcPr>
            <w:tcW w:type="dxa" w:w="2541"/>
            <w:vAlign w:val="top"/>
          </w:tcPr>
          <w:p>
            <w:pPr>
              <w:spacing w:after="0"/>
            </w:pPr>
            <w:r>
              <w:rPr>
                <w:sz w:val="13"/>
              </w:rPr>
              <w:t>Published dataset/method</w:t>
              <w:br/>
              <w:t>VERIFIED</w:t>
            </w:r>
          </w:p>
        </w:tc>
        <w:tc>
          <w:tcPr>
            <w:tcW w:type="dxa" w:w="2541"/>
            <w:vAlign w:val="top"/>
          </w:tcPr>
          <w:p>
            <w:pPr>
              <w:spacing w:after="0"/>
            </w:pPr>
            <w:r>
              <w:rPr>
                <w:sz w:val="13"/>
              </w:rPr>
              <w:t>Phase 2 annotation-resource review; precedent for synthetic letters, double annotation, agreed guidelines and gold-standard adjudication. Not a clinical ontology source.</w:t>
            </w:r>
          </w:p>
        </w:tc>
      </w:tr>
    </w:tbl>
    <w:p/>
    <w:p>
      <w:pPr>
        <w:pStyle w:val="Heading1"/>
      </w:pPr>
      <w:r>
        <w:t>4. Source-by-source implementation notes</w:t>
      </w:r>
    </w:p>
    <w:p>
      <w:pPr>
        <w:pStyle w:val="Heading2"/>
      </w:pPr>
      <w:r>
        <w:t>S01 — Updated classification of epileptic seizures: Position paper of the International League Against Epilepsy</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4"/>
              </w:rPr>
              <w:t>Field</w:t>
            </w:r>
          </w:p>
        </w:tc>
        <w:tc>
          <w:tcPr>
            <w:tcW w:type="dxa" w:w="5083"/>
            <w:shd w:fill="D9EAF7"/>
          </w:tcPr>
          <w:p>
            <w:r>
              <w:rPr>
                <w:b/>
                <w:sz w:val="14"/>
              </w:rPr>
              <w:t>Recorded value</w:t>
            </w:r>
          </w:p>
        </w:tc>
      </w:tr>
      <w:tr>
        <w:tc>
          <w:tcPr>
            <w:tcW w:type="dxa" w:w="5083"/>
            <w:vAlign w:val="top"/>
          </w:tcPr>
          <w:p>
            <w:pPr>
              <w:spacing w:after="0"/>
            </w:pPr>
            <w:r>
              <w:rPr>
                <w:sz w:val="14"/>
              </w:rPr>
              <w:t>Authority</w:t>
            </w:r>
          </w:p>
        </w:tc>
        <w:tc>
          <w:tcPr>
            <w:tcW w:type="dxa" w:w="5083"/>
            <w:vAlign w:val="top"/>
          </w:tcPr>
          <w:p>
            <w:pPr>
              <w:spacing w:after="0"/>
            </w:pPr>
            <w:r>
              <w:rPr>
                <w:sz w:val="14"/>
              </w:rPr>
              <w:t>ILAE / Epilepsia</w:t>
            </w:r>
          </w:p>
        </w:tc>
      </w:tr>
      <w:tr>
        <w:tc>
          <w:tcPr>
            <w:tcW w:type="dxa" w:w="5083"/>
            <w:vAlign w:val="top"/>
          </w:tcPr>
          <w:p>
            <w:pPr>
              <w:spacing w:after="0"/>
            </w:pPr>
            <w:r>
              <w:rPr>
                <w:sz w:val="14"/>
              </w:rPr>
              <w:t>Citation</w:t>
            </w:r>
          </w:p>
        </w:tc>
        <w:tc>
          <w:tcPr>
            <w:tcW w:type="dxa" w:w="5083"/>
            <w:vAlign w:val="top"/>
          </w:tcPr>
          <w:p>
            <w:pPr>
              <w:spacing w:after="0"/>
            </w:pPr>
            <w:r>
              <w:rPr>
                <w:sz w:val="14"/>
              </w:rPr>
              <w:t>Beniczky S, Trinka E, Wirrell E, et al. Epilepsia. 2025. DOI: 10.1111/epi.18338</w:t>
            </w:r>
          </w:p>
        </w:tc>
      </w:tr>
      <w:tr>
        <w:tc>
          <w:tcPr>
            <w:tcW w:type="dxa" w:w="5083"/>
            <w:vAlign w:val="top"/>
          </w:tcPr>
          <w:p>
            <w:pPr>
              <w:spacing w:after="0"/>
            </w:pPr>
            <w:r>
              <w:rPr>
                <w:sz w:val="14"/>
              </w:rPr>
              <w:t>Version</w:t>
            </w:r>
          </w:p>
        </w:tc>
        <w:tc>
          <w:tcPr>
            <w:tcW w:type="dxa" w:w="5083"/>
            <w:vAlign w:val="top"/>
          </w:tcPr>
          <w:p>
            <w:pPr>
              <w:spacing w:after="0"/>
            </w:pPr>
            <w:r>
              <w:rPr>
                <w:sz w:val="14"/>
              </w:rPr>
              <w:t>2025 revision</w:t>
            </w:r>
          </w:p>
        </w:tc>
      </w:tr>
      <w:tr>
        <w:tc>
          <w:tcPr>
            <w:tcW w:type="dxa" w:w="5083"/>
            <w:vAlign w:val="top"/>
          </w:tcPr>
          <w:p>
            <w:pPr>
              <w:spacing w:after="0"/>
            </w:pPr>
            <w:r>
              <w:rPr>
                <w:sz w:val="14"/>
              </w:rPr>
              <w:t>Verification status</w:t>
            </w:r>
          </w:p>
        </w:tc>
        <w:tc>
          <w:tcPr>
            <w:tcW w:type="dxa" w:w="5083"/>
            <w:vAlign w:val="top"/>
          </w:tcPr>
          <w:p>
            <w:pPr>
              <w:spacing w:after="0"/>
            </w:pPr>
            <w:r>
              <w:rPr>
                <w:sz w:val="14"/>
              </w:rPr>
              <w:t>VERIFIED</w:t>
            </w:r>
          </w:p>
        </w:tc>
      </w:tr>
      <w:tr>
        <w:tc>
          <w:tcPr>
            <w:tcW w:type="dxa" w:w="5083"/>
            <w:vAlign w:val="top"/>
          </w:tcPr>
          <w:p>
            <w:pPr>
              <w:spacing w:after="0"/>
            </w:pPr>
            <w:r>
              <w:rPr>
                <w:sz w:val="14"/>
              </w:rPr>
              <w:t>Allowed MedAI use</w:t>
            </w:r>
          </w:p>
        </w:tc>
        <w:tc>
          <w:tcPr>
            <w:tcW w:type="dxa" w:w="5083"/>
            <w:vAlign w:val="top"/>
          </w:tcPr>
          <w:p>
            <w:pPr>
              <w:spacing w:after="0"/>
            </w:pPr>
            <w:r>
              <w:rPr>
                <w:sz w:val="14"/>
              </w:rPr>
              <w:t>Normative seizure main classes, seizure types, classifiers/descriptors, consciousness framework and 2017→2025 migration.</w:t>
            </w:r>
          </w:p>
        </w:tc>
      </w:tr>
      <w:tr>
        <w:tc>
          <w:tcPr>
            <w:tcW w:type="dxa" w:w="5083"/>
            <w:vAlign w:val="top"/>
          </w:tcPr>
          <w:p>
            <w:pPr>
              <w:spacing w:after="0"/>
            </w:pPr>
            <w:r>
              <w:rPr>
                <w:sz w:val="14"/>
              </w:rPr>
              <w:t>License / redistribution note</w:t>
            </w:r>
          </w:p>
        </w:tc>
        <w:tc>
          <w:tcPr>
            <w:tcW w:type="dxa" w:w="5083"/>
            <w:vAlign w:val="top"/>
          </w:tcPr>
          <w:p>
            <w:pPr>
              <w:spacing w:after="0"/>
            </w:pPr>
            <w:r>
              <w:rPr>
                <w:sz w:val="14"/>
              </w:rPr>
              <w:t>Public ILAE page; publication reuse remains subject to publisher/copyright terms. Store citation/metadata, not copied full text.</w:t>
            </w:r>
          </w:p>
        </w:tc>
      </w:tr>
      <w:tr>
        <w:tc>
          <w:tcPr>
            <w:tcW w:type="dxa" w:w="5083"/>
            <w:vAlign w:val="top"/>
          </w:tcPr>
          <w:p>
            <w:pPr>
              <w:spacing w:after="0"/>
            </w:pPr>
            <w:r>
              <w:rPr>
                <w:sz w:val="14"/>
              </w:rPr>
              <w:t>Authoritative URL</w:t>
            </w:r>
          </w:p>
        </w:tc>
        <w:tc>
          <w:tcPr>
            <w:tcW w:type="dxa" w:w="5083"/>
            <w:vAlign w:val="top"/>
          </w:tcPr>
          <w:p>
            <w:pPr>
              <w:spacing w:after="0"/>
            </w:pPr>
            <w:r>
              <w:rPr>
                <w:sz w:val="14"/>
              </w:rPr>
              <w:t>https://www.ilae.org/updated-classification-epileptic-seizures-2025</w:t>
            </w:r>
          </w:p>
        </w:tc>
      </w:tr>
    </w:tbl>
    <w:p/>
    <w:p>
      <w:pPr>
        <w:pStyle w:val="Heading2"/>
      </w:pPr>
      <w:r>
        <w:t>S02 — A practical clinical definition of epilepsy</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4"/>
              </w:rPr>
              <w:t>Field</w:t>
            </w:r>
          </w:p>
        </w:tc>
        <w:tc>
          <w:tcPr>
            <w:tcW w:type="dxa" w:w="5083"/>
            <w:shd w:fill="D9EAF7"/>
          </w:tcPr>
          <w:p>
            <w:r>
              <w:rPr>
                <w:b/>
                <w:sz w:val="14"/>
              </w:rPr>
              <w:t>Recorded value</w:t>
            </w:r>
          </w:p>
        </w:tc>
      </w:tr>
      <w:tr>
        <w:tc>
          <w:tcPr>
            <w:tcW w:type="dxa" w:w="5083"/>
            <w:vAlign w:val="top"/>
          </w:tcPr>
          <w:p>
            <w:pPr>
              <w:spacing w:after="0"/>
            </w:pPr>
            <w:r>
              <w:rPr>
                <w:sz w:val="14"/>
              </w:rPr>
              <w:t>Authority</w:t>
            </w:r>
          </w:p>
        </w:tc>
        <w:tc>
          <w:tcPr>
            <w:tcW w:type="dxa" w:w="5083"/>
            <w:vAlign w:val="top"/>
          </w:tcPr>
          <w:p>
            <w:pPr>
              <w:spacing w:after="0"/>
            </w:pPr>
            <w:r>
              <w:rPr>
                <w:sz w:val="14"/>
              </w:rPr>
              <w:t>ILAE / Epilepsia</w:t>
            </w:r>
          </w:p>
        </w:tc>
      </w:tr>
      <w:tr>
        <w:tc>
          <w:tcPr>
            <w:tcW w:type="dxa" w:w="5083"/>
            <w:vAlign w:val="top"/>
          </w:tcPr>
          <w:p>
            <w:pPr>
              <w:spacing w:after="0"/>
            </w:pPr>
            <w:r>
              <w:rPr>
                <w:sz w:val="14"/>
              </w:rPr>
              <w:t>Citation</w:t>
            </w:r>
          </w:p>
        </w:tc>
        <w:tc>
          <w:tcPr>
            <w:tcW w:type="dxa" w:w="5083"/>
            <w:vAlign w:val="top"/>
          </w:tcPr>
          <w:p>
            <w:pPr>
              <w:spacing w:after="0"/>
            </w:pPr>
            <w:r>
              <w:rPr>
                <w:sz w:val="14"/>
              </w:rPr>
              <w:t>Fisher RS, Acevedo C, Arzimanoglou A, et al. Epilepsia. 2014;55(4):475–482. DOI: 10.1111/epi.12550</w:t>
            </w:r>
          </w:p>
        </w:tc>
      </w:tr>
      <w:tr>
        <w:tc>
          <w:tcPr>
            <w:tcW w:type="dxa" w:w="5083"/>
            <w:vAlign w:val="top"/>
          </w:tcPr>
          <w:p>
            <w:pPr>
              <w:spacing w:after="0"/>
            </w:pPr>
            <w:r>
              <w:rPr>
                <w:sz w:val="14"/>
              </w:rPr>
              <w:t>Version</w:t>
            </w:r>
          </w:p>
        </w:tc>
        <w:tc>
          <w:tcPr>
            <w:tcW w:type="dxa" w:w="5083"/>
            <w:vAlign w:val="top"/>
          </w:tcPr>
          <w:p>
            <w:pPr>
              <w:spacing w:after="0"/>
            </w:pPr>
            <w:r>
              <w:rPr>
                <w:sz w:val="14"/>
              </w:rPr>
              <w:t>2014 official report</w:t>
            </w:r>
          </w:p>
        </w:tc>
      </w:tr>
      <w:tr>
        <w:tc>
          <w:tcPr>
            <w:tcW w:type="dxa" w:w="5083"/>
            <w:vAlign w:val="top"/>
          </w:tcPr>
          <w:p>
            <w:pPr>
              <w:spacing w:after="0"/>
            </w:pPr>
            <w:r>
              <w:rPr>
                <w:sz w:val="14"/>
              </w:rPr>
              <w:t>Verification status</w:t>
            </w:r>
          </w:p>
        </w:tc>
        <w:tc>
          <w:tcPr>
            <w:tcW w:type="dxa" w:w="5083"/>
            <w:vAlign w:val="top"/>
          </w:tcPr>
          <w:p>
            <w:pPr>
              <w:spacing w:after="0"/>
            </w:pPr>
            <w:r>
              <w:rPr>
                <w:sz w:val="14"/>
              </w:rPr>
              <w:t>VERIFIED</w:t>
            </w:r>
          </w:p>
        </w:tc>
      </w:tr>
      <w:tr>
        <w:tc>
          <w:tcPr>
            <w:tcW w:type="dxa" w:w="5083"/>
            <w:vAlign w:val="top"/>
          </w:tcPr>
          <w:p>
            <w:pPr>
              <w:spacing w:after="0"/>
            </w:pPr>
            <w:r>
              <w:rPr>
                <w:sz w:val="14"/>
              </w:rPr>
              <w:t>Allowed MedAI use</w:t>
            </w:r>
          </w:p>
        </w:tc>
        <w:tc>
          <w:tcPr>
            <w:tcW w:type="dxa" w:w="5083"/>
            <w:vAlign w:val="top"/>
          </w:tcPr>
          <w:p>
            <w:pPr>
              <w:spacing w:after="0"/>
            </w:pPr>
            <w:r>
              <w:rPr>
                <w:sz w:val="14"/>
              </w:rPr>
              <w:t>Definition of epilepsy and resolved epilepsy; patient-level epilepsy-status semantics.</w:t>
            </w:r>
          </w:p>
        </w:tc>
      </w:tr>
      <w:tr>
        <w:tc>
          <w:tcPr>
            <w:tcW w:type="dxa" w:w="5083"/>
            <w:vAlign w:val="top"/>
          </w:tcPr>
          <w:p>
            <w:pPr>
              <w:spacing w:after="0"/>
            </w:pPr>
            <w:r>
              <w:rPr>
                <w:sz w:val="14"/>
              </w:rPr>
              <w:t>License / redistribution note</w:t>
            </w:r>
          </w:p>
        </w:tc>
        <w:tc>
          <w:tcPr>
            <w:tcW w:type="dxa" w:w="5083"/>
            <w:vAlign w:val="top"/>
          </w:tcPr>
          <w:p>
            <w:pPr>
              <w:spacing w:after="0"/>
            </w:pPr>
            <w:r>
              <w:rPr>
                <w:sz w:val="14"/>
              </w:rPr>
              <w:t>Public ILAE page; cite/paraphrase. Do not redistribute publisher content without permission.</w:t>
            </w:r>
          </w:p>
        </w:tc>
      </w:tr>
      <w:tr>
        <w:tc>
          <w:tcPr>
            <w:tcW w:type="dxa" w:w="5083"/>
            <w:vAlign w:val="top"/>
          </w:tcPr>
          <w:p>
            <w:pPr>
              <w:spacing w:after="0"/>
            </w:pPr>
            <w:r>
              <w:rPr>
                <w:sz w:val="14"/>
              </w:rPr>
              <w:t>Authoritative URL</w:t>
            </w:r>
          </w:p>
        </w:tc>
        <w:tc>
          <w:tcPr>
            <w:tcW w:type="dxa" w:w="5083"/>
            <w:vAlign w:val="top"/>
          </w:tcPr>
          <w:p>
            <w:pPr>
              <w:spacing w:after="0"/>
            </w:pPr>
            <w:r>
              <w:rPr>
                <w:sz w:val="14"/>
              </w:rPr>
              <w:t>https://www.ilae.org/guidelines/definition-and-classification/definition-of-epilepsy-2014</w:t>
            </w:r>
          </w:p>
        </w:tc>
      </w:tr>
    </w:tbl>
    <w:p/>
    <w:p>
      <w:pPr>
        <w:pStyle w:val="Heading2"/>
      </w:pPr>
      <w:r>
        <w:t>S03 — ILAE Classification of the Epilepsies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4"/>
              </w:rPr>
              <w:t>Field</w:t>
            </w:r>
          </w:p>
        </w:tc>
        <w:tc>
          <w:tcPr>
            <w:tcW w:type="dxa" w:w="5083"/>
            <w:shd w:fill="D9EAF7"/>
          </w:tcPr>
          <w:p>
            <w:r>
              <w:rPr>
                <w:b/>
                <w:sz w:val="14"/>
              </w:rPr>
              <w:t>Recorded value</w:t>
            </w:r>
          </w:p>
        </w:tc>
      </w:tr>
      <w:tr>
        <w:tc>
          <w:tcPr>
            <w:tcW w:type="dxa" w:w="5083"/>
            <w:vAlign w:val="top"/>
          </w:tcPr>
          <w:p>
            <w:pPr>
              <w:spacing w:after="0"/>
            </w:pPr>
            <w:r>
              <w:rPr>
                <w:sz w:val="14"/>
              </w:rPr>
              <w:t>Authority</w:t>
            </w:r>
          </w:p>
        </w:tc>
        <w:tc>
          <w:tcPr>
            <w:tcW w:type="dxa" w:w="5083"/>
            <w:vAlign w:val="top"/>
          </w:tcPr>
          <w:p>
            <w:pPr>
              <w:spacing w:after="0"/>
            </w:pPr>
            <w:r>
              <w:rPr>
                <w:sz w:val="14"/>
              </w:rPr>
              <w:t>ILAE / Epilepsia</w:t>
            </w:r>
          </w:p>
        </w:tc>
      </w:tr>
      <w:tr>
        <w:tc>
          <w:tcPr>
            <w:tcW w:type="dxa" w:w="5083"/>
            <w:vAlign w:val="top"/>
          </w:tcPr>
          <w:p>
            <w:pPr>
              <w:spacing w:after="0"/>
            </w:pPr>
            <w:r>
              <w:rPr>
                <w:sz w:val="14"/>
              </w:rPr>
              <w:t>Citation</w:t>
            </w:r>
          </w:p>
        </w:tc>
        <w:tc>
          <w:tcPr>
            <w:tcW w:type="dxa" w:w="5083"/>
            <w:vAlign w:val="top"/>
          </w:tcPr>
          <w:p>
            <w:pPr>
              <w:spacing w:after="0"/>
            </w:pPr>
            <w:r>
              <w:rPr>
                <w:sz w:val="14"/>
              </w:rPr>
              <w:t>Scheffer IE, Berkovic S, Capovilla G, et al. Epilepsia. 2017;58(4):512–521. DOI: 10.1111/epi.13709</w:t>
            </w:r>
          </w:p>
        </w:tc>
      </w:tr>
      <w:tr>
        <w:tc>
          <w:tcPr>
            <w:tcW w:type="dxa" w:w="5083"/>
            <w:vAlign w:val="top"/>
          </w:tcPr>
          <w:p>
            <w:pPr>
              <w:spacing w:after="0"/>
            </w:pPr>
            <w:r>
              <w:rPr>
                <w:sz w:val="14"/>
              </w:rPr>
              <w:t>Version</w:t>
            </w:r>
          </w:p>
        </w:tc>
        <w:tc>
          <w:tcPr>
            <w:tcW w:type="dxa" w:w="5083"/>
            <w:vAlign w:val="top"/>
          </w:tcPr>
          <w:p>
            <w:pPr>
              <w:spacing w:after="0"/>
            </w:pPr>
            <w:r>
              <w:rPr>
                <w:sz w:val="14"/>
              </w:rPr>
              <w:t>2017 classification</w:t>
            </w:r>
          </w:p>
        </w:tc>
      </w:tr>
      <w:tr>
        <w:tc>
          <w:tcPr>
            <w:tcW w:type="dxa" w:w="5083"/>
            <w:vAlign w:val="top"/>
          </w:tcPr>
          <w:p>
            <w:pPr>
              <w:spacing w:after="0"/>
            </w:pPr>
            <w:r>
              <w:rPr>
                <w:sz w:val="14"/>
              </w:rPr>
              <w:t>Verification status</w:t>
            </w:r>
          </w:p>
        </w:tc>
        <w:tc>
          <w:tcPr>
            <w:tcW w:type="dxa" w:w="5083"/>
            <w:vAlign w:val="top"/>
          </w:tcPr>
          <w:p>
            <w:pPr>
              <w:spacing w:after="0"/>
            </w:pPr>
            <w:r>
              <w:rPr>
                <w:sz w:val="14"/>
              </w:rPr>
              <w:t>VERIFIED</w:t>
            </w:r>
          </w:p>
        </w:tc>
      </w:tr>
      <w:tr>
        <w:tc>
          <w:tcPr>
            <w:tcW w:type="dxa" w:w="5083"/>
            <w:vAlign w:val="top"/>
          </w:tcPr>
          <w:p>
            <w:pPr>
              <w:spacing w:after="0"/>
            </w:pPr>
            <w:r>
              <w:rPr>
                <w:sz w:val="14"/>
              </w:rPr>
              <w:t>Allowed MedAI use</w:t>
            </w:r>
          </w:p>
        </w:tc>
        <w:tc>
          <w:tcPr>
            <w:tcW w:type="dxa" w:w="5083"/>
            <w:vAlign w:val="top"/>
          </w:tcPr>
          <w:p>
            <w:pPr>
              <w:spacing w:after="0"/>
            </w:pPr>
            <w:r>
              <w:rPr>
                <w:sz w:val="14"/>
              </w:rPr>
              <w:t>Epilepsy type, syndrome level and etiologic categories; kept distinct from seizure classification.</w:t>
            </w:r>
          </w:p>
        </w:tc>
      </w:tr>
      <w:tr>
        <w:tc>
          <w:tcPr>
            <w:tcW w:type="dxa" w:w="5083"/>
            <w:vAlign w:val="top"/>
          </w:tcPr>
          <w:p>
            <w:pPr>
              <w:spacing w:after="0"/>
            </w:pPr>
            <w:r>
              <w:rPr>
                <w:sz w:val="14"/>
              </w:rPr>
              <w:t>License / redistribution note</w:t>
            </w:r>
          </w:p>
        </w:tc>
        <w:tc>
          <w:tcPr>
            <w:tcW w:type="dxa" w:w="5083"/>
            <w:vAlign w:val="top"/>
          </w:tcPr>
          <w:p>
            <w:pPr>
              <w:spacing w:after="0"/>
            </w:pPr>
            <w:r>
              <w:rPr>
                <w:sz w:val="14"/>
              </w:rPr>
              <w:t>Public ILAE resource; citation/paraphrase only unless reuse terms permit more.</w:t>
            </w:r>
          </w:p>
        </w:tc>
      </w:tr>
      <w:tr>
        <w:tc>
          <w:tcPr>
            <w:tcW w:type="dxa" w:w="5083"/>
            <w:vAlign w:val="top"/>
          </w:tcPr>
          <w:p>
            <w:pPr>
              <w:spacing w:after="0"/>
            </w:pPr>
            <w:r>
              <w:rPr>
                <w:sz w:val="14"/>
              </w:rPr>
              <w:t>Authoritative URL</w:t>
            </w:r>
          </w:p>
        </w:tc>
        <w:tc>
          <w:tcPr>
            <w:tcW w:type="dxa" w:w="5083"/>
            <w:vAlign w:val="top"/>
          </w:tcPr>
          <w:p>
            <w:pPr>
              <w:spacing w:after="0"/>
            </w:pPr>
            <w:r>
              <w:rPr>
                <w:sz w:val="14"/>
              </w:rPr>
              <w:t>https://www.ilae.org/guidelines/definition-and-classification/ilae-classification-of-the-epilepsies-2017</w:t>
            </w:r>
          </w:p>
        </w:tc>
      </w:tr>
    </w:tbl>
    <w:p/>
    <w:p>
      <w:pPr>
        <w:pStyle w:val="Heading2"/>
      </w:pPr>
      <w:r>
        <w:t>S04 — ILAE Classification and Definition of Epilepsy Syndromes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4"/>
              </w:rPr>
              <w:t>Field</w:t>
            </w:r>
          </w:p>
        </w:tc>
        <w:tc>
          <w:tcPr>
            <w:tcW w:type="dxa" w:w="5083"/>
            <w:shd w:fill="D9EAF7"/>
          </w:tcPr>
          <w:p>
            <w:r>
              <w:rPr>
                <w:b/>
                <w:sz w:val="14"/>
              </w:rPr>
              <w:t>Recorded value</w:t>
            </w:r>
          </w:p>
        </w:tc>
      </w:tr>
      <w:tr>
        <w:tc>
          <w:tcPr>
            <w:tcW w:type="dxa" w:w="5083"/>
            <w:vAlign w:val="top"/>
          </w:tcPr>
          <w:p>
            <w:pPr>
              <w:spacing w:after="0"/>
            </w:pPr>
            <w:r>
              <w:rPr>
                <w:sz w:val="14"/>
              </w:rPr>
              <w:t>Authority</w:t>
            </w:r>
          </w:p>
        </w:tc>
        <w:tc>
          <w:tcPr>
            <w:tcW w:type="dxa" w:w="5083"/>
            <w:vAlign w:val="top"/>
          </w:tcPr>
          <w:p>
            <w:pPr>
              <w:spacing w:after="0"/>
            </w:pPr>
            <w:r>
              <w:rPr>
                <w:sz w:val="14"/>
              </w:rPr>
              <w:t>ILAE / Epilepsia</w:t>
            </w:r>
          </w:p>
        </w:tc>
      </w:tr>
      <w:tr>
        <w:tc>
          <w:tcPr>
            <w:tcW w:type="dxa" w:w="5083"/>
            <w:vAlign w:val="top"/>
          </w:tcPr>
          <w:p>
            <w:pPr>
              <w:spacing w:after="0"/>
            </w:pPr>
            <w:r>
              <w:rPr>
                <w:sz w:val="14"/>
              </w:rPr>
              <w:t>Citation</w:t>
            </w:r>
          </w:p>
        </w:tc>
        <w:tc>
          <w:tcPr>
            <w:tcW w:type="dxa" w:w="5083"/>
            <w:vAlign w:val="top"/>
          </w:tcPr>
          <w:p>
            <w:pPr>
              <w:spacing w:after="0"/>
            </w:pPr>
            <w:r>
              <w:rPr>
                <w:sz w:val="14"/>
              </w:rPr>
              <w:t>ILAE Task Force on Nosology and Definitions, Epilepsia syndrome position papers (2022).</w:t>
            </w:r>
          </w:p>
        </w:tc>
      </w:tr>
      <w:tr>
        <w:tc>
          <w:tcPr>
            <w:tcW w:type="dxa" w:w="5083"/>
            <w:vAlign w:val="top"/>
          </w:tcPr>
          <w:p>
            <w:pPr>
              <w:spacing w:after="0"/>
            </w:pPr>
            <w:r>
              <w:rPr>
                <w:sz w:val="14"/>
              </w:rPr>
              <w:t>Version</w:t>
            </w:r>
          </w:p>
        </w:tc>
        <w:tc>
          <w:tcPr>
            <w:tcW w:type="dxa" w:w="5083"/>
            <w:vAlign w:val="top"/>
          </w:tcPr>
          <w:p>
            <w:pPr>
              <w:spacing w:after="0"/>
            </w:pPr>
            <w:r>
              <w:rPr>
                <w:sz w:val="14"/>
              </w:rPr>
              <w:t>2022 syndrome series</w:t>
            </w:r>
          </w:p>
        </w:tc>
      </w:tr>
      <w:tr>
        <w:tc>
          <w:tcPr>
            <w:tcW w:type="dxa" w:w="5083"/>
            <w:vAlign w:val="top"/>
          </w:tcPr>
          <w:p>
            <w:pPr>
              <w:spacing w:after="0"/>
            </w:pPr>
            <w:r>
              <w:rPr>
                <w:sz w:val="14"/>
              </w:rPr>
              <w:t>Verification status</w:t>
            </w:r>
          </w:p>
        </w:tc>
        <w:tc>
          <w:tcPr>
            <w:tcW w:type="dxa" w:w="5083"/>
            <w:vAlign w:val="top"/>
          </w:tcPr>
          <w:p>
            <w:pPr>
              <w:spacing w:after="0"/>
            </w:pPr>
            <w:r>
              <w:rPr>
                <w:sz w:val="14"/>
              </w:rPr>
              <w:t>VERIFIED</w:t>
            </w:r>
          </w:p>
        </w:tc>
      </w:tr>
      <w:tr>
        <w:tc>
          <w:tcPr>
            <w:tcW w:type="dxa" w:w="5083"/>
            <w:vAlign w:val="top"/>
          </w:tcPr>
          <w:p>
            <w:pPr>
              <w:spacing w:after="0"/>
            </w:pPr>
            <w:r>
              <w:rPr>
                <w:sz w:val="14"/>
              </w:rPr>
              <w:t>Allowed MedAI use</w:t>
            </w:r>
          </w:p>
        </w:tc>
        <w:tc>
          <w:tcPr>
            <w:tcW w:type="dxa" w:w="5083"/>
            <w:vAlign w:val="top"/>
          </w:tcPr>
          <w:p>
            <w:pPr>
              <w:spacing w:after="0"/>
            </w:pPr>
            <w:r>
              <w:rPr>
                <w:sz w:val="14"/>
              </w:rPr>
              <w:t>Canonical syndrome names/definitions only after exact syndrome paper is linked in the semantic dictionary.</w:t>
            </w:r>
          </w:p>
        </w:tc>
      </w:tr>
      <w:tr>
        <w:tc>
          <w:tcPr>
            <w:tcW w:type="dxa" w:w="5083"/>
            <w:vAlign w:val="top"/>
          </w:tcPr>
          <w:p>
            <w:pPr>
              <w:spacing w:after="0"/>
            </w:pPr>
            <w:r>
              <w:rPr>
                <w:sz w:val="14"/>
              </w:rPr>
              <w:t>License / redistribution note</w:t>
            </w:r>
          </w:p>
        </w:tc>
        <w:tc>
          <w:tcPr>
            <w:tcW w:type="dxa" w:w="5083"/>
            <w:vAlign w:val="top"/>
          </w:tcPr>
          <w:p>
            <w:pPr>
              <w:spacing w:after="0"/>
            </w:pPr>
            <w:r>
              <w:rPr>
                <w:sz w:val="14"/>
              </w:rPr>
              <w:t>Series of publications; each syndrome definition must cite the exact applicable paper.</w:t>
            </w:r>
          </w:p>
        </w:tc>
      </w:tr>
      <w:tr>
        <w:tc>
          <w:tcPr>
            <w:tcW w:type="dxa" w:w="5083"/>
            <w:vAlign w:val="top"/>
          </w:tcPr>
          <w:p>
            <w:pPr>
              <w:spacing w:after="0"/>
            </w:pPr>
            <w:r>
              <w:rPr>
                <w:sz w:val="14"/>
              </w:rPr>
              <w:t>Authoritative URL</w:t>
            </w:r>
          </w:p>
        </w:tc>
        <w:tc>
          <w:tcPr>
            <w:tcW w:type="dxa" w:w="5083"/>
            <w:vAlign w:val="top"/>
          </w:tcPr>
          <w:p>
            <w:pPr>
              <w:spacing w:after="0"/>
            </w:pPr>
            <w:r>
              <w:rPr>
                <w:sz w:val="14"/>
              </w:rPr>
              <w:t>https://www.ilae.org/guidelines/definition-and-classification/classification-and-definition-of-epilepsy-syndromes/classification-and-definition-of-epilepsy-syndromes</w:t>
            </w:r>
          </w:p>
        </w:tc>
      </w:tr>
    </w:tbl>
    <w:p/>
    <w:p>
      <w:pPr>
        <w:pStyle w:val="Heading2"/>
      </w:pPr>
      <w:r>
        <w:t>S05 — NINDS Epilepsy Common Data Elements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4"/>
              </w:rPr>
              <w:t>Field</w:t>
            </w:r>
          </w:p>
        </w:tc>
        <w:tc>
          <w:tcPr>
            <w:tcW w:type="dxa" w:w="5083"/>
            <w:shd w:fill="D9EAF7"/>
          </w:tcPr>
          <w:p>
            <w:r>
              <w:rPr>
                <w:b/>
                <w:sz w:val="14"/>
              </w:rPr>
              <w:t>Recorded value</w:t>
            </w:r>
          </w:p>
        </w:tc>
      </w:tr>
      <w:tr>
        <w:tc>
          <w:tcPr>
            <w:tcW w:type="dxa" w:w="5083"/>
            <w:vAlign w:val="top"/>
          </w:tcPr>
          <w:p>
            <w:pPr>
              <w:spacing w:after="0"/>
            </w:pPr>
            <w:r>
              <w:rPr>
                <w:sz w:val="14"/>
              </w:rPr>
              <w:t>Authority</w:t>
            </w:r>
          </w:p>
        </w:tc>
        <w:tc>
          <w:tcPr>
            <w:tcW w:type="dxa" w:w="5083"/>
            <w:vAlign w:val="top"/>
          </w:tcPr>
          <w:p>
            <w:pPr>
              <w:spacing w:after="0"/>
            </w:pPr>
            <w:r>
              <w:rPr>
                <w:sz w:val="14"/>
              </w:rPr>
              <w:t>NINDS CDE</w:t>
            </w:r>
          </w:p>
        </w:tc>
      </w:tr>
      <w:tr>
        <w:tc>
          <w:tcPr>
            <w:tcW w:type="dxa" w:w="5083"/>
            <w:vAlign w:val="top"/>
          </w:tcPr>
          <w:p>
            <w:pPr>
              <w:spacing w:after="0"/>
            </w:pPr>
            <w:r>
              <w:rPr>
                <w:sz w:val="14"/>
              </w:rPr>
              <w:t>Citation</w:t>
            </w:r>
          </w:p>
        </w:tc>
        <w:tc>
          <w:tcPr>
            <w:tcW w:type="dxa" w:w="5083"/>
            <w:vAlign w:val="top"/>
          </w:tcPr>
          <w:p>
            <w:pPr>
              <w:spacing w:after="0"/>
            </w:pPr>
            <w:r>
              <w:rPr>
                <w:sz w:val="14"/>
              </w:rPr>
              <w:t>NINDS Common Data Elements: Epilepsy.</w:t>
            </w:r>
          </w:p>
        </w:tc>
      </w:tr>
      <w:tr>
        <w:tc>
          <w:tcPr>
            <w:tcW w:type="dxa" w:w="5083"/>
            <w:vAlign w:val="top"/>
          </w:tcPr>
          <w:p>
            <w:pPr>
              <w:spacing w:after="0"/>
            </w:pPr>
            <w:r>
              <w:rPr>
                <w:sz w:val="14"/>
              </w:rPr>
              <w:t>Version</w:t>
            </w:r>
          </w:p>
        </w:tc>
        <w:tc>
          <w:tcPr>
            <w:tcW w:type="dxa" w:w="5083"/>
            <w:vAlign w:val="top"/>
          </w:tcPr>
          <w:p>
            <w:pPr>
              <w:spacing w:after="0"/>
            </w:pPr>
            <w:r>
              <w:rPr>
                <w:sz w:val="14"/>
              </w:rPr>
              <w:t>Dynamic/current site; revision history must be frozen at extraction</w:t>
            </w:r>
          </w:p>
        </w:tc>
      </w:tr>
      <w:tr>
        <w:tc>
          <w:tcPr>
            <w:tcW w:type="dxa" w:w="5083"/>
            <w:vAlign w:val="top"/>
          </w:tcPr>
          <w:p>
            <w:pPr>
              <w:spacing w:after="0"/>
            </w:pPr>
            <w:r>
              <w:rPr>
                <w:sz w:val="14"/>
              </w:rPr>
              <w:t>Verification status</w:t>
            </w:r>
          </w:p>
        </w:tc>
        <w:tc>
          <w:tcPr>
            <w:tcW w:type="dxa" w:w="5083"/>
            <w:vAlign w:val="top"/>
          </w:tcPr>
          <w:p>
            <w:pPr>
              <w:spacing w:after="0"/>
            </w:pPr>
            <w:r>
              <w:rPr>
                <w:sz w:val="14"/>
              </w:rPr>
              <w:t>VERIFIED-METADATA; EXACT CDE EXTRACTION PENDING</w:t>
            </w:r>
          </w:p>
        </w:tc>
      </w:tr>
      <w:tr>
        <w:tc>
          <w:tcPr>
            <w:tcW w:type="dxa" w:w="5083"/>
            <w:vAlign w:val="top"/>
          </w:tcPr>
          <w:p>
            <w:pPr>
              <w:spacing w:after="0"/>
            </w:pPr>
            <w:r>
              <w:rPr>
                <w:sz w:val="14"/>
              </w:rPr>
              <w:t>Allowed MedAI use</w:t>
            </w:r>
          </w:p>
        </w:tc>
        <w:tc>
          <w:tcPr>
            <w:tcW w:type="dxa" w:w="5083"/>
            <w:vAlign w:val="top"/>
          </w:tcPr>
          <w:p>
            <w:pPr>
              <w:spacing w:after="0"/>
            </w:pPr>
            <w:r>
              <w:rPr>
                <w:sz w:val="14"/>
              </w:rPr>
              <w:t>Research-variable traceability, CDE names/IDs/classifications/response sets and CRF guidance.</w:t>
            </w:r>
          </w:p>
        </w:tc>
      </w:tr>
      <w:tr>
        <w:tc>
          <w:tcPr>
            <w:tcW w:type="dxa" w:w="5083"/>
            <w:vAlign w:val="top"/>
          </w:tcPr>
          <w:p>
            <w:pPr>
              <w:spacing w:after="0"/>
            </w:pPr>
            <w:r>
              <w:rPr>
                <w:sz w:val="14"/>
              </w:rPr>
              <w:t>License / redistribution note</w:t>
            </w:r>
          </w:p>
        </w:tc>
        <w:tc>
          <w:tcPr>
            <w:tcW w:type="dxa" w:w="5083"/>
            <w:vAlign w:val="top"/>
          </w:tcPr>
          <w:p>
            <w:pPr>
              <w:spacing w:after="0"/>
            </w:pPr>
            <w:r>
              <w:rPr>
                <w:sz w:val="14"/>
              </w:rPr>
              <w:t>NINDS notes that proprietary instruments/scales are not posted; instrument-specific copyright must be respected.</w:t>
            </w:r>
          </w:p>
        </w:tc>
      </w:tr>
      <w:tr>
        <w:tc>
          <w:tcPr>
            <w:tcW w:type="dxa" w:w="5083"/>
            <w:vAlign w:val="top"/>
          </w:tcPr>
          <w:p>
            <w:pPr>
              <w:spacing w:after="0"/>
            </w:pPr>
            <w:r>
              <w:rPr>
                <w:sz w:val="14"/>
              </w:rPr>
              <w:t>Authoritative URL</w:t>
            </w:r>
          </w:p>
        </w:tc>
        <w:tc>
          <w:tcPr>
            <w:tcW w:type="dxa" w:w="5083"/>
            <w:vAlign w:val="top"/>
          </w:tcPr>
          <w:p>
            <w:pPr>
              <w:spacing w:after="0"/>
            </w:pPr>
            <w:r>
              <w:rPr>
                <w:sz w:val="14"/>
              </w:rPr>
              <w:t>https://www.commondataelements.ninds.nih.gov/epilepsy</w:t>
            </w:r>
          </w:p>
        </w:tc>
      </w:tr>
    </w:tbl>
    <w:p/>
    <w:p>
      <w:pPr>
        <w:pStyle w:val="Heading2"/>
      </w:pPr>
      <w:r>
        <w:t>S06 — Epilepsy and Seizure Ontology (EpSO)</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4"/>
              </w:rPr>
              <w:t>Field</w:t>
            </w:r>
          </w:p>
        </w:tc>
        <w:tc>
          <w:tcPr>
            <w:tcW w:type="dxa" w:w="5083"/>
            <w:shd w:fill="D9EAF7"/>
          </w:tcPr>
          <w:p>
            <w:r>
              <w:rPr>
                <w:b/>
                <w:sz w:val="14"/>
              </w:rPr>
              <w:t>Recorded value</w:t>
            </w:r>
          </w:p>
        </w:tc>
      </w:tr>
      <w:tr>
        <w:tc>
          <w:tcPr>
            <w:tcW w:type="dxa" w:w="5083"/>
            <w:vAlign w:val="top"/>
          </w:tcPr>
          <w:p>
            <w:pPr>
              <w:spacing w:after="0"/>
            </w:pPr>
            <w:r>
              <w:rPr>
                <w:sz w:val="14"/>
              </w:rPr>
              <w:t>Authority</w:t>
            </w:r>
          </w:p>
        </w:tc>
        <w:tc>
          <w:tcPr>
            <w:tcW w:type="dxa" w:w="5083"/>
            <w:vAlign w:val="top"/>
          </w:tcPr>
          <w:p>
            <w:pPr>
              <w:spacing w:after="0"/>
            </w:pPr>
            <w:r>
              <w:rPr>
                <w:sz w:val="14"/>
              </w:rPr>
              <w:t>NCBO BioPortal / EpSO</w:t>
            </w:r>
          </w:p>
        </w:tc>
      </w:tr>
      <w:tr>
        <w:tc>
          <w:tcPr>
            <w:tcW w:type="dxa" w:w="5083"/>
            <w:vAlign w:val="top"/>
          </w:tcPr>
          <w:p>
            <w:pPr>
              <w:spacing w:after="0"/>
            </w:pPr>
            <w:r>
              <w:rPr>
                <w:sz w:val="14"/>
              </w:rPr>
              <w:t>Citation</w:t>
            </w:r>
          </w:p>
        </w:tc>
        <w:tc>
          <w:tcPr>
            <w:tcW w:type="dxa" w:w="5083"/>
            <w:vAlign w:val="top"/>
          </w:tcPr>
          <w:p>
            <w:pPr>
              <w:spacing w:after="0"/>
            </w:pPr>
            <w:r>
              <w:rPr>
                <w:sz w:val="14"/>
              </w:rPr>
              <w:t>EpSO v3.1, BioPortal ontology URI http://www.case.edu/EpilepsyOntology.owl</w:t>
            </w:r>
          </w:p>
        </w:tc>
      </w:tr>
      <w:tr>
        <w:tc>
          <w:tcPr>
            <w:tcW w:type="dxa" w:w="5083"/>
            <w:vAlign w:val="top"/>
          </w:tcPr>
          <w:p>
            <w:pPr>
              <w:spacing w:after="0"/>
            </w:pPr>
            <w:r>
              <w:rPr>
                <w:sz w:val="14"/>
              </w:rPr>
              <w:t>Version</w:t>
            </w:r>
          </w:p>
        </w:tc>
        <w:tc>
          <w:tcPr>
            <w:tcW w:type="dxa" w:w="5083"/>
            <w:vAlign w:val="top"/>
          </w:tcPr>
          <w:p>
            <w:pPr>
              <w:spacing w:after="0"/>
            </w:pPr>
            <w:r>
              <w:rPr>
                <w:sz w:val="14"/>
              </w:rPr>
              <w:t>3.1, released/uploaded 2025-05-29</w:t>
            </w:r>
          </w:p>
        </w:tc>
      </w:tr>
      <w:tr>
        <w:tc>
          <w:tcPr>
            <w:tcW w:type="dxa" w:w="5083"/>
            <w:vAlign w:val="top"/>
          </w:tcPr>
          <w:p>
            <w:pPr>
              <w:spacing w:after="0"/>
            </w:pPr>
            <w:r>
              <w:rPr>
                <w:sz w:val="14"/>
              </w:rPr>
              <w:t>Verification status</w:t>
            </w:r>
          </w:p>
        </w:tc>
        <w:tc>
          <w:tcPr>
            <w:tcW w:type="dxa" w:w="5083"/>
            <w:vAlign w:val="top"/>
          </w:tcPr>
          <w:p>
            <w:pPr>
              <w:spacing w:after="0"/>
            </w:pPr>
            <w:r>
              <w:rPr>
                <w:sz w:val="14"/>
              </w:rPr>
              <w:t>VERIFIED RELEASE; CLASS/PREDICATE EXTRACTION PENDING</w:t>
            </w:r>
          </w:p>
        </w:tc>
      </w:tr>
      <w:tr>
        <w:tc>
          <w:tcPr>
            <w:tcW w:type="dxa" w:w="5083"/>
            <w:vAlign w:val="top"/>
          </w:tcPr>
          <w:p>
            <w:pPr>
              <w:spacing w:after="0"/>
            </w:pPr>
            <w:r>
              <w:rPr>
                <w:sz w:val="14"/>
              </w:rPr>
              <w:t>Allowed MedAI use</w:t>
            </w:r>
          </w:p>
        </w:tc>
        <w:tc>
          <w:tcPr>
            <w:tcW w:type="dxa" w:w="5083"/>
            <w:vAlign w:val="top"/>
          </w:tcPr>
          <w:p>
            <w:pPr>
              <w:spacing w:after="0"/>
            </w:pPr>
            <w:r>
              <w:rPr>
                <w:sz w:val="14"/>
              </w:rPr>
              <w:t>Ontology classes/relationships for epilepsy, seizure, etiology, EEG, medication, neuropathology and anatomy. Exact IDs/predicates must come from v3.1 artifact.</w:t>
            </w:r>
          </w:p>
        </w:tc>
      </w:tr>
      <w:tr>
        <w:tc>
          <w:tcPr>
            <w:tcW w:type="dxa" w:w="5083"/>
            <w:vAlign w:val="top"/>
          </w:tcPr>
          <w:p>
            <w:pPr>
              <w:spacing w:after="0"/>
            </w:pPr>
            <w:r>
              <w:rPr>
                <w:sz w:val="14"/>
              </w:rPr>
              <w:t>License / redistribution note</w:t>
            </w:r>
          </w:p>
        </w:tc>
        <w:tc>
          <w:tcPr>
            <w:tcW w:type="dxa" w:w="5083"/>
            <w:vAlign w:val="top"/>
          </w:tcPr>
          <w:p>
            <w:pPr>
              <w:spacing w:after="0"/>
            </w:pPr>
            <w:r>
              <w:rPr>
                <w:sz w:val="14"/>
              </w:rPr>
              <w:t>Verify ontology license/redistribution metadata before bundling OWL/CSV in a public release.</w:t>
            </w:r>
          </w:p>
        </w:tc>
      </w:tr>
      <w:tr>
        <w:tc>
          <w:tcPr>
            <w:tcW w:type="dxa" w:w="5083"/>
            <w:vAlign w:val="top"/>
          </w:tcPr>
          <w:p>
            <w:pPr>
              <w:spacing w:after="0"/>
            </w:pPr>
            <w:r>
              <w:rPr>
                <w:sz w:val="14"/>
              </w:rPr>
              <w:t>Authoritative URL</w:t>
            </w:r>
          </w:p>
        </w:tc>
        <w:tc>
          <w:tcPr>
            <w:tcW w:type="dxa" w:w="5083"/>
            <w:vAlign w:val="top"/>
          </w:tcPr>
          <w:p>
            <w:pPr>
              <w:spacing w:after="0"/>
            </w:pPr>
            <w:r>
              <w:rPr>
                <w:sz w:val="14"/>
              </w:rPr>
              <w:t>https://bioportal.bioontology.org/ontologies/EPSO</w:t>
            </w:r>
          </w:p>
        </w:tc>
      </w:tr>
    </w:tbl>
    <w:p/>
    <w:p>
      <w:pPr>
        <w:pStyle w:val="Heading2"/>
      </w:pPr>
      <w:r>
        <w:t>S07 — Definition of drug resistant epilepsy</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4"/>
              </w:rPr>
              <w:t>Field</w:t>
            </w:r>
          </w:p>
        </w:tc>
        <w:tc>
          <w:tcPr>
            <w:tcW w:type="dxa" w:w="5083"/>
            <w:shd w:fill="D9EAF7"/>
          </w:tcPr>
          <w:p>
            <w:r>
              <w:rPr>
                <w:b/>
                <w:sz w:val="14"/>
              </w:rPr>
              <w:t>Recorded value</w:t>
            </w:r>
          </w:p>
        </w:tc>
      </w:tr>
      <w:tr>
        <w:tc>
          <w:tcPr>
            <w:tcW w:type="dxa" w:w="5083"/>
            <w:vAlign w:val="top"/>
          </w:tcPr>
          <w:p>
            <w:pPr>
              <w:spacing w:after="0"/>
            </w:pPr>
            <w:r>
              <w:rPr>
                <w:sz w:val="14"/>
              </w:rPr>
              <w:t>Authority</w:t>
            </w:r>
          </w:p>
        </w:tc>
        <w:tc>
          <w:tcPr>
            <w:tcW w:type="dxa" w:w="5083"/>
            <w:vAlign w:val="top"/>
          </w:tcPr>
          <w:p>
            <w:pPr>
              <w:spacing w:after="0"/>
            </w:pPr>
            <w:r>
              <w:rPr>
                <w:sz w:val="14"/>
              </w:rPr>
              <w:t>ILAE / Epilepsia</w:t>
            </w:r>
          </w:p>
        </w:tc>
      </w:tr>
      <w:tr>
        <w:tc>
          <w:tcPr>
            <w:tcW w:type="dxa" w:w="5083"/>
            <w:vAlign w:val="top"/>
          </w:tcPr>
          <w:p>
            <w:pPr>
              <w:spacing w:after="0"/>
            </w:pPr>
            <w:r>
              <w:rPr>
                <w:sz w:val="14"/>
              </w:rPr>
              <w:t>Citation</w:t>
            </w:r>
          </w:p>
        </w:tc>
        <w:tc>
          <w:tcPr>
            <w:tcW w:type="dxa" w:w="5083"/>
            <w:vAlign w:val="top"/>
          </w:tcPr>
          <w:p>
            <w:pPr>
              <w:spacing w:after="0"/>
            </w:pPr>
            <w:r>
              <w:rPr>
                <w:sz w:val="14"/>
              </w:rPr>
              <w:t>Kwan P, Arzimanoglou A, Berg AT, et al. Epilepsia. 2010;51(6):1069–1077. DOI: 10.1111/j.1528-1167.2009.02397.x; PMID 19889013</w:t>
            </w:r>
          </w:p>
        </w:tc>
      </w:tr>
      <w:tr>
        <w:tc>
          <w:tcPr>
            <w:tcW w:type="dxa" w:w="5083"/>
            <w:vAlign w:val="top"/>
          </w:tcPr>
          <w:p>
            <w:pPr>
              <w:spacing w:after="0"/>
            </w:pPr>
            <w:r>
              <w:rPr>
                <w:sz w:val="14"/>
              </w:rPr>
              <w:t>Version</w:t>
            </w:r>
          </w:p>
        </w:tc>
        <w:tc>
          <w:tcPr>
            <w:tcW w:type="dxa" w:w="5083"/>
            <w:vAlign w:val="top"/>
          </w:tcPr>
          <w:p>
            <w:pPr>
              <w:spacing w:after="0"/>
            </w:pPr>
            <w:r>
              <w:rPr>
                <w:sz w:val="14"/>
              </w:rPr>
              <w:t>Consensus definition</w:t>
            </w:r>
          </w:p>
        </w:tc>
      </w:tr>
      <w:tr>
        <w:tc>
          <w:tcPr>
            <w:tcW w:type="dxa" w:w="5083"/>
            <w:vAlign w:val="top"/>
          </w:tcPr>
          <w:p>
            <w:pPr>
              <w:spacing w:after="0"/>
            </w:pPr>
            <w:r>
              <w:rPr>
                <w:sz w:val="14"/>
              </w:rPr>
              <w:t>Verification status</w:t>
            </w:r>
          </w:p>
        </w:tc>
        <w:tc>
          <w:tcPr>
            <w:tcW w:type="dxa" w:w="5083"/>
            <w:vAlign w:val="top"/>
          </w:tcPr>
          <w:p>
            <w:pPr>
              <w:spacing w:after="0"/>
            </w:pPr>
            <w:r>
              <w:rPr>
                <w:sz w:val="14"/>
              </w:rPr>
              <w:t>VERIFIED</w:t>
            </w:r>
          </w:p>
        </w:tc>
      </w:tr>
      <w:tr>
        <w:tc>
          <w:tcPr>
            <w:tcW w:type="dxa" w:w="5083"/>
            <w:vAlign w:val="top"/>
          </w:tcPr>
          <w:p>
            <w:pPr>
              <w:spacing w:after="0"/>
            </w:pPr>
            <w:r>
              <w:rPr>
                <w:sz w:val="14"/>
              </w:rPr>
              <w:t>Allowed MedAI use</w:t>
            </w:r>
          </w:p>
        </w:tc>
        <w:tc>
          <w:tcPr>
            <w:tcW w:type="dxa" w:w="5083"/>
            <w:vAlign w:val="top"/>
          </w:tcPr>
          <w:p>
            <w:pPr>
              <w:spacing w:after="0"/>
            </w:pPr>
            <w:r>
              <w:rPr>
                <w:sz w:val="14"/>
              </w:rPr>
              <w:t>DRE rule and medication-trial evidence requirements; supports yes/no/indeterminate MedAI operationalization.</w:t>
            </w:r>
          </w:p>
        </w:tc>
      </w:tr>
      <w:tr>
        <w:tc>
          <w:tcPr>
            <w:tcW w:type="dxa" w:w="5083"/>
            <w:vAlign w:val="top"/>
          </w:tcPr>
          <w:p>
            <w:pPr>
              <w:spacing w:after="0"/>
            </w:pPr>
            <w:r>
              <w:rPr>
                <w:sz w:val="14"/>
              </w:rPr>
              <w:t>License / redistribution note</w:t>
            </w:r>
          </w:p>
        </w:tc>
        <w:tc>
          <w:tcPr>
            <w:tcW w:type="dxa" w:w="5083"/>
            <w:vAlign w:val="top"/>
          </w:tcPr>
          <w:p>
            <w:pPr>
              <w:spacing w:after="0"/>
            </w:pPr>
            <w:r>
              <w:rPr>
                <w:sz w:val="14"/>
              </w:rPr>
              <w:t>Bibliographic/abstract access via PubMed; use concise paraphrase and citation.</w:t>
            </w:r>
          </w:p>
        </w:tc>
      </w:tr>
      <w:tr>
        <w:tc>
          <w:tcPr>
            <w:tcW w:type="dxa" w:w="5083"/>
            <w:vAlign w:val="top"/>
          </w:tcPr>
          <w:p>
            <w:pPr>
              <w:spacing w:after="0"/>
            </w:pPr>
            <w:r>
              <w:rPr>
                <w:sz w:val="14"/>
              </w:rPr>
              <w:t>Authoritative URL</w:t>
            </w:r>
          </w:p>
        </w:tc>
        <w:tc>
          <w:tcPr>
            <w:tcW w:type="dxa" w:w="5083"/>
            <w:vAlign w:val="top"/>
          </w:tcPr>
          <w:p>
            <w:pPr>
              <w:spacing w:after="0"/>
            </w:pPr>
            <w:r>
              <w:rPr>
                <w:sz w:val="14"/>
              </w:rPr>
              <w:t>https://pubmed.ncbi.nlm.nih.gov/19889013/</w:t>
            </w:r>
          </w:p>
        </w:tc>
      </w:tr>
    </w:tbl>
    <w:p/>
    <w:p>
      <w:pPr>
        <w:pStyle w:val="Heading2"/>
      </w:pPr>
      <w:r>
        <w:t>S08 — Standardized computer-based organized reporting of EEG: SCORE — Second version</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4"/>
              </w:rPr>
              <w:t>Field</w:t>
            </w:r>
          </w:p>
        </w:tc>
        <w:tc>
          <w:tcPr>
            <w:tcW w:type="dxa" w:w="5083"/>
            <w:shd w:fill="D9EAF7"/>
          </w:tcPr>
          <w:p>
            <w:r>
              <w:rPr>
                <w:b/>
                <w:sz w:val="14"/>
              </w:rPr>
              <w:t>Recorded value</w:t>
            </w:r>
          </w:p>
        </w:tc>
      </w:tr>
      <w:tr>
        <w:tc>
          <w:tcPr>
            <w:tcW w:type="dxa" w:w="5083"/>
            <w:vAlign w:val="top"/>
          </w:tcPr>
          <w:p>
            <w:pPr>
              <w:spacing w:after="0"/>
            </w:pPr>
            <w:r>
              <w:rPr>
                <w:sz w:val="14"/>
              </w:rPr>
              <w:t>Authority</w:t>
            </w:r>
          </w:p>
        </w:tc>
        <w:tc>
          <w:tcPr>
            <w:tcW w:type="dxa" w:w="5083"/>
            <w:vAlign w:val="top"/>
          </w:tcPr>
          <w:p>
            <w:pPr>
              <w:spacing w:after="0"/>
            </w:pPr>
            <w:r>
              <w:rPr>
                <w:sz w:val="14"/>
              </w:rPr>
              <w:t>IFCN / Clinical Neurophysiology</w:t>
            </w:r>
          </w:p>
        </w:tc>
      </w:tr>
      <w:tr>
        <w:tc>
          <w:tcPr>
            <w:tcW w:type="dxa" w:w="5083"/>
            <w:vAlign w:val="top"/>
          </w:tcPr>
          <w:p>
            <w:pPr>
              <w:spacing w:after="0"/>
            </w:pPr>
            <w:r>
              <w:rPr>
                <w:sz w:val="14"/>
              </w:rPr>
              <w:t>Citation</w:t>
            </w:r>
          </w:p>
        </w:tc>
        <w:tc>
          <w:tcPr>
            <w:tcW w:type="dxa" w:w="5083"/>
            <w:vAlign w:val="top"/>
          </w:tcPr>
          <w:p>
            <w:pPr>
              <w:spacing w:after="0"/>
            </w:pPr>
            <w:r>
              <w:rPr>
                <w:sz w:val="14"/>
              </w:rPr>
              <w:t>Beniczky S, Aurlien H, Brøgger JC, et al. Clin Neurophysiol. 2017;128(11):2334–2346. DOI: 10.1016/j.clinph.2017.07.418; PMID 28838815</w:t>
            </w:r>
          </w:p>
        </w:tc>
      </w:tr>
      <w:tr>
        <w:tc>
          <w:tcPr>
            <w:tcW w:type="dxa" w:w="5083"/>
            <w:vAlign w:val="top"/>
          </w:tcPr>
          <w:p>
            <w:pPr>
              <w:spacing w:after="0"/>
            </w:pPr>
            <w:r>
              <w:rPr>
                <w:sz w:val="14"/>
              </w:rPr>
              <w:t>Version</w:t>
            </w:r>
          </w:p>
        </w:tc>
        <w:tc>
          <w:tcPr>
            <w:tcW w:type="dxa" w:w="5083"/>
            <w:vAlign w:val="top"/>
          </w:tcPr>
          <w:p>
            <w:pPr>
              <w:spacing w:after="0"/>
            </w:pPr>
            <w:r>
              <w:rPr>
                <w:sz w:val="14"/>
              </w:rPr>
              <w:t>SCORE second version</w:t>
            </w:r>
          </w:p>
        </w:tc>
      </w:tr>
      <w:tr>
        <w:tc>
          <w:tcPr>
            <w:tcW w:type="dxa" w:w="5083"/>
            <w:vAlign w:val="top"/>
          </w:tcPr>
          <w:p>
            <w:pPr>
              <w:spacing w:after="0"/>
            </w:pPr>
            <w:r>
              <w:rPr>
                <w:sz w:val="14"/>
              </w:rPr>
              <w:t>Verification status</w:t>
            </w:r>
          </w:p>
        </w:tc>
        <w:tc>
          <w:tcPr>
            <w:tcW w:type="dxa" w:w="5083"/>
            <w:vAlign w:val="top"/>
          </w:tcPr>
          <w:p>
            <w:pPr>
              <w:spacing w:after="0"/>
            </w:pPr>
            <w:r>
              <w:rPr>
                <w:sz w:val="14"/>
              </w:rPr>
              <w:t>VERIFIED PUBLICATION; IMPLEMENTATION SUBSET PENDING</w:t>
            </w:r>
          </w:p>
        </w:tc>
      </w:tr>
      <w:tr>
        <w:tc>
          <w:tcPr>
            <w:tcW w:type="dxa" w:w="5083"/>
            <w:vAlign w:val="top"/>
          </w:tcPr>
          <w:p>
            <w:pPr>
              <w:spacing w:after="0"/>
            </w:pPr>
            <w:r>
              <w:rPr>
                <w:sz w:val="14"/>
              </w:rPr>
              <w:t>Allowed MedAI use</w:t>
            </w:r>
          </w:p>
        </w:tc>
        <w:tc>
          <w:tcPr>
            <w:tcW w:type="dxa" w:w="5083"/>
            <w:vAlign w:val="top"/>
          </w:tcPr>
          <w:p>
            <w:pPr>
              <w:spacing w:after="0"/>
            </w:pPr>
            <w:r>
              <w:rPr>
                <w:sz w:val="14"/>
              </w:rPr>
              <w:t>General structured EEG reporting terminology and organization; exact subset to be frozen for MedAI.</w:t>
            </w:r>
          </w:p>
        </w:tc>
      </w:tr>
      <w:tr>
        <w:tc>
          <w:tcPr>
            <w:tcW w:type="dxa" w:w="5083"/>
            <w:vAlign w:val="top"/>
          </w:tcPr>
          <w:p>
            <w:pPr>
              <w:spacing w:after="0"/>
            </w:pPr>
            <w:r>
              <w:rPr>
                <w:sz w:val="14"/>
              </w:rPr>
              <w:t>License / redistribution note</w:t>
            </w:r>
          </w:p>
        </w:tc>
        <w:tc>
          <w:tcPr>
            <w:tcW w:type="dxa" w:w="5083"/>
            <w:vAlign w:val="top"/>
          </w:tcPr>
          <w:p>
            <w:pPr>
              <w:spacing w:after="0"/>
            </w:pPr>
            <w:r>
              <w:rPr>
                <w:sz w:val="14"/>
              </w:rPr>
              <w:t>Publication copyright applies; do not reproduce controlled content beyond permitted use.</w:t>
            </w:r>
          </w:p>
        </w:tc>
      </w:tr>
      <w:tr>
        <w:tc>
          <w:tcPr>
            <w:tcW w:type="dxa" w:w="5083"/>
            <w:vAlign w:val="top"/>
          </w:tcPr>
          <w:p>
            <w:pPr>
              <w:spacing w:after="0"/>
            </w:pPr>
            <w:r>
              <w:rPr>
                <w:sz w:val="14"/>
              </w:rPr>
              <w:t>Authoritative URL</w:t>
            </w:r>
          </w:p>
        </w:tc>
        <w:tc>
          <w:tcPr>
            <w:tcW w:type="dxa" w:w="5083"/>
            <w:vAlign w:val="top"/>
          </w:tcPr>
          <w:p>
            <w:pPr>
              <w:spacing w:after="0"/>
            </w:pPr>
            <w:r>
              <w:rPr>
                <w:sz w:val="14"/>
              </w:rPr>
              <w:t>https://pubmed.ncbi.nlm.nih.gov/28838815/</w:t>
            </w:r>
          </w:p>
        </w:tc>
      </w:tr>
    </w:tbl>
    <w:p/>
    <w:p>
      <w:pPr>
        <w:pStyle w:val="Heading2"/>
      </w:pPr>
      <w:r>
        <w:t>S09 — ACNS Standardized Critical Care EEG Terminology: 2021 Version</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4"/>
              </w:rPr>
              <w:t>Field</w:t>
            </w:r>
          </w:p>
        </w:tc>
        <w:tc>
          <w:tcPr>
            <w:tcW w:type="dxa" w:w="5083"/>
            <w:shd w:fill="D9EAF7"/>
          </w:tcPr>
          <w:p>
            <w:r>
              <w:rPr>
                <w:b/>
                <w:sz w:val="14"/>
              </w:rPr>
              <w:t>Recorded value</w:t>
            </w:r>
          </w:p>
        </w:tc>
      </w:tr>
      <w:tr>
        <w:tc>
          <w:tcPr>
            <w:tcW w:type="dxa" w:w="5083"/>
            <w:vAlign w:val="top"/>
          </w:tcPr>
          <w:p>
            <w:pPr>
              <w:spacing w:after="0"/>
            </w:pPr>
            <w:r>
              <w:rPr>
                <w:sz w:val="14"/>
              </w:rPr>
              <w:t>Authority</w:t>
            </w:r>
          </w:p>
        </w:tc>
        <w:tc>
          <w:tcPr>
            <w:tcW w:type="dxa" w:w="5083"/>
            <w:vAlign w:val="top"/>
          </w:tcPr>
          <w:p>
            <w:pPr>
              <w:spacing w:after="0"/>
            </w:pPr>
            <w:r>
              <w:rPr>
                <w:sz w:val="14"/>
              </w:rPr>
              <w:t>ACNS / J Clin Neurophysiol</w:t>
            </w:r>
          </w:p>
        </w:tc>
      </w:tr>
      <w:tr>
        <w:tc>
          <w:tcPr>
            <w:tcW w:type="dxa" w:w="5083"/>
            <w:vAlign w:val="top"/>
          </w:tcPr>
          <w:p>
            <w:pPr>
              <w:spacing w:after="0"/>
            </w:pPr>
            <w:r>
              <w:rPr>
                <w:sz w:val="14"/>
              </w:rPr>
              <w:t>Citation</w:t>
            </w:r>
          </w:p>
        </w:tc>
        <w:tc>
          <w:tcPr>
            <w:tcW w:type="dxa" w:w="5083"/>
            <w:vAlign w:val="top"/>
          </w:tcPr>
          <w:p>
            <w:pPr>
              <w:spacing w:after="0"/>
            </w:pPr>
            <w:r>
              <w:rPr>
                <w:sz w:val="14"/>
              </w:rPr>
              <w:t>Hirsch LJ, Fong MWK, Leitinger M, et al. J Clin Neurophysiol. 2021;38(1):1–29. DOI: 10.1097/WNP.0000000000000806; PMID 33475321</w:t>
            </w:r>
          </w:p>
        </w:tc>
      </w:tr>
      <w:tr>
        <w:tc>
          <w:tcPr>
            <w:tcW w:type="dxa" w:w="5083"/>
            <w:vAlign w:val="top"/>
          </w:tcPr>
          <w:p>
            <w:pPr>
              <w:spacing w:after="0"/>
            </w:pPr>
            <w:r>
              <w:rPr>
                <w:sz w:val="14"/>
              </w:rPr>
              <w:t>Version</w:t>
            </w:r>
          </w:p>
        </w:tc>
        <w:tc>
          <w:tcPr>
            <w:tcW w:type="dxa" w:w="5083"/>
            <w:vAlign w:val="top"/>
          </w:tcPr>
          <w:p>
            <w:pPr>
              <w:spacing w:after="0"/>
            </w:pPr>
            <w:r>
              <w:rPr>
                <w:sz w:val="14"/>
              </w:rPr>
              <w:t>2021</w:t>
            </w:r>
          </w:p>
        </w:tc>
      </w:tr>
      <w:tr>
        <w:tc>
          <w:tcPr>
            <w:tcW w:type="dxa" w:w="5083"/>
            <w:vAlign w:val="top"/>
          </w:tcPr>
          <w:p>
            <w:pPr>
              <w:spacing w:after="0"/>
            </w:pPr>
            <w:r>
              <w:rPr>
                <w:sz w:val="14"/>
              </w:rPr>
              <w:t>Verification status</w:t>
            </w:r>
          </w:p>
        </w:tc>
        <w:tc>
          <w:tcPr>
            <w:tcW w:type="dxa" w:w="5083"/>
            <w:vAlign w:val="top"/>
          </w:tcPr>
          <w:p>
            <w:pPr>
              <w:spacing w:after="0"/>
            </w:pPr>
            <w:r>
              <w:rPr>
                <w:sz w:val="14"/>
              </w:rPr>
              <w:t>VERIFIED</w:t>
            </w:r>
          </w:p>
        </w:tc>
      </w:tr>
      <w:tr>
        <w:tc>
          <w:tcPr>
            <w:tcW w:type="dxa" w:w="5083"/>
            <w:vAlign w:val="top"/>
          </w:tcPr>
          <w:p>
            <w:pPr>
              <w:spacing w:after="0"/>
            </w:pPr>
            <w:r>
              <w:rPr>
                <w:sz w:val="14"/>
              </w:rPr>
              <w:t>Allowed MedAI use</w:t>
            </w:r>
          </w:p>
        </w:tc>
        <w:tc>
          <w:tcPr>
            <w:tcW w:type="dxa" w:w="5083"/>
            <w:vAlign w:val="top"/>
          </w:tcPr>
          <w:p>
            <w:pPr>
              <w:spacing w:after="0"/>
            </w:pPr>
            <w:r>
              <w:rPr>
                <w:sz w:val="14"/>
              </w:rPr>
              <w:t>Critical-care EEG terminology only when document/scenario is in scope; not sole vocabulary for outpatient/EMU EEG.</w:t>
            </w:r>
          </w:p>
        </w:tc>
      </w:tr>
      <w:tr>
        <w:tc>
          <w:tcPr>
            <w:tcW w:type="dxa" w:w="5083"/>
            <w:vAlign w:val="top"/>
          </w:tcPr>
          <w:p>
            <w:pPr>
              <w:spacing w:after="0"/>
            </w:pPr>
            <w:r>
              <w:rPr>
                <w:sz w:val="14"/>
              </w:rPr>
              <w:t>License / redistribution note</w:t>
            </w:r>
          </w:p>
        </w:tc>
        <w:tc>
          <w:tcPr>
            <w:tcW w:type="dxa" w:w="5083"/>
            <w:vAlign w:val="top"/>
          </w:tcPr>
          <w:p>
            <w:pPr>
              <w:spacing w:after="0"/>
            </w:pPr>
            <w:r>
              <w:rPr>
                <w:sz w:val="14"/>
              </w:rPr>
              <w:t>Publication/ACNS reuse terms apply.</w:t>
            </w:r>
          </w:p>
        </w:tc>
      </w:tr>
      <w:tr>
        <w:tc>
          <w:tcPr>
            <w:tcW w:type="dxa" w:w="5083"/>
            <w:vAlign w:val="top"/>
          </w:tcPr>
          <w:p>
            <w:pPr>
              <w:spacing w:after="0"/>
            </w:pPr>
            <w:r>
              <w:rPr>
                <w:sz w:val="14"/>
              </w:rPr>
              <w:t>Authoritative URL</w:t>
            </w:r>
          </w:p>
        </w:tc>
        <w:tc>
          <w:tcPr>
            <w:tcW w:type="dxa" w:w="5083"/>
            <w:vAlign w:val="top"/>
          </w:tcPr>
          <w:p>
            <w:pPr>
              <w:spacing w:after="0"/>
            </w:pPr>
            <w:r>
              <w:rPr>
                <w:sz w:val="14"/>
              </w:rPr>
              <w:t>https://pubmed.ncbi.nlm.nih.gov/33475321/</w:t>
            </w:r>
          </w:p>
        </w:tc>
      </w:tr>
    </w:tbl>
    <w:p/>
    <w:p>
      <w:pPr>
        <w:pStyle w:val="Heading2"/>
      </w:pPr>
      <w:r>
        <w:t>S10 — International consensus classification of hippocampal sclerosis in temporal lobe epilepsy</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4"/>
              </w:rPr>
              <w:t>Field</w:t>
            </w:r>
          </w:p>
        </w:tc>
        <w:tc>
          <w:tcPr>
            <w:tcW w:type="dxa" w:w="5083"/>
            <w:shd w:fill="D9EAF7"/>
          </w:tcPr>
          <w:p>
            <w:r>
              <w:rPr>
                <w:b/>
                <w:sz w:val="14"/>
              </w:rPr>
              <w:t>Recorded value</w:t>
            </w:r>
          </w:p>
        </w:tc>
      </w:tr>
      <w:tr>
        <w:tc>
          <w:tcPr>
            <w:tcW w:type="dxa" w:w="5083"/>
            <w:vAlign w:val="top"/>
          </w:tcPr>
          <w:p>
            <w:pPr>
              <w:spacing w:after="0"/>
            </w:pPr>
            <w:r>
              <w:rPr>
                <w:sz w:val="14"/>
              </w:rPr>
              <w:t>Authority</w:t>
            </w:r>
          </w:p>
        </w:tc>
        <w:tc>
          <w:tcPr>
            <w:tcW w:type="dxa" w:w="5083"/>
            <w:vAlign w:val="top"/>
          </w:tcPr>
          <w:p>
            <w:pPr>
              <w:spacing w:after="0"/>
            </w:pPr>
            <w:r>
              <w:rPr>
                <w:sz w:val="14"/>
              </w:rPr>
              <w:t>ILAE / Epilepsia</w:t>
            </w:r>
          </w:p>
        </w:tc>
      </w:tr>
      <w:tr>
        <w:tc>
          <w:tcPr>
            <w:tcW w:type="dxa" w:w="5083"/>
            <w:vAlign w:val="top"/>
          </w:tcPr>
          <w:p>
            <w:pPr>
              <w:spacing w:after="0"/>
            </w:pPr>
            <w:r>
              <w:rPr>
                <w:sz w:val="14"/>
              </w:rPr>
              <w:t>Citation</w:t>
            </w:r>
          </w:p>
        </w:tc>
        <w:tc>
          <w:tcPr>
            <w:tcW w:type="dxa" w:w="5083"/>
            <w:vAlign w:val="top"/>
          </w:tcPr>
          <w:p>
            <w:pPr>
              <w:spacing w:after="0"/>
            </w:pPr>
            <w:r>
              <w:rPr>
                <w:sz w:val="14"/>
              </w:rPr>
              <w:t>Blümcke I, Thom M, Aronica E, et al. Epilepsia. 2013;54(7):1315–1329. DOI: 10.1111/epi.12220; PMID 23692496</w:t>
            </w:r>
          </w:p>
        </w:tc>
      </w:tr>
      <w:tr>
        <w:tc>
          <w:tcPr>
            <w:tcW w:type="dxa" w:w="5083"/>
            <w:vAlign w:val="top"/>
          </w:tcPr>
          <w:p>
            <w:pPr>
              <w:spacing w:after="0"/>
            </w:pPr>
            <w:r>
              <w:rPr>
                <w:sz w:val="14"/>
              </w:rPr>
              <w:t>Version</w:t>
            </w:r>
          </w:p>
        </w:tc>
        <w:tc>
          <w:tcPr>
            <w:tcW w:type="dxa" w:w="5083"/>
            <w:vAlign w:val="top"/>
          </w:tcPr>
          <w:p>
            <w:pPr>
              <w:spacing w:after="0"/>
            </w:pPr>
            <w:r>
              <w:rPr>
                <w:sz w:val="14"/>
              </w:rPr>
              <w:t>ILAE pathology consensus</w:t>
            </w:r>
          </w:p>
        </w:tc>
      </w:tr>
      <w:tr>
        <w:tc>
          <w:tcPr>
            <w:tcW w:type="dxa" w:w="5083"/>
            <w:vAlign w:val="top"/>
          </w:tcPr>
          <w:p>
            <w:pPr>
              <w:spacing w:after="0"/>
            </w:pPr>
            <w:r>
              <w:rPr>
                <w:sz w:val="14"/>
              </w:rPr>
              <w:t>Verification status</w:t>
            </w:r>
          </w:p>
        </w:tc>
        <w:tc>
          <w:tcPr>
            <w:tcW w:type="dxa" w:w="5083"/>
            <w:vAlign w:val="top"/>
          </w:tcPr>
          <w:p>
            <w:pPr>
              <w:spacing w:after="0"/>
            </w:pPr>
            <w:r>
              <w:rPr>
                <w:sz w:val="14"/>
              </w:rPr>
              <w:t>VERIFIED</w:t>
            </w:r>
          </w:p>
        </w:tc>
      </w:tr>
      <w:tr>
        <w:tc>
          <w:tcPr>
            <w:tcW w:type="dxa" w:w="5083"/>
            <w:vAlign w:val="top"/>
          </w:tcPr>
          <w:p>
            <w:pPr>
              <w:spacing w:after="0"/>
            </w:pPr>
            <w:r>
              <w:rPr>
                <w:sz w:val="14"/>
              </w:rPr>
              <w:t>Allowed MedAI use</w:t>
            </w:r>
          </w:p>
        </w:tc>
        <w:tc>
          <w:tcPr>
            <w:tcW w:type="dxa" w:w="5083"/>
            <w:vAlign w:val="top"/>
          </w:tcPr>
          <w:p>
            <w:pPr>
              <w:spacing w:after="0"/>
            </w:pPr>
            <w:r>
              <w:rPr>
                <w:sz w:val="14"/>
              </w:rPr>
              <w:t>Neuropathologic HS classification. Do not assign pathology subtype from MRI-only text.</w:t>
            </w:r>
          </w:p>
        </w:tc>
      </w:tr>
      <w:tr>
        <w:tc>
          <w:tcPr>
            <w:tcW w:type="dxa" w:w="5083"/>
            <w:vAlign w:val="top"/>
          </w:tcPr>
          <w:p>
            <w:pPr>
              <w:spacing w:after="0"/>
            </w:pPr>
            <w:r>
              <w:rPr>
                <w:sz w:val="14"/>
              </w:rPr>
              <w:t>License / redistribution note</w:t>
            </w:r>
          </w:p>
        </w:tc>
        <w:tc>
          <w:tcPr>
            <w:tcW w:type="dxa" w:w="5083"/>
            <w:vAlign w:val="top"/>
          </w:tcPr>
          <w:p>
            <w:pPr>
              <w:spacing w:after="0"/>
            </w:pPr>
            <w:r>
              <w:rPr>
                <w:sz w:val="14"/>
              </w:rPr>
              <w:t>Publication copyright applies; cite/paraphrase.</w:t>
            </w:r>
          </w:p>
        </w:tc>
      </w:tr>
      <w:tr>
        <w:tc>
          <w:tcPr>
            <w:tcW w:type="dxa" w:w="5083"/>
            <w:vAlign w:val="top"/>
          </w:tcPr>
          <w:p>
            <w:pPr>
              <w:spacing w:after="0"/>
            </w:pPr>
            <w:r>
              <w:rPr>
                <w:sz w:val="14"/>
              </w:rPr>
              <w:t>Authoritative URL</w:t>
            </w:r>
          </w:p>
        </w:tc>
        <w:tc>
          <w:tcPr>
            <w:tcW w:type="dxa" w:w="5083"/>
            <w:vAlign w:val="top"/>
          </w:tcPr>
          <w:p>
            <w:pPr>
              <w:spacing w:after="0"/>
            </w:pPr>
            <w:r>
              <w:rPr>
                <w:sz w:val="14"/>
              </w:rPr>
              <w:t>https://pubmed.ncbi.nlm.nih.gov/23692496/</w:t>
            </w:r>
          </w:p>
        </w:tc>
      </w:tr>
    </w:tbl>
    <w:p/>
    <w:p>
      <w:pPr>
        <w:pStyle w:val="Heading2"/>
      </w:pPr>
      <w:r>
        <w:t>S11 — ILAE consensus classification of focal cortical dysplasia: update</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4"/>
              </w:rPr>
              <w:t>Field</w:t>
            </w:r>
          </w:p>
        </w:tc>
        <w:tc>
          <w:tcPr>
            <w:tcW w:type="dxa" w:w="5083"/>
            <w:shd w:fill="D9EAF7"/>
          </w:tcPr>
          <w:p>
            <w:r>
              <w:rPr>
                <w:b/>
                <w:sz w:val="14"/>
              </w:rPr>
              <w:t>Recorded value</w:t>
            </w:r>
          </w:p>
        </w:tc>
      </w:tr>
      <w:tr>
        <w:tc>
          <w:tcPr>
            <w:tcW w:type="dxa" w:w="5083"/>
            <w:vAlign w:val="top"/>
          </w:tcPr>
          <w:p>
            <w:pPr>
              <w:spacing w:after="0"/>
            </w:pPr>
            <w:r>
              <w:rPr>
                <w:sz w:val="14"/>
              </w:rPr>
              <w:t>Authority</w:t>
            </w:r>
          </w:p>
        </w:tc>
        <w:tc>
          <w:tcPr>
            <w:tcW w:type="dxa" w:w="5083"/>
            <w:vAlign w:val="top"/>
          </w:tcPr>
          <w:p>
            <w:pPr>
              <w:spacing w:after="0"/>
            </w:pPr>
            <w:r>
              <w:rPr>
                <w:sz w:val="14"/>
              </w:rPr>
              <w:t>ILAE / Epilepsia</w:t>
            </w:r>
          </w:p>
        </w:tc>
      </w:tr>
      <w:tr>
        <w:tc>
          <w:tcPr>
            <w:tcW w:type="dxa" w:w="5083"/>
            <w:vAlign w:val="top"/>
          </w:tcPr>
          <w:p>
            <w:pPr>
              <w:spacing w:after="0"/>
            </w:pPr>
            <w:r>
              <w:rPr>
                <w:sz w:val="14"/>
              </w:rPr>
              <w:t>Citation</w:t>
            </w:r>
          </w:p>
        </w:tc>
        <w:tc>
          <w:tcPr>
            <w:tcW w:type="dxa" w:w="5083"/>
            <w:vAlign w:val="top"/>
          </w:tcPr>
          <w:p>
            <w:pPr>
              <w:spacing w:after="0"/>
            </w:pPr>
            <w:r>
              <w:rPr>
                <w:sz w:val="14"/>
              </w:rPr>
              <w:t>Najm I, Lal D, Alonso Vanegas M, et al. Epilepsia. 2022;63(8):1899–1919. DOI: 10.1111/epi.17301; PMID 35706131</w:t>
            </w:r>
          </w:p>
        </w:tc>
      </w:tr>
      <w:tr>
        <w:tc>
          <w:tcPr>
            <w:tcW w:type="dxa" w:w="5083"/>
            <w:vAlign w:val="top"/>
          </w:tcPr>
          <w:p>
            <w:pPr>
              <w:spacing w:after="0"/>
            </w:pPr>
            <w:r>
              <w:rPr>
                <w:sz w:val="14"/>
              </w:rPr>
              <w:t>Version</w:t>
            </w:r>
          </w:p>
        </w:tc>
        <w:tc>
          <w:tcPr>
            <w:tcW w:type="dxa" w:w="5083"/>
            <w:vAlign w:val="top"/>
          </w:tcPr>
          <w:p>
            <w:pPr>
              <w:spacing w:after="0"/>
            </w:pPr>
            <w:r>
              <w:rPr>
                <w:sz w:val="14"/>
              </w:rPr>
              <w:t>2022 update</w:t>
            </w:r>
          </w:p>
        </w:tc>
      </w:tr>
      <w:tr>
        <w:tc>
          <w:tcPr>
            <w:tcW w:type="dxa" w:w="5083"/>
            <w:vAlign w:val="top"/>
          </w:tcPr>
          <w:p>
            <w:pPr>
              <w:spacing w:after="0"/>
            </w:pPr>
            <w:r>
              <w:rPr>
                <w:sz w:val="14"/>
              </w:rPr>
              <w:t>Verification status</w:t>
            </w:r>
          </w:p>
        </w:tc>
        <w:tc>
          <w:tcPr>
            <w:tcW w:type="dxa" w:w="5083"/>
            <w:vAlign w:val="top"/>
          </w:tcPr>
          <w:p>
            <w:pPr>
              <w:spacing w:after="0"/>
            </w:pPr>
            <w:r>
              <w:rPr>
                <w:sz w:val="14"/>
              </w:rPr>
              <w:t>VERIFIED</w:t>
            </w:r>
          </w:p>
        </w:tc>
      </w:tr>
      <w:tr>
        <w:tc>
          <w:tcPr>
            <w:tcW w:type="dxa" w:w="5083"/>
            <w:vAlign w:val="top"/>
          </w:tcPr>
          <w:p>
            <w:pPr>
              <w:spacing w:after="0"/>
            </w:pPr>
            <w:r>
              <w:rPr>
                <w:sz w:val="14"/>
              </w:rPr>
              <w:t>Allowed MedAI use</w:t>
            </w:r>
          </w:p>
        </w:tc>
        <w:tc>
          <w:tcPr>
            <w:tcW w:type="dxa" w:w="5083"/>
            <w:vAlign w:val="top"/>
          </w:tcPr>
          <w:p>
            <w:pPr>
              <w:spacing w:after="0"/>
            </w:pPr>
            <w:r>
              <w:rPr>
                <w:sz w:val="14"/>
              </w:rPr>
              <w:t>FCD pathology classification; imaging suspicion remains distinct from pathology subtype.</w:t>
            </w:r>
          </w:p>
        </w:tc>
      </w:tr>
      <w:tr>
        <w:tc>
          <w:tcPr>
            <w:tcW w:type="dxa" w:w="5083"/>
            <w:vAlign w:val="top"/>
          </w:tcPr>
          <w:p>
            <w:pPr>
              <w:spacing w:after="0"/>
            </w:pPr>
            <w:r>
              <w:rPr>
                <w:sz w:val="14"/>
              </w:rPr>
              <w:t>License / redistribution note</w:t>
            </w:r>
          </w:p>
        </w:tc>
        <w:tc>
          <w:tcPr>
            <w:tcW w:type="dxa" w:w="5083"/>
            <w:vAlign w:val="top"/>
          </w:tcPr>
          <w:p>
            <w:pPr>
              <w:spacing w:after="0"/>
            </w:pPr>
            <w:r>
              <w:rPr>
                <w:sz w:val="14"/>
              </w:rPr>
              <w:t>Publication copyright applies; cite/paraphrase.</w:t>
            </w:r>
          </w:p>
        </w:tc>
      </w:tr>
      <w:tr>
        <w:tc>
          <w:tcPr>
            <w:tcW w:type="dxa" w:w="5083"/>
            <w:vAlign w:val="top"/>
          </w:tcPr>
          <w:p>
            <w:pPr>
              <w:spacing w:after="0"/>
            </w:pPr>
            <w:r>
              <w:rPr>
                <w:sz w:val="14"/>
              </w:rPr>
              <w:t>Authoritative URL</w:t>
            </w:r>
          </w:p>
        </w:tc>
        <w:tc>
          <w:tcPr>
            <w:tcW w:type="dxa" w:w="5083"/>
            <w:vAlign w:val="top"/>
          </w:tcPr>
          <w:p>
            <w:pPr>
              <w:spacing w:after="0"/>
            </w:pPr>
            <w:r>
              <w:rPr>
                <w:sz w:val="14"/>
              </w:rPr>
              <w:t>https://pubmed.ncbi.nlm.nih.gov/35706131/</w:t>
            </w:r>
          </w:p>
        </w:tc>
      </w:tr>
    </w:tbl>
    <w:p/>
    <w:p>
      <w:pPr>
        <w:pStyle w:val="Heading2"/>
      </w:pPr>
      <w:r>
        <w:t>S12 — RxNorm</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4"/>
              </w:rPr>
              <w:t>Field</w:t>
            </w:r>
          </w:p>
        </w:tc>
        <w:tc>
          <w:tcPr>
            <w:tcW w:type="dxa" w:w="5083"/>
            <w:shd w:fill="D9EAF7"/>
          </w:tcPr>
          <w:p>
            <w:r>
              <w:rPr>
                <w:b/>
                <w:sz w:val="14"/>
              </w:rPr>
              <w:t>Recorded value</w:t>
            </w:r>
          </w:p>
        </w:tc>
      </w:tr>
      <w:tr>
        <w:tc>
          <w:tcPr>
            <w:tcW w:type="dxa" w:w="5083"/>
            <w:vAlign w:val="top"/>
          </w:tcPr>
          <w:p>
            <w:pPr>
              <w:spacing w:after="0"/>
            </w:pPr>
            <w:r>
              <w:rPr>
                <w:sz w:val="14"/>
              </w:rPr>
              <w:t>Authority</w:t>
            </w:r>
          </w:p>
        </w:tc>
        <w:tc>
          <w:tcPr>
            <w:tcW w:type="dxa" w:w="5083"/>
            <w:vAlign w:val="top"/>
          </w:tcPr>
          <w:p>
            <w:pPr>
              <w:spacing w:after="0"/>
            </w:pPr>
            <w:r>
              <w:rPr>
                <w:sz w:val="14"/>
              </w:rPr>
              <w:t>U.S. National Library of Medicine</w:t>
            </w:r>
          </w:p>
        </w:tc>
      </w:tr>
      <w:tr>
        <w:tc>
          <w:tcPr>
            <w:tcW w:type="dxa" w:w="5083"/>
            <w:vAlign w:val="top"/>
          </w:tcPr>
          <w:p>
            <w:pPr>
              <w:spacing w:after="0"/>
            </w:pPr>
            <w:r>
              <w:rPr>
                <w:sz w:val="14"/>
              </w:rPr>
              <w:t>Citation</w:t>
            </w:r>
          </w:p>
        </w:tc>
        <w:tc>
          <w:tcPr>
            <w:tcW w:type="dxa" w:w="5083"/>
            <w:vAlign w:val="top"/>
          </w:tcPr>
          <w:p>
            <w:pPr>
              <w:spacing w:after="0"/>
            </w:pPr>
            <w:r>
              <w:rPr>
                <w:sz w:val="14"/>
              </w:rPr>
              <w:t>NLM RxNorm Overview and Technical Documentation.</w:t>
            </w:r>
          </w:p>
        </w:tc>
      </w:tr>
      <w:tr>
        <w:tc>
          <w:tcPr>
            <w:tcW w:type="dxa" w:w="5083"/>
            <w:vAlign w:val="top"/>
          </w:tcPr>
          <w:p>
            <w:pPr>
              <w:spacing w:after="0"/>
            </w:pPr>
            <w:r>
              <w:rPr>
                <w:sz w:val="14"/>
              </w:rPr>
              <w:t>Version</w:t>
            </w:r>
          </w:p>
        </w:tc>
        <w:tc>
          <w:tcPr>
            <w:tcW w:type="dxa" w:w="5083"/>
            <w:vAlign w:val="top"/>
          </w:tcPr>
          <w:p>
            <w:pPr>
              <w:spacing w:after="0"/>
            </w:pPr>
            <w:r>
              <w:rPr>
                <w:sz w:val="14"/>
              </w:rPr>
              <w:t>Release must be frozen at mapping time</w:t>
            </w:r>
          </w:p>
        </w:tc>
      </w:tr>
      <w:tr>
        <w:tc>
          <w:tcPr>
            <w:tcW w:type="dxa" w:w="5083"/>
            <w:vAlign w:val="top"/>
          </w:tcPr>
          <w:p>
            <w:pPr>
              <w:spacing w:after="0"/>
            </w:pPr>
            <w:r>
              <w:rPr>
                <w:sz w:val="14"/>
              </w:rPr>
              <w:t>Verification status</w:t>
            </w:r>
          </w:p>
        </w:tc>
        <w:tc>
          <w:tcPr>
            <w:tcW w:type="dxa" w:w="5083"/>
            <w:vAlign w:val="top"/>
          </w:tcPr>
          <w:p>
            <w:pPr>
              <w:spacing w:after="0"/>
            </w:pPr>
            <w:r>
              <w:rPr>
                <w:sz w:val="14"/>
              </w:rPr>
              <w:t>VERIFIED SYSTEM; RELEASE/RXCUIs PENDING</w:t>
            </w:r>
          </w:p>
        </w:tc>
      </w:tr>
      <w:tr>
        <w:tc>
          <w:tcPr>
            <w:tcW w:type="dxa" w:w="5083"/>
            <w:vAlign w:val="top"/>
          </w:tcPr>
          <w:p>
            <w:pPr>
              <w:spacing w:after="0"/>
            </w:pPr>
            <w:r>
              <w:rPr>
                <w:sz w:val="14"/>
              </w:rPr>
              <w:t>Allowed MedAI use</w:t>
            </w:r>
          </w:p>
        </w:tc>
        <w:tc>
          <w:tcPr>
            <w:tcW w:type="dxa" w:w="5083"/>
            <w:vAlign w:val="top"/>
          </w:tcPr>
          <w:p>
            <w:pPr>
              <w:spacing w:after="0"/>
            </w:pPr>
            <w:r>
              <w:rPr>
                <w:sz w:val="14"/>
              </w:rPr>
              <w:t>Normalize generic/brand medication concepts and verified RXCUIs; no guessed identifiers.</w:t>
            </w:r>
          </w:p>
        </w:tc>
      </w:tr>
      <w:tr>
        <w:tc>
          <w:tcPr>
            <w:tcW w:type="dxa" w:w="5083"/>
            <w:vAlign w:val="top"/>
          </w:tcPr>
          <w:p>
            <w:pPr>
              <w:spacing w:after="0"/>
            </w:pPr>
            <w:r>
              <w:rPr>
                <w:sz w:val="14"/>
              </w:rPr>
              <w:t>License / redistribution note</w:t>
            </w:r>
          </w:p>
        </w:tc>
        <w:tc>
          <w:tcPr>
            <w:tcW w:type="dxa" w:w="5083"/>
            <w:vAlign w:val="top"/>
          </w:tcPr>
          <w:p>
            <w:pPr>
              <w:spacing w:after="0"/>
            </w:pPr>
            <w:r>
              <w:rPr>
                <w:sz w:val="14"/>
              </w:rPr>
              <w:t>Record the exact RxNorm release and applicable NLM/UMLS terms for redistributed mapping artifacts.</w:t>
            </w:r>
          </w:p>
        </w:tc>
      </w:tr>
      <w:tr>
        <w:tc>
          <w:tcPr>
            <w:tcW w:type="dxa" w:w="5083"/>
            <w:vAlign w:val="top"/>
          </w:tcPr>
          <w:p>
            <w:pPr>
              <w:spacing w:after="0"/>
            </w:pPr>
            <w:r>
              <w:rPr>
                <w:sz w:val="14"/>
              </w:rPr>
              <w:t>Authoritative URL</w:t>
            </w:r>
          </w:p>
        </w:tc>
        <w:tc>
          <w:tcPr>
            <w:tcW w:type="dxa" w:w="5083"/>
            <w:vAlign w:val="top"/>
          </w:tcPr>
          <w:p>
            <w:pPr>
              <w:spacing w:after="0"/>
            </w:pPr>
            <w:r>
              <w:rPr>
                <w:sz w:val="14"/>
              </w:rPr>
              <w:t>https://www.nlm.nih.gov/research/umls/rxnorm/overview.html</w:t>
            </w:r>
          </w:p>
        </w:tc>
      </w:tr>
    </w:tbl>
    <w:p/>
    <w:p>
      <w:pPr>
        <w:pStyle w:val="Heading2"/>
      </w:pPr>
      <w:r>
        <w:t>S13 — SNOMED CT</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4"/>
              </w:rPr>
              <w:t>Field</w:t>
            </w:r>
          </w:p>
        </w:tc>
        <w:tc>
          <w:tcPr>
            <w:tcW w:type="dxa" w:w="5083"/>
            <w:shd w:fill="D9EAF7"/>
          </w:tcPr>
          <w:p>
            <w:r>
              <w:rPr>
                <w:b/>
                <w:sz w:val="14"/>
              </w:rPr>
              <w:t>Recorded value</w:t>
            </w:r>
          </w:p>
        </w:tc>
      </w:tr>
      <w:tr>
        <w:tc>
          <w:tcPr>
            <w:tcW w:type="dxa" w:w="5083"/>
            <w:vAlign w:val="top"/>
          </w:tcPr>
          <w:p>
            <w:pPr>
              <w:spacing w:after="0"/>
            </w:pPr>
            <w:r>
              <w:rPr>
                <w:sz w:val="14"/>
              </w:rPr>
              <w:t>Authority</w:t>
            </w:r>
          </w:p>
        </w:tc>
        <w:tc>
          <w:tcPr>
            <w:tcW w:type="dxa" w:w="5083"/>
            <w:vAlign w:val="top"/>
          </w:tcPr>
          <w:p>
            <w:pPr>
              <w:spacing w:after="0"/>
            </w:pPr>
            <w:r>
              <w:rPr>
                <w:sz w:val="14"/>
              </w:rPr>
              <w:t>SNOMED International</w:t>
            </w:r>
          </w:p>
        </w:tc>
      </w:tr>
      <w:tr>
        <w:tc>
          <w:tcPr>
            <w:tcW w:type="dxa" w:w="5083"/>
            <w:vAlign w:val="top"/>
          </w:tcPr>
          <w:p>
            <w:pPr>
              <w:spacing w:after="0"/>
            </w:pPr>
            <w:r>
              <w:rPr>
                <w:sz w:val="14"/>
              </w:rPr>
              <w:t>Citation</w:t>
            </w:r>
          </w:p>
        </w:tc>
        <w:tc>
          <w:tcPr>
            <w:tcW w:type="dxa" w:w="5083"/>
            <w:vAlign w:val="top"/>
          </w:tcPr>
          <w:p>
            <w:pPr>
              <w:spacing w:after="0"/>
            </w:pPr>
            <w:r>
              <w:rPr>
                <w:sz w:val="14"/>
              </w:rPr>
              <w:t>SNOMED International licensing and specifications.</w:t>
            </w:r>
          </w:p>
        </w:tc>
      </w:tr>
      <w:tr>
        <w:tc>
          <w:tcPr>
            <w:tcW w:type="dxa" w:w="5083"/>
            <w:vAlign w:val="top"/>
          </w:tcPr>
          <w:p>
            <w:pPr>
              <w:spacing w:after="0"/>
            </w:pPr>
            <w:r>
              <w:rPr>
                <w:sz w:val="14"/>
              </w:rPr>
              <w:t>Version</w:t>
            </w:r>
          </w:p>
        </w:tc>
        <w:tc>
          <w:tcPr>
            <w:tcW w:type="dxa" w:w="5083"/>
            <w:vAlign w:val="top"/>
          </w:tcPr>
          <w:p>
            <w:pPr>
              <w:spacing w:after="0"/>
            </w:pPr>
            <w:r>
              <w:rPr>
                <w:sz w:val="14"/>
              </w:rPr>
              <w:t>Exact edition/release must be frozen</w:t>
            </w:r>
          </w:p>
        </w:tc>
      </w:tr>
      <w:tr>
        <w:tc>
          <w:tcPr>
            <w:tcW w:type="dxa" w:w="5083"/>
            <w:vAlign w:val="top"/>
          </w:tcPr>
          <w:p>
            <w:pPr>
              <w:spacing w:after="0"/>
            </w:pPr>
            <w:r>
              <w:rPr>
                <w:sz w:val="14"/>
              </w:rPr>
              <w:t>Verification status</w:t>
            </w:r>
          </w:p>
        </w:tc>
        <w:tc>
          <w:tcPr>
            <w:tcW w:type="dxa" w:w="5083"/>
            <w:vAlign w:val="top"/>
          </w:tcPr>
          <w:p>
            <w:pPr>
              <w:spacing w:after="0"/>
            </w:pPr>
            <w:r>
              <w:rPr>
                <w:sz w:val="14"/>
              </w:rPr>
              <w:t>VERIFIED SYSTEM; LICENSE/EDITION/IDS PENDING</w:t>
            </w:r>
          </w:p>
        </w:tc>
      </w:tr>
      <w:tr>
        <w:tc>
          <w:tcPr>
            <w:tcW w:type="dxa" w:w="5083"/>
            <w:vAlign w:val="top"/>
          </w:tcPr>
          <w:p>
            <w:pPr>
              <w:spacing w:after="0"/>
            </w:pPr>
            <w:r>
              <w:rPr>
                <w:sz w:val="14"/>
              </w:rPr>
              <w:t>Allowed MedAI use</w:t>
            </w:r>
          </w:p>
        </w:tc>
        <w:tc>
          <w:tcPr>
            <w:tcW w:type="dxa" w:w="5083"/>
            <w:vAlign w:val="top"/>
          </w:tcPr>
          <w:p>
            <w:pPr>
              <w:spacing w:after="0"/>
            </w:pPr>
            <w:r>
              <w:rPr>
                <w:sz w:val="14"/>
              </w:rPr>
              <w:t>General clinical concept normalization where a verified mapping adds value.</w:t>
            </w:r>
          </w:p>
        </w:tc>
      </w:tr>
      <w:tr>
        <w:tc>
          <w:tcPr>
            <w:tcW w:type="dxa" w:w="5083"/>
            <w:vAlign w:val="top"/>
          </w:tcPr>
          <w:p>
            <w:pPr>
              <w:spacing w:after="0"/>
            </w:pPr>
            <w:r>
              <w:rPr>
                <w:sz w:val="14"/>
              </w:rPr>
              <w:t>License / redistribution note</w:t>
            </w:r>
          </w:p>
        </w:tc>
        <w:tc>
          <w:tcPr>
            <w:tcW w:type="dxa" w:w="5083"/>
            <w:vAlign w:val="top"/>
          </w:tcPr>
          <w:p>
            <w:pPr>
              <w:spacing w:after="0"/>
            </w:pPr>
            <w:r>
              <w:rPr>
                <w:sz w:val="14"/>
              </w:rPr>
              <w:t>Use/distribution is license-governed. U.S. is a member territory, but project distribution obligations must still be checked before shipping codes/content.</w:t>
            </w:r>
          </w:p>
        </w:tc>
      </w:tr>
      <w:tr>
        <w:tc>
          <w:tcPr>
            <w:tcW w:type="dxa" w:w="5083"/>
            <w:vAlign w:val="top"/>
          </w:tcPr>
          <w:p>
            <w:pPr>
              <w:spacing w:after="0"/>
            </w:pPr>
            <w:r>
              <w:rPr>
                <w:sz w:val="14"/>
              </w:rPr>
              <w:t>Authoritative URL</w:t>
            </w:r>
          </w:p>
        </w:tc>
        <w:tc>
          <w:tcPr>
            <w:tcW w:type="dxa" w:w="5083"/>
            <w:vAlign w:val="top"/>
          </w:tcPr>
          <w:p>
            <w:pPr>
              <w:spacing w:after="0"/>
            </w:pPr>
            <w:r>
              <w:rPr>
                <w:sz w:val="14"/>
              </w:rPr>
              <w:t>https://www.snomed.org/licensing</w:t>
            </w:r>
          </w:p>
        </w:tc>
      </w:tr>
    </w:tbl>
    <w:p/>
    <w:p>
      <w:pPr>
        <w:pStyle w:val="Heading2"/>
      </w:pPr>
      <w:r>
        <w:t>S14 — RadLex Radiology Lexicon</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4"/>
              </w:rPr>
              <w:t>Field</w:t>
            </w:r>
          </w:p>
        </w:tc>
        <w:tc>
          <w:tcPr>
            <w:tcW w:type="dxa" w:w="5083"/>
            <w:shd w:fill="D9EAF7"/>
          </w:tcPr>
          <w:p>
            <w:r>
              <w:rPr>
                <w:b/>
                <w:sz w:val="14"/>
              </w:rPr>
              <w:t>Recorded value</w:t>
            </w:r>
          </w:p>
        </w:tc>
      </w:tr>
      <w:tr>
        <w:tc>
          <w:tcPr>
            <w:tcW w:type="dxa" w:w="5083"/>
            <w:vAlign w:val="top"/>
          </w:tcPr>
          <w:p>
            <w:pPr>
              <w:spacing w:after="0"/>
            </w:pPr>
            <w:r>
              <w:rPr>
                <w:sz w:val="14"/>
              </w:rPr>
              <w:t>Authority</w:t>
            </w:r>
          </w:p>
        </w:tc>
        <w:tc>
          <w:tcPr>
            <w:tcW w:type="dxa" w:w="5083"/>
            <w:vAlign w:val="top"/>
          </w:tcPr>
          <w:p>
            <w:pPr>
              <w:spacing w:after="0"/>
            </w:pPr>
            <w:r>
              <w:rPr>
                <w:sz w:val="14"/>
              </w:rPr>
              <w:t>RSNA</w:t>
            </w:r>
          </w:p>
        </w:tc>
      </w:tr>
      <w:tr>
        <w:tc>
          <w:tcPr>
            <w:tcW w:type="dxa" w:w="5083"/>
            <w:vAlign w:val="top"/>
          </w:tcPr>
          <w:p>
            <w:pPr>
              <w:spacing w:after="0"/>
            </w:pPr>
            <w:r>
              <w:rPr>
                <w:sz w:val="14"/>
              </w:rPr>
              <w:t>Citation</w:t>
            </w:r>
          </w:p>
        </w:tc>
        <w:tc>
          <w:tcPr>
            <w:tcW w:type="dxa" w:w="5083"/>
            <w:vAlign w:val="top"/>
          </w:tcPr>
          <w:p>
            <w:pPr>
              <w:spacing w:after="0"/>
            </w:pPr>
            <w:r>
              <w:rPr>
                <w:sz w:val="14"/>
              </w:rPr>
              <w:t>RSNA RadLex Radiology Lexicon.</w:t>
            </w:r>
          </w:p>
        </w:tc>
      </w:tr>
      <w:tr>
        <w:tc>
          <w:tcPr>
            <w:tcW w:type="dxa" w:w="5083"/>
            <w:vAlign w:val="top"/>
          </w:tcPr>
          <w:p>
            <w:pPr>
              <w:spacing w:after="0"/>
            </w:pPr>
            <w:r>
              <w:rPr>
                <w:sz w:val="14"/>
              </w:rPr>
              <w:t>Version</w:t>
            </w:r>
          </w:p>
        </w:tc>
        <w:tc>
          <w:tcPr>
            <w:tcW w:type="dxa" w:w="5083"/>
            <w:vAlign w:val="top"/>
          </w:tcPr>
          <w:p>
            <w:pPr>
              <w:spacing w:after="0"/>
            </w:pPr>
            <w:r>
              <w:rPr>
                <w:sz w:val="14"/>
              </w:rPr>
              <w:t>Release must be frozen before mappings</w:t>
            </w:r>
          </w:p>
        </w:tc>
      </w:tr>
      <w:tr>
        <w:tc>
          <w:tcPr>
            <w:tcW w:type="dxa" w:w="5083"/>
            <w:vAlign w:val="top"/>
          </w:tcPr>
          <w:p>
            <w:pPr>
              <w:spacing w:after="0"/>
            </w:pPr>
            <w:r>
              <w:rPr>
                <w:sz w:val="14"/>
              </w:rPr>
              <w:t>Verification status</w:t>
            </w:r>
          </w:p>
        </w:tc>
        <w:tc>
          <w:tcPr>
            <w:tcW w:type="dxa" w:w="5083"/>
            <w:vAlign w:val="top"/>
          </w:tcPr>
          <w:p>
            <w:pPr>
              <w:spacing w:after="0"/>
            </w:pPr>
            <w:r>
              <w:rPr>
                <w:sz w:val="14"/>
              </w:rPr>
              <w:t>VERIFIED SYSTEM; RELEASE/IDS PENDING</w:t>
            </w:r>
          </w:p>
        </w:tc>
      </w:tr>
      <w:tr>
        <w:tc>
          <w:tcPr>
            <w:tcW w:type="dxa" w:w="5083"/>
            <w:vAlign w:val="top"/>
          </w:tcPr>
          <w:p>
            <w:pPr>
              <w:spacing w:after="0"/>
            </w:pPr>
            <w:r>
              <w:rPr>
                <w:sz w:val="14"/>
              </w:rPr>
              <w:t>Allowed MedAI use</w:t>
            </w:r>
          </w:p>
        </w:tc>
        <w:tc>
          <w:tcPr>
            <w:tcW w:type="dxa" w:w="5083"/>
            <w:vAlign w:val="top"/>
          </w:tcPr>
          <w:p>
            <w:pPr>
              <w:spacing w:after="0"/>
            </w:pPr>
            <w:r>
              <w:rPr>
                <w:sz w:val="14"/>
              </w:rPr>
              <w:t>Radiology/anatomy terminology for MRI findings where exact mappings are verified.</w:t>
            </w:r>
          </w:p>
        </w:tc>
      </w:tr>
      <w:tr>
        <w:tc>
          <w:tcPr>
            <w:tcW w:type="dxa" w:w="5083"/>
            <w:vAlign w:val="top"/>
          </w:tcPr>
          <w:p>
            <w:pPr>
              <w:spacing w:after="0"/>
            </w:pPr>
            <w:r>
              <w:rPr>
                <w:sz w:val="14"/>
              </w:rPr>
              <w:t>License / redistribution note</w:t>
            </w:r>
          </w:p>
        </w:tc>
        <w:tc>
          <w:tcPr>
            <w:tcW w:type="dxa" w:w="5083"/>
            <w:vAlign w:val="top"/>
          </w:tcPr>
          <w:p>
            <w:pPr>
              <w:spacing w:after="0"/>
            </w:pPr>
            <w:r>
              <w:rPr>
                <w:sz w:val="14"/>
              </w:rPr>
              <w:t>RSNA states RadLex is freely licensed for commercial and non-commercial users; archive the applicable license/release notes.</w:t>
            </w:r>
          </w:p>
        </w:tc>
      </w:tr>
      <w:tr>
        <w:tc>
          <w:tcPr>
            <w:tcW w:type="dxa" w:w="5083"/>
            <w:vAlign w:val="top"/>
          </w:tcPr>
          <w:p>
            <w:pPr>
              <w:spacing w:after="0"/>
            </w:pPr>
            <w:r>
              <w:rPr>
                <w:sz w:val="14"/>
              </w:rPr>
              <w:t>Authoritative URL</w:t>
            </w:r>
          </w:p>
        </w:tc>
        <w:tc>
          <w:tcPr>
            <w:tcW w:type="dxa" w:w="5083"/>
            <w:vAlign w:val="top"/>
          </w:tcPr>
          <w:p>
            <w:pPr>
              <w:spacing w:after="0"/>
            </w:pPr>
            <w:r>
              <w:rPr>
                <w:sz w:val="14"/>
              </w:rPr>
              <w:t>https://www.rsna.org/practice-tools/data-tools-and-standards/radlex-radiology-lexicon</w:t>
            </w:r>
          </w:p>
        </w:tc>
      </w:tr>
    </w:tbl>
    <w:p/>
    <w:p>
      <w:pPr>
        <w:pStyle w:val="Heading2"/>
      </w:pPr>
      <w:r>
        <w:t>S15 — OMOP Common Data Model</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4"/>
              </w:rPr>
              <w:t>Field</w:t>
            </w:r>
          </w:p>
        </w:tc>
        <w:tc>
          <w:tcPr>
            <w:tcW w:type="dxa" w:w="5083"/>
            <w:shd w:fill="D9EAF7"/>
          </w:tcPr>
          <w:p>
            <w:r>
              <w:rPr>
                <w:b/>
                <w:sz w:val="14"/>
              </w:rPr>
              <w:t>Recorded value</w:t>
            </w:r>
          </w:p>
        </w:tc>
      </w:tr>
      <w:tr>
        <w:tc>
          <w:tcPr>
            <w:tcW w:type="dxa" w:w="5083"/>
            <w:vAlign w:val="top"/>
          </w:tcPr>
          <w:p>
            <w:pPr>
              <w:spacing w:after="0"/>
            </w:pPr>
            <w:r>
              <w:rPr>
                <w:sz w:val="14"/>
              </w:rPr>
              <w:t>Authority</w:t>
            </w:r>
          </w:p>
        </w:tc>
        <w:tc>
          <w:tcPr>
            <w:tcW w:type="dxa" w:w="5083"/>
            <w:vAlign w:val="top"/>
          </w:tcPr>
          <w:p>
            <w:pPr>
              <w:spacing w:after="0"/>
            </w:pPr>
            <w:r>
              <w:rPr>
                <w:sz w:val="14"/>
              </w:rPr>
              <w:t>OHDSI</w:t>
            </w:r>
          </w:p>
        </w:tc>
      </w:tr>
      <w:tr>
        <w:tc>
          <w:tcPr>
            <w:tcW w:type="dxa" w:w="5083"/>
            <w:vAlign w:val="top"/>
          </w:tcPr>
          <w:p>
            <w:pPr>
              <w:spacing w:after="0"/>
            </w:pPr>
            <w:r>
              <w:rPr>
                <w:sz w:val="14"/>
              </w:rPr>
              <w:t>Citation</w:t>
            </w:r>
          </w:p>
        </w:tc>
        <w:tc>
          <w:tcPr>
            <w:tcW w:type="dxa" w:w="5083"/>
            <w:vAlign w:val="top"/>
          </w:tcPr>
          <w:p>
            <w:pPr>
              <w:spacing w:after="0"/>
            </w:pPr>
            <w:r>
              <w:rPr>
                <w:sz w:val="14"/>
              </w:rPr>
              <w:t>OHDSI OMOP Common Data Model documentation.</w:t>
            </w:r>
          </w:p>
        </w:tc>
      </w:tr>
      <w:tr>
        <w:tc>
          <w:tcPr>
            <w:tcW w:type="dxa" w:w="5083"/>
            <w:vAlign w:val="top"/>
          </w:tcPr>
          <w:p>
            <w:pPr>
              <w:spacing w:after="0"/>
            </w:pPr>
            <w:r>
              <w:rPr>
                <w:sz w:val="14"/>
              </w:rPr>
              <w:t>Version</w:t>
            </w:r>
          </w:p>
        </w:tc>
        <w:tc>
          <w:tcPr>
            <w:tcW w:type="dxa" w:w="5083"/>
            <w:vAlign w:val="top"/>
          </w:tcPr>
          <w:p>
            <w:pPr>
              <w:spacing w:after="0"/>
            </w:pPr>
            <w:r>
              <w:rPr>
                <w:sz w:val="14"/>
              </w:rPr>
              <w:t>Current site lists CDM v5.5</w:t>
            </w:r>
          </w:p>
        </w:tc>
      </w:tr>
      <w:tr>
        <w:tc>
          <w:tcPr>
            <w:tcW w:type="dxa" w:w="5083"/>
            <w:vAlign w:val="top"/>
          </w:tcPr>
          <w:p>
            <w:pPr>
              <w:spacing w:after="0"/>
            </w:pPr>
            <w:r>
              <w:rPr>
                <w:sz w:val="14"/>
              </w:rPr>
              <w:t>Verification status</w:t>
            </w:r>
          </w:p>
        </w:tc>
        <w:tc>
          <w:tcPr>
            <w:tcW w:type="dxa" w:w="5083"/>
            <w:vAlign w:val="top"/>
          </w:tcPr>
          <w:p>
            <w:pPr>
              <w:spacing w:after="0"/>
            </w:pPr>
            <w:r>
              <w:rPr>
                <w:sz w:val="14"/>
              </w:rPr>
              <w:t>VERIFIED</w:t>
            </w:r>
          </w:p>
        </w:tc>
      </w:tr>
      <w:tr>
        <w:tc>
          <w:tcPr>
            <w:tcW w:type="dxa" w:w="5083"/>
            <w:vAlign w:val="top"/>
          </w:tcPr>
          <w:p>
            <w:pPr>
              <w:spacing w:after="0"/>
            </w:pPr>
            <w:r>
              <w:rPr>
                <w:sz w:val="14"/>
              </w:rPr>
              <w:t>Allowed MedAI use</w:t>
            </w:r>
          </w:p>
        </w:tc>
        <w:tc>
          <w:tcPr>
            <w:tcW w:type="dxa" w:w="5083"/>
            <w:vAlign w:val="top"/>
          </w:tcPr>
          <w:p>
            <w:pPr>
              <w:spacing w:after="0"/>
            </w:pPr>
            <w:r>
              <w:rPr>
                <w:sz w:val="14"/>
              </w:rPr>
              <w:t>Derived interoperability/export view; MedAI-native assertion model remains canonical.</w:t>
            </w:r>
          </w:p>
        </w:tc>
      </w:tr>
      <w:tr>
        <w:tc>
          <w:tcPr>
            <w:tcW w:type="dxa" w:w="5083"/>
            <w:vAlign w:val="top"/>
          </w:tcPr>
          <w:p>
            <w:pPr>
              <w:spacing w:after="0"/>
            </w:pPr>
            <w:r>
              <w:rPr>
                <w:sz w:val="14"/>
              </w:rPr>
              <w:t>License / redistribution note</w:t>
            </w:r>
          </w:p>
        </w:tc>
        <w:tc>
          <w:tcPr>
            <w:tcW w:type="dxa" w:w="5083"/>
            <w:vAlign w:val="top"/>
          </w:tcPr>
          <w:p>
            <w:pPr>
              <w:spacing w:after="0"/>
            </w:pPr>
            <w:r>
              <w:rPr>
                <w:sz w:val="14"/>
              </w:rPr>
              <w:t>OHDSI site states content is CC BY-SA 4.0 unless otherwise specified.</w:t>
            </w:r>
          </w:p>
        </w:tc>
      </w:tr>
      <w:tr>
        <w:tc>
          <w:tcPr>
            <w:tcW w:type="dxa" w:w="5083"/>
            <w:vAlign w:val="top"/>
          </w:tcPr>
          <w:p>
            <w:pPr>
              <w:spacing w:after="0"/>
            </w:pPr>
            <w:r>
              <w:rPr>
                <w:sz w:val="14"/>
              </w:rPr>
              <w:t>Authoritative URL</w:t>
            </w:r>
          </w:p>
        </w:tc>
        <w:tc>
          <w:tcPr>
            <w:tcW w:type="dxa" w:w="5083"/>
            <w:vAlign w:val="top"/>
          </w:tcPr>
          <w:p>
            <w:pPr>
              <w:spacing w:after="0"/>
            </w:pPr>
            <w:r>
              <w:rPr>
                <w:sz w:val="14"/>
              </w:rPr>
              <w:t>https://ohdsi.github.io/CommonDataModel/</w:t>
            </w:r>
          </w:p>
        </w:tc>
      </w:tr>
    </w:tbl>
    <w:p/>
    <w:p>
      <w:pPr>
        <w:pStyle w:val="Heading2"/>
      </w:pPr>
      <w:r>
        <w:t>S16 — Annotation of epilepsy clinic letters for natural language processing</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4"/>
              </w:rPr>
              <w:t>Field</w:t>
            </w:r>
          </w:p>
        </w:tc>
        <w:tc>
          <w:tcPr>
            <w:tcW w:type="dxa" w:w="5083"/>
            <w:shd w:fill="D9EAF7"/>
          </w:tcPr>
          <w:p>
            <w:r>
              <w:rPr>
                <w:b/>
                <w:sz w:val="14"/>
              </w:rPr>
              <w:t>Recorded value</w:t>
            </w:r>
          </w:p>
        </w:tc>
      </w:tr>
      <w:tr>
        <w:tc>
          <w:tcPr>
            <w:tcW w:type="dxa" w:w="5083"/>
            <w:vAlign w:val="top"/>
          </w:tcPr>
          <w:p>
            <w:pPr>
              <w:spacing w:after="0"/>
            </w:pPr>
            <w:r>
              <w:rPr>
                <w:sz w:val="14"/>
              </w:rPr>
              <w:t>Authority</w:t>
            </w:r>
          </w:p>
        </w:tc>
        <w:tc>
          <w:tcPr>
            <w:tcW w:type="dxa" w:w="5083"/>
            <w:vAlign w:val="top"/>
          </w:tcPr>
          <w:p>
            <w:pPr>
              <w:spacing w:after="0"/>
            </w:pPr>
            <w:r>
              <w:rPr>
                <w:sz w:val="14"/>
              </w:rPr>
              <w:t>Journal of Biomedical Semantics</w:t>
            </w:r>
          </w:p>
        </w:tc>
      </w:tr>
      <w:tr>
        <w:tc>
          <w:tcPr>
            <w:tcW w:type="dxa" w:w="5083"/>
            <w:vAlign w:val="top"/>
          </w:tcPr>
          <w:p>
            <w:pPr>
              <w:spacing w:after="0"/>
            </w:pPr>
            <w:r>
              <w:rPr>
                <w:sz w:val="14"/>
              </w:rPr>
              <w:t>Citation</w:t>
            </w:r>
          </w:p>
        </w:tc>
        <w:tc>
          <w:tcPr>
            <w:tcW w:type="dxa" w:w="5083"/>
            <w:vAlign w:val="top"/>
          </w:tcPr>
          <w:p>
            <w:pPr>
              <w:spacing w:after="0"/>
            </w:pPr>
            <w:r>
              <w:rPr>
                <w:sz w:val="14"/>
              </w:rPr>
              <w:t>Fonferko-Shadrach B, Strafford H, Jones C, et al. J Biomed Semantics. 2024;15:17. DOI: 10.1186/s13326-024-00316-z</w:t>
            </w:r>
          </w:p>
        </w:tc>
      </w:tr>
      <w:tr>
        <w:tc>
          <w:tcPr>
            <w:tcW w:type="dxa" w:w="5083"/>
            <w:vAlign w:val="top"/>
          </w:tcPr>
          <w:p>
            <w:pPr>
              <w:spacing w:after="0"/>
            </w:pPr>
            <w:r>
              <w:rPr>
                <w:sz w:val="14"/>
              </w:rPr>
              <w:t>Version</w:t>
            </w:r>
          </w:p>
        </w:tc>
        <w:tc>
          <w:tcPr>
            <w:tcW w:type="dxa" w:w="5083"/>
            <w:vAlign w:val="top"/>
          </w:tcPr>
          <w:p>
            <w:pPr>
              <w:spacing w:after="0"/>
            </w:pPr>
            <w:r>
              <w:rPr>
                <w:sz w:val="14"/>
              </w:rPr>
              <w:t>Published dataset/method</w:t>
            </w:r>
          </w:p>
        </w:tc>
      </w:tr>
      <w:tr>
        <w:tc>
          <w:tcPr>
            <w:tcW w:type="dxa" w:w="5083"/>
            <w:vAlign w:val="top"/>
          </w:tcPr>
          <w:p>
            <w:pPr>
              <w:spacing w:after="0"/>
            </w:pPr>
            <w:r>
              <w:rPr>
                <w:sz w:val="14"/>
              </w:rPr>
              <w:t>Verification status</w:t>
            </w:r>
          </w:p>
        </w:tc>
        <w:tc>
          <w:tcPr>
            <w:tcW w:type="dxa" w:w="5083"/>
            <w:vAlign w:val="top"/>
          </w:tcPr>
          <w:p>
            <w:pPr>
              <w:spacing w:after="0"/>
            </w:pPr>
            <w:r>
              <w:rPr>
                <w:sz w:val="14"/>
              </w:rPr>
              <w:t>VERIFIED</w:t>
            </w:r>
          </w:p>
        </w:tc>
      </w:tr>
      <w:tr>
        <w:tc>
          <w:tcPr>
            <w:tcW w:type="dxa" w:w="5083"/>
            <w:vAlign w:val="top"/>
          </w:tcPr>
          <w:p>
            <w:pPr>
              <w:spacing w:after="0"/>
            </w:pPr>
            <w:r>
              <w:rPr>
                <w:sz w:val="14"/>
              </w:rPr>
              <w:t>Allowed MedAI use</w:t>
            </w:r>
          </w:p>
        </w:tc>
        <w:tc>
          <w:tcPr>
            <w:tcW w:type="dxa" w:w="5083"/>
            <w:vAlign w:val="top"/>
          </w:tcPr>
          <w:p>
            <w:pPr>
              <w:spacing w:after="0"/>
            </w:pPr>
            <w:r>
              <w:rPr>
                <w:sz w:val="14"/>
              </w:rPr>
              <w:t>Phase 2 annotation-resource review; precedent for synthetic letters, double annotation, agreed guidelines and gold-standard adjudication. Not a clinical ontology source.</w:t>
            </w:r>
          </w:p>
        </w:tc>
      </w:tr>
      <w:tr>
        <w:tc>
          <w:tcPr>
            <w:tcW w:type="dxa" w:w="5083"/>
            <w:vAlign w:val="top"/>
          </w:tcPr>
          <w:p>
            <w:pPr>
              <w:spacing w:after="0"/>
            </w:pPr>
            <w:r>
              <w:rPr>
                <w:sz w:val="14"/>
              </w:rPr>
              <w:t>License / redistribution note</w:t>
            </w:r>
          </w:p>
        </w:tc>
        <w:tc>
          <w:tcPr>
            <w:tcW w:type="dxa" w:w="5083"/>
            <w:vAlign w:val="top"/>
          </w:tcPr>
          <w:p>
            <w:pPr>
              <w:spacing w:after="0"/>
            </w:pPr>
            <w:r>
              <w:rPr>
                <w:sz w:val="14"/>
              </w:rPr>
              <w:t>Open-access article; separately verify licenses for linked Zenodo datasets/guidelines before redistribution.</w:t>
            </w:r>
          </w:p>
        </w:tc>
      </w:tr>
      <w:tr>
        <w:tc>
          <w:tcPr>
            <w:tcW w:type="dxa" w:w="5083"/>
            <w:vAlign w:val="top"/>
          </w:tcPr>
          <w:p>
            <w:pPr>
              <w:spacing w:after="0"/>
            </w:pPr>
            <w:r>
              <w:rPr>
                <w:sz w:val="14"/>
              </w:rPr>
              <w:t>Authoritative URL</w:t>
            </w:r>
          </w:p>
        </w:tc>
        <w:tc>
          <w:tcPr>
            <w:tcW w:type="dxa" w:w="5083"/>
            <w:vAlign w:val="top"/>
          </w:tcPr>
          <w:p>
            <w:pPr>
              <w:spacing w:after="0"/>
            </w:pPr>
            <w:r>
              <w:rPr>
                <w:sz w:val="14"/>
              </w:rPr>
              <w:t>https://pmc.ncbi.nlm.nih.gov/articles/PMC11402197/</w:t>
            </w:r>
          </w:p>
        </w:tc>
      </w:tr>
    </w:tbl>
    <w:p/>
    <w:p>
      <w:pPr>
        <w:pStyle w:val="Heading1"/>
      </w:pPr>
      <w:r>
        <w:t>5. Material verification decisions</w:t>
      </w:r>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rPr>
              <w:t>ILAE 2025 is a real published version change</w:t>
              <w:br/>
            </w:r>
            <w:r>
              <w:t>The 2025 seizure-classification source is a published ILAE position paper (Beniczky et al., DOI 10.1111/epi.18338), not merely an informal webpage. MedAI must therefore document the 2017→2025 semantic migration rather than silently relabeling older values.</w:t>
            </w:r>
          </w:p>
        </w:tc>
      </w:tr>
    </w:tbl>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rPr>
              <w:t>EpSO v3.1 release is verified; mappings are not yet verified</w:t>
              <w:br/>
            </w:r>
            <w:r>
              <w:t>BioPortal lists EpSO v3.1 as released/uploaded 29 May 2025 and provides OWL/CSV downloads. Phase 1 freezes that release target. Phase 3/4 must inspect the actual artifact before any class URI or predicate is entered into MedAI mappings.</w:t>
            </w:r>
          </w:p>
        </w:tc>
      </w:tr>
    </w:tbl>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rPr>
              <w:t>NINDS CDE is dynamic</w:t>
              <w:br/>
            </w:r>
            <w:r>
              <w:t>The NINDS Epilepsy CDE site states that the CDEs are dynamic and periodically updated. Therefore MedAI must record the exact extraction/revision metadata for every CDE row used in a crosswalk.</w:t>
            </w:r>
          </w:p>
        </w:tc>
      </w:tr>
    </w:tbl>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rPr>
              <w:t>EEG terminology has scope boundaries</w:t>
              <w:br/>
            </w:r>
            <w:r>
              <w:t>SCORE is the primary general structured EEG-reporting precedent in the current plan. ACNS 2021 is specifically critical-care EEG terminology and must not be treated as the sole vocabulary for routine outpatient/EMU epilepsy reporting.</w:t>
            </w:r>
          </w:p>
        </w:tc>
      </w:tr>
    </w:tbl>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rPr>
              <w:t>Pathology is not imaging</w:t>
              <w:br/>
            </w:r>
            <w:r>
              <w:t>The ILAE hippocampal-sclerosis and focal-cortical-dysplasia consensus classifications are pathology frameworks. MedAI must keep MRI-level suspicion/findings separate from pathology-level subtype labels.</w:t>
            </w:r>
          </w:p>
        </w:tc>
      </w:tr>
    </w:tbl>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rPr>
              <w:t>OMOP is a derived export</w:t>
              <w:br/>
            </w:r>
            <w:r>
              <w:t>Current OHDSI documentation lists OMOP CDM v5.5. MedAI's richer evidence/certainty/provenance assertions remain canonical; OMOP is an export/interoperability representation.</w:t>
            </w:r>
          </w:p>
        </w:tc>
      </w:tr>
    </w:tbl>
    <w:p/>
    <w:p>
      <w:pPr>
        <w:pStyle w:val="Heading1"/>
      </w:pPr>
      <w:r>
        <w:t>6. Licensing and redistribution register</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4"/>
              </w:rPr>
              <w:t>Resource</w:t>
            </w:r>
          </w:p>
        </w:tc>
        <w:tc>
          <w:tcPr>
            <w:tcW w:type="dxa" w:w="3389"/>
            <w:shd w:fill="D9EAF7"/>
          </w:tcPr>
          <w:p>
            <w:r>
              <w:rPr>
                <w:b/>
                <w:sz w:val="14"/>
              </w:rPr>
              <w:t>Phase 1 conclusion</w:t>
            </w:r>
          </w:p>
        </w:tc>
        <w:tc>
          <w:tcPr>
            <w:tcW w:type="dxa" w:w="3389"/>
            <w:shd w:fill="D9EAF7"/>
          </w:tcPr>
          <w:p>
            <w:r>
              <w:rPr>
                <w:b/>
                <w:sz w:val="14"/>
              </w:rPr>
              <w:t>Action before public dataset release</w:t>
            </w:r>
          </w:p>
        </w:tc>
      </w:tr>
      <w:tr>
        <w:tc>
          <w:tcPr>
            <w:tcW w:type="dxa" w:w="3389"/>
            <w:vAlign w:val="top"/>
          </w:tcPr>
          <w:p>
            <w:pPr>
              <w:spacing w:after="0"/>
            </w:pPr>
            <w:r>
              <w:rPr>
                <w:sz w:val="14"/>
              </w:rPr>
              <w:t>ILAE / journal papers</w:t>
            </w:r>
          </w:p>
        </w:tc>
        <w:tc>
          <w:tcPr>
            <w:tcW w:type="dxa" w:w="3389"/>
            <w:vAlign w:val="top"/>
          </w:tcPr>
          <w:p>
            <w:pPr>
              <w:spacing w:after="0"/>
            </w:pPr>
            <w:r>
              <w:rPr>
                <w:sz w:val="14"/>
              </w:rPr>
              <w:t>Cite and paraphrase; publisher terms govern article content.</w:t>
            </w:r>
          </w:p>
        </w:tc>
        <w:tc>
          <w:tcPr>
            <w:tcW w:type="dxa" w:w="3389"/>
            <w:vAlign w:val="top"/>
          </w:tcPr>
          <w:p>
            <w:pPr>
              <w:spacing w:after="0"/>
            </w:pPr>
            <w:r>
              <w:rPr>
                <w:sz w:val="14"/>
              </w:rPr>
              <w:t>Do not bundle copyrighted full-text/supplements unless permission/license allows.</w:t>
            </w:r>
          </w:p>
        </w:tc>
      </w:tr>
      <w:tr>
        <w:tc>
          <w:tcPr>
            <w:tcW w:type="dxa" w:w="3389"/>
            <w:vAlign w:val="top"/>
          </w:tcPr>
          <w:p>
            <w:pPr>
              <w:spacing w:after="0"/>
            </w:pPr>
            <w:r>
              <w:rPr>
                <w:sz w:val="14"/>
              </w:rPr>
              <w:t>NINDS CDE</w:t>
            </w:r>
          </w:p>
        </w:tc>
        <w:tc>
          <w:tcPr>
            <w:tcW w:type="dxa" w:w="3389"/>
            <w:vAlign w:val="top"/>
          </w:tcPr>
          <w:p>
            <w:pPr>
              <w:spacing w:after="0"/>
            </w:pPr>
            <w:r>
              <w:rPr>
                <w:sz w:val="14"/>
              </w:rPr>
              <w:t>Public research resource; proprietary instruments may have separate rights.</w:t>
            </w:r>
          </w:p>
        </w:tc>
        <w:tc>
          <w:tcPr>
            <w:tcW w:type="dxa" w:w="3389"/>
            <w:vAlign w:val="top"/>
          </w:tcPr>
          <w:p>
            <w:pPr>
              <w:spacing w:after="0"/>
            </w:pPr>
            <w:r>
              <w:rPr>
                <w:sz w:val="14"/>
              </w:rPr>
              <w:t>Record CDE/CRF/instrument-specific notices.</w:t>
            </w:r>
          </w:p>
        </w:tc>
      </w:tr>
      <w:tr>
        <w:tc>
          <w:tcPr>
            <w:tcW w:type="dxa" w:w="3389"/>
            <w:vAlign w:val="top"/>
          </w:tcPr>
          <w:p>
            <w:pPr>
              <w:spacing w:after="0"/>
            </w:pPr>
            <w:r>
              <w:rPr>
                <w:sz w:val="14"/>
              </w:rPr>
              <w:t>EpSO</w:t>
            </w:r>
          </w:p>
        </w:tc>
        <w:tc>
          <w:tcPr>
            <w:tcW w:type="dxa" w:w="3389"/>
            <w:vAlign w:val="top"/>
          </w:tcPr>
          <w:p>
            <w:pPr>
              <w:spacing w:after="0"/>
            </w:pPr>
            <w:r>
              <w:rPr>
                <w:sz w:val="14"/>
              </w:rPr>
              <w:t>Public BioPortal distribution exists.</w:t>
            </w:r>
          </w:p>
        </w:tc>
        <w:tc>
          <w:tcPr>
            <w:tcW w:type="dxa" w:w="3389"/>
            <w:vAlign w:val="top"/>
          </w:tcPr>
          <w:p>
            <w:pPr>
              <w:spacing w:after="0"/>
            </w:pPr>
            <w:r>
              <w:rPr>
                <w:sz w:val="14"/>
              </w:rPr>
              <w:t>Verify ontology license metadata before bundling OWL/CSV.</w:t>
            </w:r>
          </w:p>
        </w:tc>
      </w:tr>
      <w:tr>
        <w:tc>
          <w:tcPr>
            <w:tcW w:type="dxa" w:w="3389"/>
            <w:vAlign w:val="top"/>
          </w:tcPr>
          <w:p>
            <w:pPr>
              <w:spacing w:after="0"/>
            </w:pPr>
            <w:r>
              <w:rPr>
                <w:sz w:val="14"/>
              </w:rPr>
              <w:t>RxNorm</w:t>
            </w:r>
          </w:p>
        </w:tc>
        <w:tc>
          <w:tcPr>
            <w:tcW w:type="dxa" w:w="3389"/>
            <w:vAlign w:val="top"/>
          </w:tcPr>
          <w:p>
            <w:pPr>
              <w:spacing w:after="0"/>
            </w:pPr>
            <w:r>
              <w:rPr>
                <w:sz w:val="14"/>
              </w:rPr>
              <w:t>NLM terminology resource.</w:t>
            </w:r>
          </w:p>
        </w:tc>
        <w:tc>
          <w:tcPr>
            <w:tcW w:type="dxa" w:w="3389"/>
            <w:vAlign w:val="top"/>
          </w:tcPr>
          <w:p>
            <w:pPr>
              <w:spacing w:after="0"/>
            </w:pPr>
            <w:r>
              <w:rPr>
                <w:sz w:val="14"/>
              </w:rPr>
              <w:t>Freeze release and verify redistribution terms for included mapping cache.</w:t>
            </w:r>
          </w:p>
        </w:tc>
      </w:tr>
      <w:tr>
        <w:tc>
          <w:tcPr>
            <w:tcW w:type="dxa" w:w="3389"/>
            <w:vAlign w:val="top"/>
          </w:tcPr>
          <w:p>
            <w:pPr>
              <w:spacing w:after="0"/>
            </w:pPr>
            <w:r>
              <w:rPr>
                <w:sz w:val="14"/>
              </w:rPr>
              <w:t>SNOMED CT</w:t>
            </w:r>
          </w:p>
        </w:tc>
        <w:tc>
          <w:tcPr>
            <w:tcW w:type="dxa" w:w="3389"/>
            <w:vAlign w:val="top"/>
          </w:tcPr>
          <w:p>
            <w:pPr>
              <w:spacing w:after="0"/>
            </w:pPr>
            <w:r>
              <w:rPr>
                <w:sz w:val="14"/>
              </w:rPr>
              <w:t>License-governed terminology.</w:t>
            </w:r>
          </w:p>
        </w:tc>
        <w:tc>
          <w:tcPr>
            <w:tcW w:type="dxa" w:w="3389"/>
            <w:vAlign w:val="top"/>
          </w:tcPr>
          <w:p>
            <w:pPr>
              <w:spacing w:after="0"/>
            </w:pPr>
            <w:r>
              <w:rPr>
                <w:sz w:val="14"/>
              </w:rPr>
              <w:t>Confirm edition, U.S./distribution rights, and public-release obligations before shipping IDs/content.</w:t>
            </w:r>
          </w:p>
        </w:tc>
      </w:tr>
      <w:tr>
        <w:tc>
          <w:tcPr>
            <w:tcW w:type="dxa" w:w="3389"/>
            <w:vAlign w:val="top"/>
          </w:tcPr>
          <w:p>
            <w:pPr>
              <w:spacing w:after="0"/>
            </w:pPr>
            <w:r>
              <w:rPr>
                <w:sz w:val="14"/>
              </w:rPr>
              <w:t>RadLex</w:t>
            </w:r>
          </w:p>
        </w:tc>
        <w:tc>
          <w:tcPr>
            <w:tcW w:type="dxa" w:w="3389"/>
            <w:vAlign w:val="top"/>
          </w:tcPr>
          <w:p>
            <w:pPr>
              <w:spacing w:after="0"/>
            </w:pPr>
            <w:r>
              <w:rPr>
                <w:sz w:val="14"/>
              </w:rPr>
              <w:t>RSNA states free commercial/non-commercial licensing.</w:t>
            </w:r>
          </w:p>
        </w:tc>
        <w:tc>
          <w:tcPr>
            <w:tcW w:type="dxa" w:w="3389"/>
            <w:vAlign w:val="top"/>
          </w:tcPr>
          <w:p>
            <w:pPr>
              <w:spacing w:after="0"/>
            </w:pPr>
            <w:r>
              <w:rPr>
                <w:sz w:val="14"/>
              </w:rPr>
              <w:t>Archive license text and exact release notes used.</w:t>
            </w:r>
          </w:p>
        </w:tc>
      </w:tr>
      <w:tr>
        <w:tc>
          <w:tcPr>
            <w:tcW w:type="dxa" w:w="3389"/>
            <w:vAlign w:val="top"/>
          </w:tcPr>
          <w:p>
            <w:pPr>
              <w:spacing w:after="0"/>
            </w:pPr>
            <w:r>
              <w:rPr>
                <w:sz w:val="14"/>
              </w:rPr>
              <w:t>OHDSI OMOP</w:t>
            </w:r>
          </w:p>
        </w:tc>
        <w:tc>
          <w:tcPr>
            <w:tcW w:type="dxa" w:w="3389"/>
            <w:vAlign w:val="top"/>
          </w:tcPr>
          <w:p>
            <w:pPr>
              <w:spacing w:after="0"/>
            </w:pPr>
            <w:r>
              <w:rPr>
                <w:sz w:val="14"/>
              </w:rPr>
              <w:t>Site states CC BY-SA 4.0 unless otherwise specified.</w:t>
            </w:r>
          </w:p>
        </w:tc>
        <w:tc>
          <w:tcPr>
            <w:tcW w:type="dxa" w:w="3389"/>
            <w:vAlign w:val="top"/>
          </w:tcPr>
          <w:p>
            <w:pPr>
              <w:spacing w:after="0"/>
            </w:pPr>
            <w:r>
              <w:rPr>
                <w:sz w:val="14"/>
              </w:rPr>
              <w:t>Attribute OHDSI and retain license compatibility for copied documentation/code.</w:t>
            </w:r>
          </w:p>
        </w:tc>
      </w:tr>
      <w:tr>
        <w:tc>
          <w:tcPr>
            <w:tcW w:type="dxa" w:w="3389"/>
            <w:vAlign w:val="top"/>
          </w:tcPr>
          <w:p>
            <w:pPr>
              <w:spacing w:after="0"/>
            </w:pPr>
            <w:r>
              <w:rPr>
                <w:sz w:val="14"/>
              </w:rPr>
              <w:t>Published annotation datasets</w:t>
            </w:r>
          </w:p>
        </w:tc>
        <w:tc>
          <w:tcPr>
            <w:tcW w:type="dxa" w:w="3389"/>
            <w:vAlign w:val="top"/>
          </w:tcPr>
          <w:p>
            <w:pPr>
              <w:spacing w:after="0"/>
            </w:pPr>
            <w:r>
              <w:rPr>
                <w:sz w:val="14"/>
              </w:rPr>
              <w:t>Article may be OA but linked datasets can have their own licenses.</w:t>
            </w:r>
          </w:p>
        </w:tc>
        <w:tc>
          <w:tcPr>
            <w:tcW w:type="dxa" w:w="3389"/>
            <w:vAlign w:val="top"/>
          </w:tcPr>
          <w:p>
            <w:pPr>
              <w:spacing w:after="0"/>
            </w:pPr>
            <w:r>
              <w:rPr>
                <w:sz w:val="14"/>
              </w:rPr>
              <w:t>Verify each Zenodo/data artifact license in Phase 2.</w:t>
            </w:r>
          </w:p>
        </w:tc>
      </w:tr>
    </w:tbl>
    <w:p/>
    <w:p>
      <w:pPr>
        <w:pStyle w:val="Heading1"/>
      </w:pPr>
      <w:r>
        <w:t>7. Phase 1 unresolved register</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4"/>
              </w:rPr>
              <w:t>Item</w:t>
            </w:r>
          </w:p>
        </w:tc>
        <w:tc>
          <w:tcPr>
            <w:tcW w:type="dxa" w:w="3389"/>
            <w:shd w:fill="D9EAF7"/>
          </w:tcPr>
          <w:p>
            <w:r>
              <w:rPr>
                <w:b/>
                <w:sz w:val="14"/>
              </w:rPr>
              <w:t>Why unresolved</w:t>
            </w:r>
          </w:p>
        </w:tc>
        <w:tc>
          <w:tcPr>
            <w:tcW w:type="dxa" w:w="3389"/>
            <w:shd w:fill="D9EAF7"/>
          </w:tcPr>
          <w:p>
            <w:r>
              <w:rPr>
                <w:b/>
                <w:sz w:val="14"/>
              </w:rPr>
              <w:t>Next action</w:t>
            </w:r>
          </w:p>
        </w:tc>
      </w:tr>
      <w:tr>
        <w:tc>
          <w:tcPr>
            <w:tcW w:type="dxa" w:w="3389"/>
            <w:vAlign w:val="top"/>
          </w:tcPr>
          <w:p>
            <w:pPr>
              <w:spacing w:after="0"/>
            </w:pPr>
            <w:r>
              <w:rPr>
                <w:sz w:val="14"/>
              </w:rPr>
              <w:t>ILAE 2025 full machine-readable seizure value set</w:t>
            </w:r>
          </w:p>
        </w:tc>
        <w:tc>
          <w:tcPr>
            <w:tcW w:type="dxa" w:w="3389"/>
            <w:vAlign w:val="top"/>
          </w:tcPr>
          <w:p>
            <w:pPr>
              <w:spacing w:after="0"/>
            </w:pPr>
            <w:r>
              <w:rPr>
                <w:sz w:val="14"/>
              </w:rPr>
              <w:t>Publication verified; implementation-level hierarchy/decision details not yet extracted.</w:t>
            </w:r>
          </w:p>
        </w:tc>
        <w:tc>
          <w:tcPr>
            <w:tcW w:type="dxa" w:w="3389"/>
            <w:vAlign w:val="top"/>
          </w:tcPr>
          <w:p>
            <w:pPr>
              <w:spacing w:after="0"/>
            </w:pPr>
            <w:r>
              <w:rPr>
                <w:sz w:val="14"/>
              </w:rPr>
              <w:t>Extract paper/supplement into ILAE implementation profile.</w:t>
            </w:r>
          </w:p>
        </w:tc>
      </w:tr>
      <w:tr>
        <w:tc>
          <w:tcPr>
            <w:tcW w:type="dxa" w:w="3389"/>
            <w:vAlign w:val="top"/>
          </w:tcPr>
          <w:p>
            <w:pPr>
              <w:spacing w:after="0"/>
            </w:pPr>
            <w:r>
              <w:rPr>
                <w:sz w:val="14"/>
              </w:rPr>
              <w:t>NINDS exact CDE rows</w:t>
            </w:r>
          </w:p>
        </w:tc>
        <w:tc>
          <w:tcPr>
            <w:tcW w:type="dxa" w:w="3389"/>
            <w:vAlign w:val="top"/>
          </w:tcPr>
          <w:p>
            <w:pPr>
              <w:spacing w:after="0"/>
            </w:pPr>
            <w:r>
              <w:rPr>
                <w:sz w:val="14"/>
              </w:rPr>
              <w:t>Portal verified; exact IDs/response sets not yet frozen.</w:t>
            </w:r>
          </w:p>
        </w:tc>
        <w:tc>
          <w:tcPr>
            <w:tcW w:type="dxa" w:w="3389"/>
            <w:vAlign w:val="top"/>
          </w:tcPr>
          <w:p>
            <w:pPr>
              <w:spacing w:after="0"/>
            </w:pPr>
            <w:r>
              <w:rPr>
                <w:sz w:val="14"/>
              </w:rPr>
              <w:t>Export selected CDEs with revision metadata.</w:t>
            </w:r>
          </w:p>
        </w:tc>
      </w:tr>
      <w:tr>
        <w:tc>
          <w:tcPr>
            <w:tcW w:type="dxa" w:w="3389"/>
            <w:vAlign w:val="top"/>
          </w:tcPr>
          <w:p>
            <w:pPr>
              <w:spacing w:after="0"/>
            </w:pPr>
            <w:r>
              <w:rPr>
                <w:sz w:val="14"/>
              </w:rPr>
              <w:t>EpSO exact class IDs/predicates</w:t>
            </w:r>
          </w:p>
        </w:tc>
        <w:tc>
          <w:tcPr>
            <w:tcW w:type="dxa" w:w="3389"/>
            <w:vAlign w:val="top"/>
          </w:tcPr>
          <w:p>
            <w:pPr>
              <w:spacing w:after="0"/>
            </w:pPr>
            <w:r>
              <w:rPr>
                <w:sz w:val="14"/>
              </w:rPr>
              <w:t>v3.1 release verified; artifact not yet parsed.</w:t>
            </w:r>
          </w:p>
        </w:tc>
        <w:tc>
          <w:tcPr>
            <w:tcW w:type="dxa" w:w="3389"/>
            <w:vAlign w:val="top"/>
          </w:tcPr>
          <w:p>
            <w:pPr>
              <w:spacing w:after="0"/>
            </w:pPr>
            <w:r>
              <w:rPr>
                <w:sz w:val="14"/>
              </w:rPr>
              <w:t>Download/inspect v3.1 OWL/CSV.</w:t>
            </w:r>
          </w:p>
        </w:tc>
      </w:tr>
      <w:tr>
        <w:tc>
          <w:tcPr>
            <w:tcW w:type="dxa" w:w="3389"/>
            <w:vAlign w:val="top"/>
          </w:tcPr>
          <w:p>
            <w:pPr>
              <w:spacing w:after="0"/>
            </w:pPr>
            <w:r>
              <w:rPr>
                <w:sz w:val="14"/>
              </w:rPr>
              <w:t>RxNorm RXCUIs</w:t>
            </w:r>
          </w:p>
        </w:tc>
        <w:tc>
          <w:tcPr>
            <w:tcW w:type="dxa" w:w="3389"/>
            <w:vAlign w:val="top"/>
          </w:tcPr>
          <w:p>
            <w:pPr>
              <w:spacing w:after="0"/>
            </w:pPr>
            <w:r>
              <w:rPr>
                <w:sz w:val="14"/>
              </w:rPr>
              <w:t>System verified; exact drug registry/release not yet selected.</w:t>
            </w:r>
          </w:p>
        </w:tc>
        <w:tc>
          <w:tcPr>
            <w:tcW w:type="dxa" w:w="3389"/>
            <w:vAlign w:val="top"/>
          </w:tcPr>
          <w:p>
            <w:pPr>
              <w:spacing w:after="0"/>
            </w:pPr>
            <w:r>
              <w:rPr>
                <w:sz w:val="14"/>
              </w:rPr>
              <w:t>Resolve medication registry programmatically against frozen release.</w:t>
            </w:r>
          </w:p>
        </w:tc>
      </w:tr>
      <w:tr>
        <w:tc>
          <w:tcPr>
            <w:tcW w:type="dxa" w:w="3389"/>
            <w:vAlign w:val="top"/>
          </w:tcPr>
          <w:p>
            <w:pPr>
              <w:spacing w:after="0"/>
            </w:pPr>
            <w:r>
              <w:rPr>
                <w:sz w:val="14"/>
              </w:rPr>
              <w:t>SNOMED CT IDs</w:t>
            </w:r>
          </w:p>
        </w:tc>
        <w:tc>
          <w:tcPr>
            <w:tcW w:type="dxa" w:w="3389"/>
            <w:vAlign w:val="top"/>
          </w:tcPr>
          <w:p>
            <w:pPr>
              <w:spacing w:after="0"/>
            </w:pPr>
            <w:r>
              <w:rPr>
                <w:sz w:val="14"/>
              </w:rPr>
              <w:t>Terminology/licensing verified at system level; edition/release not frozen.</w:t>
            </w:r>
          </w:p>
        </w:tc>
        <w:tc>
          <w:tcPr>
            <w:tcW w:type="dxa" w:w="3389"/>
            <w:vAlign w:val="top"/>
          </w:tcPr>
          <w:p>
            <w:pPr>
              <w:spacing w:after="0"/>
            </w:pPr>
            <w:r>
              <w:rPr>
                <w:sz w:val="14"/>
              </w:rPr>
              <w:t>Obtain authorized release and map selected concepts.</w:t>
            </w:r>
          </w:p>
        </w:tc>
      </w:tr>
      <w:tr>
        <w:tc>
          <w:tcPr>
            <w:tcW w:type="dxa" w:w="3389"/>
            <w:vAlign w:val="top"/>
          </w:tcPr>
          <w:p>
            <w:pPr>
              <w:spacing w:after="0"/>
            </w:pPr>
            <w:r>
              <w:rPr>
                <w:sz w:val="14"/>
              </w:rPr>
              <w:t>RadLex IDs</w:t>
            </w:r>
          </w:p>
        </w:tc>
        <w:tc>
          <w:tcPr>
            <w:tcW w:type="dxa" w:w="3389"/>
            <w:vAlign w:val="top"/>
          </w:tcPr>
          <w:p>
            <w:pPr>
              <w:spacing w:after="0"/>
            </w:pPr>
            <w:r>
              <w:rPr>
                <w:sz w:val="14"/>
              </w:rPr>
              <w:t>Resource verified; release and epilepsy MRI subset not frozen.</w:t>
            </w:r>
          </w:p>
        </w:tc>
        <w:tc>
          <w:tcPr>
            <w:tcW w:type="dxa" w:w="3389"/>
            <w:vAlign w:val="top"/>
          </w:tcPr>
          <w:p>
            <w:pPr>
              <w:spacing w:after="0"/>
            </w:pPr>
            <w:r>
              <w:rPr>
                <w:sz w:val="14"/>
              </w:rPr>
              <w:t>Freeze release and map selected imaging concepts.</w:t>
            </w:r>
          </w:p>
        </w:tc>
      </w:tr>
      <w:tr>
        <w:tc>
          <w:tcPr>
            <w:tcW w:type="dxa" w:w="3389"/>
            <w:vAlign w:val="top"/>
          </w:tcPr>
          <w:p>
            <w:pPr>
              <w:spacing w:after="0"/>
            </w:pPr>
            <w:r>
              <w:rPr>
                <w:sz w:val="14"/>
              </w:rPr>
              <w:t>SCORE implementation subset</w:t>
            </w:r>
          </w:p>
        </w:tc>
        <w:tc>
          <w:tcPr>
            <w:tcW w:type="dxa" w:w="3389"/>
            <w:vAlign w:val="top"/>
          </w:tcPr>
          <w:p>
            <w:pPr>
              <w:spacing w:after="0"/>
            </w:pPr>
            <w:r>
              <w:rPr>
                <w:sz w:val="14"/>
              </w:rPr>
              <w:t>Publication verified; controlled subset for MedAI not yet selected.</w:t>
            </w:r>
          </w:p>
        </w:tc>
        <w:tc>
          <w:tcPr>
            <w:tcW w:type="dxa" w:w="3389"/>
            <w:vAlign w:val="top"/>
          </w:tcPr>
          <w:p>
            <w:pPr>
              <w:spacing w:after="0"/>
            </w:pPr>
            <w:r>
              <w:rPr>
                <w:sz w:val="14"/>
              </w:rPr>
              <w:t>Build EEG terminology profile with clinical review.</w:t>
            </w:r>
          </w:p>
        </w:tc>
      </w:tr>
      <w:tr>
        <w:tc>
          <w:tcPr>
            <w:tcW w:type="dxa" w:w="3389"/>
            <w:vAlign w:val="top"/>
          </w:tcPr>
          <w:p>
            <w:pPr>
              <w:spacing w:after="0"/>
            </w:pPr>
            <w:r>
              <w:rPr>
                <w:sz w:val="14"/>
              </w:rPr>
              <w:t>Public annotation artifact licenses</w:t>
            </w:r>
          </w:p>
        </w:tc>
        <w:tc>
          <w:tcPr>
            <w:tcW w:type="dxa" w:w="3389"/>
            <w:vAlign w:val="top"/>
          </w:tcPr>
          <w:p>
            <w:pPr>
              <w:spacing w:after="0"/>
            </w:pPr>
            <w:r>
              <w:rPr>
                <w:sz w:val="14"/>
              </w:rPr>
              <w:t>Article verified; linked data licenses need artifact-level review.</w:t>
            </w:r>
          </w:p>
        </w:tc>
        <w:tc>
          <w:tcPr>
            <w:tcW w:type="dxa" w:w="3389"/>
            <w:vAlign w:val="top"/>
          </w:tcPr>
          <w:p>
            <w:pPr>
              <w:spacing w:after="0"/>
            </w:pPr>
            <w:r>
              <w:rPr>
                <w:sz w:val="14"/>
              </w:rPr>
              <w:t>Phase 2 resource audit.</w:t>
            </w:r>
          </w:p>
        </w:tc>
      </w:tr>
    </w:tbl>
    <w:p/>
    <w:p>
      <w:pPr>
        <w:pStyle w:val="Heading1"/>
      </w:pPr>
      <w:r>
        <w:t>8. Phase 1 machine-readable deliverables</w:t>
      </w:r>
    </w:p>
    <w:p>
      <w:r>
        <w:t>Two companion files are generated with this document:</w:t>
      </w:r>
    </w:p>
    <w:p>
      <w:pPr>
        <w:pStyle w:val="ListBullet"/>
      </w:pPr>
      <w:r>
        <w:t>MedAI_Phase1_Source_Registry_v1.0.csv — flat registry for spreadsheets, review and provenance joins.</w:t>
      </w:r>
    </w:p>
    <w:p>
      <w:pPr>
        <w:pStyle w:val="ListBullet"/>
      </w:pPr>
      <w:r>
        <w:t>MedAI_Phase1_Source_Registry_v1.0.yaml — version-controlled registry for the repository and generator build pipeline.</w:t>
      </w:r>
    </w:p>
    <w:p>
      <w:r>
        <w:t>The CSV/YAML are metadata registries only. They intentionally contain no unverified ontology IDs or terminology codes.</w:t>
      </w:r>
    </w:p>
    <w:p>
      <w:pPr>
        <w:pStyle w:val="Heading1"/>
      </w:pPr>
      <w:r>
        <w:t>9. Gate decision</w:t>
      </w:r>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rPr>
              <w:t>Phase 1 status: PASS WITH DECLARED PENDING EXTRACTIONS</w:t>
              <w:br/>
            </w:r>
            <w:r>
              <w:t>The authoritative source families are sufficiently identified and verified to proceed to Phase 2 (published annotation-resource review) and to begin the semantic dictionary. Machine-readable concept crosswalks remain blocked until the listed artifact-level extractions are completed.</w:t>
            </w:r>
          </w:p>
        </w:tc>
      </w:tr>
    </w:tbl>
    <w:p/>
    <w:p>
      <w:pPr>
        <w:pStyle w:val="Heading1"/>
      </w:pPr>
      <w:r>
        <w:t>10. References</w:t>
      </w:r>
    </w:p>
    <w:p>
      <w:r>
        <w:rPr>
          <w:b/>
          <w:sz w:val="16"/>
        </w:rPr>
        <w:t xml:space="preserve">S01. Beniczky S, Trinka E, Wirrell E, et al. Epilepsia. 2025. DOI: 10.1111/epi.18338 </w:t>
      </w:r>
      <w:r>
        <w:rPr>
          <w:color w:val="2F5597"/>
          <w:sz w:val="16"/>
        </w:rPr>
        <w:t>https://www.ilae.org/updated-classification-epileptic-seizures-2025</w:t>
      </w:r>
    </w:p>
    <w:p>
      <w:r>
        <w:rPr>
          <w:b/>
          <w:sz w:val="16"/>
        </w:rPr>
        <w:t xml:space="preserve">S02. Fisher RS, Acevedo C, Arzimanoglou A, et al. Epilepsia. 2014;55(4):475–482. DOI: 10.1111/epi.12550 </w:t>
      </w:r>
      <w:r>
        <w:rPr>
          <w:color w:val="2F5597"/>
          <w:sz w:val="16"/>
        </w:rPr>
        <w:t>https://www.ilae.org/guidelines/definition-and-classification/definition-of-epilepsy-2014</w:t>
      </w:r>
    </w:p>
    <w:p>
      <w:r>
        <w:rPr>
          <w:b/>
          <w:sz w:val="16"/>
        </w:rPr>
        <w:t xml:space="preserve">S03. Scheffer IE, Berkovic S, Capovilla G, et al. Epilepsia. 2017;58(4):512–521. DOI: 10.1111/epi.13709 </w:t>
      </w:r>
      <w:r>
        <w:rPr>
          <w:color w:val="2F5597"/>
          <w:sz w:val="16"/>
        </w:rPr>
        <w:t>https://www.ilae.org/guidelines/definition-and-classification/ilae-classification-of-the-epilepsies-2017</w:t>
      </w:r>
    </w:p>
    <w:p>
      <w:r>
        <w:rPr>
          <w:b/>
          <w:sz w:val="16"/>
        </w:rPr>
        <w:t xml:space="preserve">S04. ILAE Task Force on Nosology and Definitions, Epilepsia syndrome position papers (2022). </w:t>
      </w:r>
      <w:r>
        <w:rPr>
          <w:color w:val="2F5597"/>
          <w:sz w:val="16"/>
        </w:rPr>
        <w:t>https://www.ilae.org/guidelines/definition-and-classification/classification-and-definition-of-epilepsy-syndromes/classification-and-definition-of-epilepsy-syndromes</w:t>
      </w:r>
    </w:p>
    <w:p>
      <w:r>
        <w:rPr>
          <w:b/>
          <w:sz w:val="16"/>
        </w:rPr>
        <w:t xml:space="preserve">S05. NINDS Common Data Elements: Epilepsy. </w:t>
      </w:r>
      <w:r>
        <w:rPr>
          <w:color w:val="2F5597"/>
          <w:sz w:val="16"/>
        </w:rPr>
        <w:t>https://www.commondataelements.ninds.nih.gov/epilepsy</w:t>
      </w:r>
    </w:p>
    <w:p>
      <w:r>
        <w:rPr>
          <w:b/>
          <w:sz w:val="16"/>
        </w:rPr>
        <w:t xml:space="preserve">S06. EpSO v3.1, BioPortal ontology URI http://www.case.edu/EpilepsyOntology.owl </w:t>
      </w:r>
      <w:r>
        <w:rPr>
          <w:color w:val="2F5597"/>
          <w:sz w:val="16"/>
        </w:rPr>
        <w:t>https://bioportal.bioontology.org/ontologies/EPSO</w:t>
      </w:r>
    </w:p>
    <w:p>
      <w:r>
        <w:rPr>
          <w:b/>
          <w:sz w:val="16"/>
        </w:rPr>
        <w:t xml:space="preserve">S07. Kwan P, Arzimanoglou A, Berg AT, et al. Epilepsia. 2010;51(6):1069–1077. DOI: 10.1111/j.1528-1167.2009.02397.x; PMID 19889013 </w:t>
      </w:r>
      <w:r>
        <w:rPr>
          <w:color w:val="2F5597"/>
          <w:sz w:val="16"/>
        </w:rPr>
        <w:t>https://pubmed.ncbi.nlm.nih.gov/19889013/</w:t>
      </w:r>
    </w:p>
    <w:p>
      <w:r>
        <w:rPr>
          <w:b/>
          <w:sz w:val="16"/>
        </w:rPr>
        <w:t xml:space="preserve">S08. Beniczky S, Aurlien H, Brøgger JC, et al. Clin Neurophysiol. 2017;128(11):2334–2346. DOI: 10.1016/j.clinph.2017.07.418; PMID 28838815 </w:t>
      </w:r>
      <w:r>
        <w:rPr>
          <w:color w:val="2F5597"/>
          <w:sz w:val="16"/>
        </w:rPr>
        <w:t>https://pubmed.ncbi.nlm.nih.gov/28838815/</w:t>
      </w:r>
    </w:p>
    <w:p>
      <w:r>
        <w:rPr>
          <w:b/>
          <w:sz w:val="16"/>
        </w:rPr>
        <w:t xml:space="preserve">S09. Hirsch LJ, Fong MWK, Leitinger M, et al. J Clin Neurophysiol. 2021;38(1):1–29. DOI: 10.1097/WNP.0000000000000806; PMID 33475321 </w:t>
      </w:r>
      <w:r>
        <w:rPr>
          <w:color w:val="2F5597"/>
          <w:sz w:val="16"/>
        </w:rPr>
        <w:t>https://pubmed.ncbi.nlm.nih.gov/33475321/</w:t>
      </w:r>
    </w:p>
    <w:p>
      <w:r>
        <w:rPr>
          <w:b/>
          <w:sz w:val="16"/>
        </w:rPr>
        <w:t xml:space="preserve">S10. Blümcke I, Thom M, Aronica E, et al. Epilepsia. 2013;54(7):1315–1329. DOI: 10.1111/epi.12220; PMID 23692496 </w:t>
      </w:r>
      <w:r>
        <w:rPr>
          <w:color w:val="2F5597"/>
          <w:sz w:val="16"/>
        </w:rPr>
        <w:t>https://pubmed.ncbi.nlm.nih.gov/23692496/</w:t>
      </w:r>
    </w:p>
    <w:p>
      <w:r>
        <w:rPr>
          <w:b/>
          <w:sz w:val="16"/>
        </w:rPr>
        <w:t xml:space="preserve">S11. Najm I, Lal D, Alonso Vanegas M, et al. Epilepsia. 2022;63(8):1899–1919. DOI: 10.1111/epi.17301; PMID 35706131 </w:t>
      </w:r>
      <w:r>
        <w:rPr>
          <w:color w:val="2F5597"/>
          <w:sz w:val="16"/>
        </w:rPr>
        <w:t>https://pubmed.ncbi.nlm.nih.gov/35706131/</w:t>
      </w:r>
    </w:p>
    <w:p>
      <w:r>
        <w:rPr>
          <w:b/>
          <w:sz w:val="16"/>
        </w:rPr>
        <w:t xml:space="preserve">S12. NLM RxNorm Overview and Technical Documentation. </w:t>
      </w:r>
      <w:r>
        <w:rPr>
          <w:color w:val="2F5597"/>
          <w:sz w:val="16"/>
        </w:rPr>
        <w:t>https://www.nlm.nih.gov/research/umls/rxnorm/overview.html</w:t>
      </w:r>
    </w:p>
    <w:p>
      <w:r>
        <w:rPr>
          <w:b/>
          <w:sz w:val="16"/>
        </w:rPr>
        <w:t xml:space="preserve">S13. SNOMED International licensing and specifications. </w:t>
      </w:r>
      <w:r>
        <w:rPr>
          <w:color w:val="2F5597"/>
          <w:sz w:val="16"/>
        </w:rPr>
        <w:t>https://www.snomed.org/licensing</w:t>
      </w:r>
    </w:p>
    <w:p>
      <w:r>
        <w:rPr>
          <w:b/>
          <w:sz w:val="16"/>
        </w:rPr>
        <w:t xml:space="preserve">S14. RSNA RadLex Radiology Lexicon. </w:t>
      </w:r>
      <w:r>
        <w:rPr>
          <w:color w:val="2F5597"/>
          <w:sz w:val="16"/>
        </w:rPr>
        <w:t>https://www.rsna.org/practice-tools/data-tools-and-standards/radlex-radiology-lexicon</w:t>
      </w:r>
    </w:p>
    <w:p>
      <w:r>
        <w:rPr>
          <w:b/>
          <w:sz w:val="16"/>
        </w:rPr>
        <w:t xml:space="preserve">S15. OHDSI OMOP Common Data Model documentation. </w:t>
      </w:r>
      <w:r>
        <w:rPr>
          <w:color w:val="2F5597"/>
          <w:sz w:val="16"/>
        </w:rPr>
        <w:t>https://ohdsi.github.io/CommonDataModel/</w:t>
      </w:r>
    </w:p>
    <w:p>
      <w:r>
        <w:rPr>
          <w:b/>
          <w:sz w:val="16"/>
        </w:rPr>
        <w:t xml:space="preserve">S16. Fonferko-Shadrach B, Strafford H, Jones C, et al. J Biomed Semantics. 2024;15:17. DOI: 10.1186/s13326-024-00316-z </w:t>
      </w:r>
      <w:r>
        <w:rPr>
          <w:color w:val="2F5597"/>
          <w:sz w:val="16"/>
        </w:rPr>
        <w:t>https://pmc.ncbi.nlm.nih.gov/articles/PMC11402197/</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