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b/>
          <w:color w:val="17365D"/>
          <w:sz w:val="68"/>
        </w:rPr>
        <w:t>MedAI</w:t>
      </w:r>
    </w:p>
    <w:p>
      <w:pPr>
        <w:jc w:val="center"/>
      </w:pPr>
      <w:r>
        <w:rPr>
          <w:b/>
          <w:color w:val="2F5597"/>
          <w:sz w:val="40"/>
        </w:rPr>
        <w:t>Phase 2B — Annotation Artifact Extraction &amp; Crosswalk</w:t>
      </w:r>
    </w:p>
    <w:p>
      <w:pPr>
        <w:jc w:val="center"/>
      </w:pPr>
      <w:r>
        <w:rPr>
          <w:sz w:val="22"/>
        </w:rPr>
        <w:t>Version 1.0 • 25 September 2026</w:t>
        <w:br/>
        <w:t>Rule-level extraction from published epilepsy annotation artifacts before the MedAI semantic dictionary is frozen</w:t>
      </w:r>
    </w:p>
    <w:tbl>
      <w:tblPr>
        <w:tblStyle w:val="TableGrid"/>
        <w:tblW w:type="auto" w:w="0"/>
        <w:tblLook w:firstColumn="1" w:firstRow="1" w:lastColumn="0" w:lastRow="0" w:noHBand="0" w:noVBand="1" w:val="04A0"/>
      </w:tblPr>
      <w:tblGrid>
        <w:gridCol w:w="10166"/>
      </w:tblGrid>
      <w:tr>
        <w:trPr>
          <w:cantSplit/>
        </w:trPr>
        <w:tc>
          <w:tcPr>
            <w:tcW w:type="dxa" w:w="10166"/>
            <w:shd w:fill="EEF4FB"/>
          </w:tcPr>
          <w:p>
            <w:r>
              <w:rPr>
                <w:b/>
                <w:color w:val="17365D"/>
              </w:rPr>
              <w:t>Purpose</w:t>
              <w:br/>
            </w:r>
            <w:r>
              <w:t>Close the major Phase 2 gate by extracting the published ExECT v2.1 annotation structure at rule level, mapping it to MedAI, and harmonizing the 17 published SZFreqExtract temporal/frequency attributes. This document does not replace ILAE/NINDS/EpSO clinical semantics; it establishes what published annotation practice actually supports.</w:t>
            </w:r>
          </w:p>
        </w:tc>
      </w:tr>
    </w:tbl>
    <w:p/>
    <w:p>
      <w:r>
        <w:br w:type="page"/>
      </w:r>
    </w:p>
    <w:p>
      <w:pPr>
        <w:pStyle w:val="Heading1"/>
      </w:pPr>
      <w:r>
        <w:t>1. Evidence actually inspected</w:t>
      </w:r>
    </w:p>
    <w:p>
      <w:pPr>
        <w:pStyle w:val="ListBullet"/>
      </w:pPr>
      <w:r>
        <w:t>Fonferko-Shadrach doctoral thesis Appendix B, which reproduces the ExECT v2.1 Markup configuration and 'What and How of annotating with Markup' guidance.</w:t>
      </w:r>
    </w:p>
    <w:p>
      <w:pPr>
        <w:pStyle w:val="ListBullet"/>
      </w:pPr>
      <w:r>
        <w:t>Zenodo gold-standard record 10.5281/zenodo.8356494, confirming 200 synthetic clinic letters were double annotated by trained researchers/clinicians under agreed guidelines, with final annotations agreed by the team.</w:t>
      </w:r>
    </w:p>
    <w:p>
      <w:pPr>
        <w:pStyle w:val="ListBullet"/>
      </w:pPr>
      <w:r>
        <w:t>Zenodo clinic-letter dataset record 10.5281/zenodo.8381080, confirming the 200 synthetic letters and .ann annotations and their relationship to the annotation guideline artifact.</w:t>
      </w:r>
    </w:p>
    <w:p>
      <w:pPr>
        <w:pStyle w:val="ListBullet"/>
      </w:pPr>
      <w:r>
        <w:t>Abeysinghe et al. 2025, including Table 7's 17 seizure-frequency attribute types and the 800-instance manual-annotation design.</w:t>
      </w:r>
    </w:p>
    <w:tbl>
      <w:tblPr>
        <w:tblStyle w:val="TableGrid"/>
        <w:tblW w:type="auto" w:w="0"/>
        <w:tblLook w:firstColumn="1" w:firstRow="1" w:lastColumn="0" w:lastRow="0" w:noHBand="0" w:noVBand="1" w:val="04A0"/>
      </w:tblPr>
      <w:tblGrid>
        <w:gridCol w:w="10166"/>
      </w:tblGrid>
      <w:tr>
        <w:trPr>
          <w:cantSplit/>
        </w:trPr>
        <w:tc>
          <w:tcPr>
            <w:tcW w:type="dxa" w:w="10166"/>
            <w:shd w:fill="EEF4FB"/>
          </w:tcPr>
          <w:p>
            <w:r>
              <w:rPr>
                <w:b/>
                <w:color w:val="17365D"/>
              </w:rPr>
              <w:t>Copyright discipline</w:t>
              <w:br/>
            </w:r>
            <w:r>
              <w:t>The companion CSVs contain concise rule summaries and mappings, not a reproduction of the published annotation manual. The source thesis is CC BY-NC 4.0; the paper/dataset artifacts have their own terms. MedAI should cite the original resources and preserve provenance rather than republishing their full text.</w:t>
            </w:r>
          </w:p>
        </w:tc>
      </w:tr>
    </w:tbl>
    <w:p/>
    <w:p>
      <w:pPr>
        <w:pStyle w:val="Heading1"/>
      </w:pPr>
      <w:r>
        <w:t>2. ExECT v2.1 annotation model recovered</w:t>
      </w:r>
    </w:p>
    <w:p>
      <w:r>
        <w:t>The published configuration defines nine top-level entities:</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89"/>
            <w:shd w:fill="D9EAF7"/>
          </w:tcPr>
          <w:p>
            <w:r>
              <w:rPr>
                <w:b/>
                <w:sz w:val="14"/>
              </w:rPr>
              <w:t>Entity</w:t>
            </w:r>
          </w:p>
        </w:tc>
        <w:tc>
          <w:tcPr>
            <w:tcW w:type="dxa" w:w="3389"/>
            <w:shd w:fill="D9EAF7"/>
          </w:tcPr>
          <w:p>
            <w:r>
              <w:rPr>
                <w:b/>
                <w:sz w:val="14"/>
              </w:rPr>
              <w:t>Published role</w:t>
            </w:r>
          </w:p>
        </w:tc>
        <w:tc>
          <w:tcPr>
            <w:tcW w:type="dxa" w:w="3389"/>
            <w:shd w:fill="D9EAF7"/>
          </w:tcPr>
          <w:p>
            <w:r>
              <w:rPr>
                <w:b/>
                <w:sz w:val="14"/>
              </w:rPr>
              <w:t>MedAI disposition</w:t>
            </w:r>
          </w:p>
        </w:tc>
      </w:tr>
      <w:tr>
        <w:trPr>
          <w:cantSplit/>
        </w:trPr>
        <w:tc>
          <w:tcPr>
            <w:tcW w:type="dxa" w:w="3389"/>
            <w:vAlign w:val="top"/>
          </w:tcPr>
          <w:p>
            <w:pPr>
              <w:spacing w:after="0"/>
            </w:pPr>
            <w:r>
              <w:rPr>
                <w:sz w:val="13"/>
              </w:rPr>
              <w:t>Diagnosis</w:t>
            </w:r>
          </w:p>
        </w:tc>
        <w:tc>
          <w:tcPr>
            <w:tcW w:type="dxa" w:w="3389"/>
            <w:vAlign w:val="top"/>
          </w:tcPr>
          <w:p>
            <w:pPr>
              <w:spacing w:after="0"/>
            </w:pPr>
            <w:r>
              <w:rPr>
                <w:sz w:val="13"/>
              </w:rPr>
              <w:t>Epilepsy, epilepsy syndrome or seizure diagnosis with category, certainty and negation.</w:t>
            </w:r>
          </w:p>
        </w:tc>
        <w:tc>
          <w:tcPr>
            <w:tcW w:type="dxa" w:w="3389"/>
            <w:vAlign w:val="top"/>
          </w:tcPr>
          <w:p>
            <w:pPr>
              <w:spacing w:after="0"/>
            </w:pPr>
            <w:r>
              <w:rPr>
                <w:sz w:val="13"/>
              </w:rPr>
              <w:t>Split into canonical epilepsy/seizure/syndrome assertions; retain legacy mapping.</w:t>
            </w:r>
          </w:p>
        </w:tc>
      </w:tr>
      <w:tr>
        <w:trPr>
          <w:cantSplit/>
        </w:trPr>
        <w:tc>
          <w:tcPr>
            <w:tcW w:type="dxa" w:w="3389"/>
            <w:vAlign w:val="top"/>
          </w:tcPr>
          <w:p>
            <w:pPr>
              <w:spacing w:after="0"/>
            </w:pPr>
            <w:r>
              <w:rPr>
                <w:sz w:val="13"/>
              </w:rPr>
              <w:t>WhenDiagnosed</w:t>
            </w:r>
          </w:p>
        </w:tc>
        <w:tc>
          <w:tcPr>
            <w:tcW w:type="dxa" w:w="3389"/>
            <w:vAlign w:val="top"/>
          </w:tcPr>
          <w:p>
            <w:pPr>
              <w:spacing w:after="0"/>
            </w:pPr>
            <w:r>
              <w:rPr>
                <w:sz w:val="13"/>
              </w:rPr>
              <w:t>Temporal representation of diagnosis timing.</w:t>
            </w:r>
          </w:p>
        </w:tc>
        <w:tc>
          <w:tcPr>
            <w:tcW w:type="dxa" w:w="3389"/>
            <w:vAlign w:val="top"/>
          </w:tcPr>
          <w:p>
            <w:pPr>
              <w:spacing w:after="0"/>
            </w:pPr>
            <w:r>
              <w:rPr>
                <w:sz w:val="13"/>
              </w:rPr>
              <w:t>Adapt into explicit diagnosis-time assertion.</w:t>
            </w:r>
          </w:p>
        </w:tc>
      </w:tr>
      <w:tr>
        <w:trPr>
          <w:cantSplit/>
        </w:trPr>
        <w:tc>
          <w:tcPr>
            <w:tcW w:type="dxa" w:w="3389"/>
            <w:vAlign w:val="top"/>
          </w:tcPr>
          <w:p>
            <w:pPr>
              <w:spacing w:after="0"/>
            </w:pPr>
            <w:r>
              <w:rPr>
                <w:sz w:val="13"/>
              </w:rPr>
              <w:t>Onset</w:t>
            </w:r>
          </w:p>
        </w:tc>
        <w:tc>
          <w:tcPr>
            <w:tcW w:type="dxa" w:w="3389"/>
            <w:vAlign w:val="top"/>
          </w:tcPr>
          <w:p>
            <w:pPr>
              <w:spacing w:after="0"/>
            </w:pPr>
            <w:r>
              <w:rPr>
                <w:sz w:val="13"/>
              </w:rPr>
              <w:t>Temporal representation of onset.</w:t>
            </w:r>
          </w:p>
        </w:tc>
        <w:tc>
          <w:tcPr>
            <w:tcW w:type="dxa" w:w="3389"/>
            <w:vAlign w:val="top"/>
          </w:tcPr>
          <w:p>
            <w:pPr>
              <w:spacing w:after="0"/>
            </w:pPr>
            <w:r>
              <w:rPr>
                <w:sz w:val="13"/>
              </w:rPr>
              <w:t>Adapt with explicit event target.</w:t>
            </w:r>
          </w:p>
        </w:tc>
      </w:tr>
      <w:tr>
        <w:trPr>
          <w:cantSplit/>
        </w:trPr>
        <w:tc>
          <w:tcPr>
            <w:tcW w:type="dxa" w:w="3389"/>
            <w:vAlign w:val="top"/>
          </w:tcPr>
          <w:p>
            <w:pPr>
              <w:spacing w:after="0"/>
            </w:pPr>
            <w:r>
              <w:rPr>
                <w:sz w:val="13"/>
              </w:rPr>
              <w:t>EpilepsyCause</w:t>
            </w:r>
          </w:p>
        </w:tc>
        <w:tc>
          <w:tcPr>
            <w:tcW w:type="dxa" w:w="3389"/>
            <w:vAlign w:val="top"/>
          </w:tcPr>
          <w:p>
            <w:pPr>
              <w:spacing w:after="0"/>
            </w:pPr>
            <w:r>
              <w:rPr>
                <w:sz w:val="13"/>
              </w:rPr>
              <w:t>Cause/aetiology span with certainty/negation.</w:t>
            </w:r>
          </w:p>
        </w:tc>
        <w:tc>
          <w:tcPr>
            <w:tcW w:type="dxa" w:w="3389"/>
            <w:vAlign w:val="top"/>
          </w:tcPr>
          <w:p>
            <w:pPr>
              <w:spacing w:after="0"/>
            </w:pPr>
            <w:r>
              <w:rPr>
                <w:sz w:val="13"/>
              </w:rPr>
              <w:t>Extend to current ILAE etiology model.</w:t>
            </w:r>
          </w:p>
        </w:tc>
      </w:tr>
      <w:tr>
        <w:trPr>
          <w:cantSplit/>
        </w:trPr>
        <w:tc>
          <w:tcPr>
            <w:tcW w:type="dxa" w:w="3389"/>
            <w:vAlign w:val="top"/>
          </w:tcPr>
          <w:p>
            <w:pPr>
              <w:spacing w:after="0"/>
            </w:pPr>
            <w:r>
              <w:rPr>
                <w:sz w:val="13"/>
              </w:rPr>
              <w:t>SeizureFrequency</w:t>
            </w:r>
          </w:p>
        </w:tc>
        <w:tc>
          <w:tcPr>
            <w:tcW w:type="dxa" w:w="3389"/>
            <w:vAlign w:val="top"/>
          </w:tcPr>
          <w:p>
            <w:pPr>
              <w:spacing w:after="0"/>
            </w:pPr>
            <w:r>
              <w:rPr>
                <w:sz w:val="13"/>
              </w:rPr>
              <w:t>Quantitative/qualitative frequency plus temporal context.</w:t>
            </w:r>
          </w:p>
        </w:tc>
        <w:tc>
          <w:tcPr>
            <w:tcW w:type="dxa" w:w="3389"/>
            <w:vAlign w:val="top"/>
          </w:tcPr>
          <w:p>
            <w:pPr>
              <w:spacing w:after="0"/>
            </w:pPr>
            <w:r>
              <w:rPr>
                <w:sz w:val="13"/>
              </w:rPr>
              <w:t>Strong parent for MedAI SZ005.</w:t>
            </w:r>
          </w:p>
        </w:tc>
      </w:tr>
      <w:tr>
        <w:trPr>
          <w:cantSplit/>
        </w:trPr>
        <w:tc>
          <w:tcPr>
            <w:tcW w:type="dxa" w:w="3389"/>
            <w:vAlign w:val="top"/>
          </w:tcPr>
          <w:p>
            <w:pPr>
              <w:spacing w:after="0"/>
            </w:pPr>
            <w:r>
              <w:rPr>
                <w:sz w:val="13"/>
              </w:rPr>
              <w:t>Investigations</w:t>
            </w:r>
          </w:p>
        </w:tc>
        <w:tc>
          <w:tcPr>
            <w:tcW w:type="dxa" w:w="3389"/>
            <w:vAlign w:val="top"/>
          </w:tcPr>
          <w:p>
            <w:pPr>
              <w:spacing w:after="0"/>
            </w:pPr>
            <w:r>
              <w:rPr>
                <w:sz w:val="13"/>
              </w:rPr>
              <w:t>MRI/CT/EEG performed/result and EEG type.</w:t>
            </w:r>
          </w:p>
        </w:tc>
        <w:tc>
          <w:tcPr>
            <w:tcW w:type="dxa" w:w="3389"/>
            <w:vAlign w:val="top"/>
          </w:tcPr>
          <w:p>
            <w:pPr>
              <w:spacing w:after="0"/>
            </w:pPr>
            <w:r>
              <w:rPr>
                <w:sz w:val="13"/>
              </w:rPr>
              <w:t>Coarse parent; extend modality-specific phenotypes.</w:t>
            </w:r>
          </w:p>
        </w:tc>
      </w:tr>
      <w:tr>
        <w:trPr>
          <w:cantSplit/>
        </w:trPr>
        <w:tc>
          <w:tcPr>
            <w:tcW w:type="dxa" w:w="3389"/>
            <w:vAlign w:val="top"/>
          </w:tcPr>
          <w:p>
            <w:pPr>
              <w:spacing w:after="0"/>
            </w:pPr>
            <w:r>
              <w:rPr>
                <w:sz w:val="13"/>
              </w:rPr>
              <w:t>Prescription</w:t>
            </w:r>
          </w:p>
        </w:tc>
        <w:tc>
          <w:tcPr>
            <w:tcW w:type="dxa" w:w="3389"/>
            <w:vAlign w:val="top"/>
          </w:tcPr>
          <w:p>
            <w:pPr>
              <w:spacing w:after="0"/>
            </w:pPr>
            <w:r>
              <w:rPr>
                <w:sz w:val="13"/>
              </w:rPr>
              <w:t>ASM name, dose, unit, frequency.</w:t>
            </w:r>
          </w:p>
        </w:tc>
        <w:tc>
          <w:tcPr>
            <w:tcW w:type="dxa" w:w="3389"/>
            <w:vAlign w:val="top"/>
          </w:tcPr>
          <w:p>
            <w:pPr>
              <w:spacing w:after="0"/>
            </w:pPr>
            <w:r>
              <w:rPr>
                <w:sz w:val="13"/>
              </w:rPr>
              <w:t>Adapt with RxNorm and longitudinal trial state.</w:t>
            </w:r>
          </w:p>
        </w:tc>
      </w:tr>
      <w:tr>
        <w:trPr>
          <w:cantSplit/>
        </w:trPr>
        <w:tc>
          <w:tcPr>
            <w:tcW w:type="dxa" w:w="3389"/>
            <w:vAlign w:val="top"/>
          </w:tcPr>
          <w:p>
            <w:pPr>
              <w:spacing w:after="0"/>
            </w:pPr>
            <w:r>
              <w:rPr>
                <w:sz w:val="13"/>
              </w:rPr>
              <w:t>PatientHistory</w:t>
            </w:r>
          </w:p>
        </w:tc>
        <w:tc>
          <w:tcPr>
            <w:tcW w:type="dxa" w:w="3389"/>
            <w:vAlign w:val="top"/>
          </w:tcPr>
          <w:p>
            <w:pPr>
              <w:spacing w:after="0"/>
            </w:pPr>
            <w:r>
              <w:rPr>
                <w:sz w:val="13"/>
              </w:rPr>
              <w:t>Historical events with temporal features.</w:t>
            </w:r>
          </w:p>
        </w:tc>
        <w:tc>
          <w:tcPr>
            <w:tcW w:type="dxa" w:w="3389"/>
            <w:vAlign w:val="top"/>
          </w:tcPr>
          <w:p>
            <w:pPr>
              <w:spacing w:after="0"/>
            </w:pPr>
            <w:r>
              <w:rPr>
                <w:sz w:val="13"/>
              </w:rPr>
              <w:t>Scope to selected MedAI history variables.</w:t>
            </w:r>
          </w:p>
        </w:tc>
      </w:tr>
      <w:tr>
        <w:trPr>
          <w:cantSplit/>
        </w:trPr>
        <w:tc>
          <w:tcPr>
            <w:tcW w:type="dxa" w:w="3389"/>
            <w:vAlign w:val="top"/>
          </w:tcPr>
          <w:p>
            <w:pPr>
              <w:spacing w:after="0"/>
            </w:pPr>
            <w:r>
              <w:rPr>
                <w:sz w:val="13"/>
              </w:rPr>
              <w:t>BirthHistory</w:t>
            </w:r>
          </w:p>
        </w:tc>
        <w:tc>
          <w:tcPr>
            <w:tcW w:type="dxa" w:w="3389"/>
            <w:vAlign w:val="top"/>
          </w:tcPr>
          <w:p>
            <w:pPr>
              <w:spacing w:after="0"/>
            </w:pPr>
            <w:r>
              <w:rPr>
                <w:sz w:val="13"/>
              </w:rPr>
              <w:t>Birth events/prematurity.</w:t>
            </w:r>
          </w:p>
        </w:tc>
        <w:tc>
          <w:tcPr>
            <w:tcW w:type="dxa" w:w="3389"/>
            <w:vAlign w:val="top"/>
          </w:tcPr>
          <w:p>
            <w:pPr>
              <w:spacing w:after="0"/>
            </w:pPr>
            <w:r>
              <w:rPr>
                <w:sz w:val="13"/>
              </w:rPr>
              <w:t>Optional v1 module.</w:t>
            </w:r>
          </w:p>
        </w:tc>
      </w:tr>
    </w:tbl>
    <w:p/>
    <w:p>
      <w:pPr>
        <w:pStyle w:val="Heading1"/>
      </w:pPr>
      <w:r>
        <w:t>3. Extracted rule inventory</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cantSplit/>
        </w:trPr>
        <w:tc>
          <w:tcPr>
            <w:tcW w:type="dxa" w:w="2033"/>
            <w:shd w:fill="D9EAF7"/>
          </w:tcPr>
          <w:p>
            <w:r>
              <w:rPr>
                <w:b/>
                <w:sz w:val="13"/>
              </w:rPr>
              <w:t>Rule</w:t>
            </w:r>
          </w:p>
        </w:tc>
        <w:tc>
          <w:tcPr>
            <w:tcW w:type="dxa" w:w="2033"/>
            <w:shd w:fill="D9EAF7"/>
          </w:tcPr>
          <w:p>
            <w:r>
              <w:rPr>
                <w:b/>
                <w:sz w:val="13"/>
              </w:rPr>
              <w:t>Entity</w:t>
            </w:r>
          </w:p>
        </w:tc>
        <w:tc>
          <w:tcPr>
            <w:tcW w:type="dxa" w:w="2033"/>
            <w:shd w:fill="D9EAF7"/>
          </w:tcPr>
          <w:p>
            <w:r>
              <w:rPr>
                <w:b/>
                <w:sz w:val="13"/>
              </w:rPr>
              <w:t>Area</w:t>
            </w:r>
          </w:p>
        </w:tc>
        <w:tc>
          <w:tcPr>
            <w:tcW w:type="dxa" w:w="2033"/>
            <w:shd w:fill="D9EAF7"/>
          </w:tcPr>
          <w:p>
            <w:r>
              <w:rPr>
                <w:b/>
                <w:sz w:val="13"/>
              </w:rPr>
              <w:t>MedAI action</w:t>
            </w:r>
          </w:p>
        </w:tc>
        <w:tc>
          <w:tcPr>
            <w:tcW w:type="dxa" w:w="2033"/>
            <w:shd w:fill="D9EAF7"/>
          </w:tcPr>
          <w:p>
            <w:r>
              <w:rPr>
                <w:b/>
                <w:sz w:val="13"/>
              </w:rPr>
              <w:t>Implementation note</w:t>
            </w:r>
          </w:p>
        </w:tc>
      </w:tr>
      <w:tr>
        <w:trPr>
          <w:cantSplit/>
        </w:trPr>
        <w:tc>
          <w:tcPr>
            <w:tcW w:type="dxa" w:w="2033"/>
            <w:vAlign w:val="top"/>
          </w:tcPr>
          <w:p>
            <w:pPr>
              <w:spacing w:after="0"/>
            </w:pPr>
            <w:r>
              <w:rPr>
                <w:sz w:val="12"/>
              </w:rPr>
              <w:t>EXECT-GEN-001</w:t>
            </w:r>
          </w:p>
        </w:tc>
        <w:tc>
          <w:tcPr>
            <w:tcW w:type="dxa" w:w="2033"/>
            <w:vAlign w:val="top"/>
          </w:tcPr>
          <w:p>
            <w:pPr>
              <w:spacing w:after="0"/>
            </w:pPr>
            <w:r>
              <w:rPr>
                <w:sz w:val="12"/>
              </w:rPr>
              <w:t>General</w:t>
            </w:r>
          </w:p>
        </w:tc>
        <w:tc>
          <w:tcPr>
            <w:tcW w:type="dxa" w:w="2033"/>
            <w:vAlign w:val="top"/>
          </w:tcPr>
          <w:p>
            <w:pPr>
              <w:spacing w:after="0"/>
            </w:pPr>
            <w:r>
              <w:rPr>
                <w:sz w:val="12"/>
              </w:rPr>
              <w:t>multi-context annotation</w:t>
            </w:r>
          </w:p>
        </w:tc>
        <w:tc>
          <w:tcPr>
            <w:tcW w:type="dxa" w:w="2033"/>
            <w:vAlign w:val="top"/>
          </w:tcPr>
          <w:p>
            <w:pPr>
              <w:spacing w:after="0"/>
            </w:pPr>
            <w:r>
              <w:rPr>
                <w:sz w:val="12"/>
              </w:rPr>
              <w:t>ADAPT</w:t>
            </w:r>
          </w:p>
        </w:tc>
        <w:tc>
          <w:tcPr>
            <w:tcW w:type="dxa" w:w="2033"/>
            <w:vAlign w:val="top"/>
          </w:tcPr>
          <w:p>
            <w:pPr>
              <w:spacing w:after="0"/>
            </w:pPr>
            <w:r>
              <w:rPr>
                <w:sz w:val="12"/>
              </w:rPr>
              <w:t>MedAI should allow multiple assertions/evidence links from one span rather than force one label.</w:t>
            </w:r>
          </w:p>
        </w:tc>
      </w:tr>
      <w:tr>
        <w:trPr>
          <w:cantSplit/>
        </w:trPr>
        <w:tc>
          <w:tcPr>
            <w:tcW w:type="dxa" w:w="2033"/>
            <w:vAlign w:val="top"/>
          </w:tcPr>
          <w:p>
            <w:pPr>
              <w:spacing w:after="0"/>
            </w:pPr>
            <w:r>
              <w:rPr>
                <w:sz w:val="12"/>
              </w:rPr>
              <w:t>EXECT-DX-001</w:t>
            </w:r>
          </w:p>
        </w:tc>
        <w:tc>
          <w:tcPr>
            <w:tcW w:type="dxa" w:w="2033"/>
            <w:vAlign w:val="top"/>
          </w:tcPr>
          <w:p>
            <w:pPr>
              <w:spacing w:after="0"/>
            </w:pPr>
            <w:r>
              <w:rPr>
                <w:sz w:val="12"/>
              </w:rPr>
              <w:t>Diagnosis</w:t>
            </w:r>
          </w:p>
        </w:tc>
        <w:tc>
          <w:tcPr>
            <w:tcW w:type="dxa" w:w="2033"/>
            <w:vAlign w:val="top"/>
          </w:tcPr>
          <w:p>
            <w:pPr>
              <w:spacing w:after="0"/>
            </w:pPr>
            <w:r>
              <w:rPr>
                <w:sz w:val="12"/>
              </w:rPr>
              <w:t>scope</w:t>
            </w:r>
          </w:p>
        </w:tc>
        <w:tc>
          <w:tcPr>
            <w:tcW w:type="dxa" w:w="2033"/>
            <w:vAlign w:val="top"/>
          </w:tcPr>
          <w:p>
            <w:pPr>
              <w:spacing w:after="0"/>
            </w:pPr>
            <w:r>
              <w:rPr>
                <w:sz w:val="12"/>
              </w:rPr>
              <w:t>ADAPT</w:t>
            </w:r>
          </w:p>
        </w:tc>
        <w:tc>
          <w:tcPr>
            <w:tcW w:type="dxa" w:w="2033"/>
            <w:vAlign w:val="top"/>
          </w:tcPr>
          <w:p>
            <w:pPr>
              <w:spacing w:after="0"/>
            </w:pPr>
            <w:r>
              <w:rPr>
                <w:sz w:val="12"/>
              </w:rPr>
              <w:t>MedAI separates epilepsy type, syndrome, seizure class/type; preserve source span but normalize into separate canonical fields.</w:t>
            </w:r>
          </w:p>
        </w:tc>
      </w:tr>
      <w:tr>
        <w:trPr>
          <w:cantSplit/>
        </w:trPr>
        <w:tc>
          <w:tcPr>
            <w:tcW w:type="dxa" w:w="2033"/>
            <w:vAlign w:val="top"/>
          </w:tcPr>
          <w:p>
            <w:pPr>
              <w:spacing w:after="0"/>
            </w:pPr>
            <w:r>
              <w:rPr>
                <w:sz w:val="12"/>
              </w:rPr>
              <w:t>EXECT-DX-002</w:t>
            </w:r>
          </w:p>
        </w:tc>
        <w:tc>
          <w:tcPr>
            <w:tcW w:type="dxa" w:w="2033"/>
            <w:vAlign w:val="top"/>
          </w:tcPr>
          <w:p>
            <w:pPr>
              <w:spacing w:after="0"/>
            </w:pPr>
            <w:r>
              <w:rPr>
                <w:sz w:val="12"/>
              </w:rPr>
              <w:t>Diagnosis</w:t>
            </w:r>
          </w:p>
        </w:tc>
        <w:tc>
          <w:tcPr>
            <w:tcW w:type="dxa" w:w="2033"/>
            <w:vAlign w:val="top"/>
          </w:tcPr>
          <w:p>
            <w:pPr>
              <w:spacing w:after="0"/>
            </w:pPr>
            <w:r>
              <w:rPr>
                <w:sz w:val="12"/>
              </w:rPr>
              <w:t>DiagCategory</w:t>
            </w:r>
          </w:p>
        </w:tc>
        <w:tc>
          <w:tcPr>
            <w:tcW w:type="dxa" w:w="2033"/>
            <w:vAlign w:val="top"/>
          </w:tcPr>
          <w:p>
            <w:pPr>
              <w:spacing w:after="0"/>
            </w:pPr>
            <w:r>
              <w:rPr>
                <w:sz w:val="12"/>
              </w:rPr>
              <w:t>ADAPT</w:t>
            </w:r>
          </w:p>
        </w:tc>
        <w:tc>
          <w:tcPr>
            <w:tcW w:type="dxa" w:w="2033"/>
            <w:vAlign w:val="top"/>
          </w:tcPr>
          <w:p>
            <w:pPr>
              <w:spacing w:after="0"/>
            </w:pPr>
            <w:r>
              <w:rPr>
                <w:sz w:val="12"/>
              </w:rPr>
              <w:t>Legacy annotation category; retain only for ExECT compatibility, not canonical ILAE-2025 truth.</w:t>
            </w:r>
          </w:p>
        </w:tc>
      </w:tr>
      <w:tr>
        <w:trPr>
          <w:cantSplit/>
        </w:trPr>
        <w:tc>
          <w:tcPr>
            <w:tcW w:type="dxa" w:w="2033"/>
            <w:vAlign w:val="top"/>
          </w:tcPr>
          <w:p>
            <w:pPr>
              <w:spacing w:after="0"/>
            </w:pPr>
            <w:r>
              <w:rPr>
                <w:sz w:val="12"/>
              </w:rPr>
              <w:t>EXECT-DX-003</w:t>
            </w:r>
          </w:p>
        </w:tc>
        <w:tc>
          <w:tcPr>
            <w:tcW w:type="dxa" w:w="2033"/>
            <w:vAlign w:val="top"/>
          </w:tcPr>
          <w:p>
            <w:pPr>
              <w:spacing w:after="0"/>
            </w:pPr>
            <w:r>
              <w:rPr>
                <w:sz w:val="12"/>
              </w:rPr>
              <w:t>Diagnosis</w:t>
            </w:r>
          </w:p>
        </w:tc>
        <w:tc>
          <w:tcPr>
            <w:tcW w:type="dxa" w:w="2033"/>
            <w:vAlign w:val="top"/>
          </w:tcPr>
          <w:p>
            <w:pPr>
              <w:spacing w:after="0"/>
            </w:pPr>
            <w:r>
              <w:rPr>
                <w:sz w:val="12"/>
              </w:rPr>
              <w:t>certainty</w:t>
            </w:r>
          </w:p>
        </w:tc>
        <w:tc>
          <w:tcPr>
            <w:tcW w:type="dxa" w:w="2033"/>
            <w:vAlign w:val="top"/>
          </w:tcPr>
          <w:p>
            <w:pPr>
              <w:spacing w:after="0"/>
            </w:pPr>
            <w:r>
              <w:rPr>
                <w:sz w:val="12"/>
              </w:rPr>
              <w:t>ADAPT</w:t>
            </w:r>
          </w:p>
        </w:tc>
        <w:tc>
          <w:tcPr>
            <w:tcW w:type="dxa" w:w="2033"/>
            <w:vAlign w:val="top"/>
          </w:tcPr>
          <w:p>
            <w:pPr>
              <w:spacing w:after="0"/>
            </w:pPr>
            <w:r>
              <w:rPr>
                <w:sz w:val="12"/>
              </w:rPr>
              <w:t>Map only after extracting exact phrase-to-level guidance; MedAI certainty representation remains versioned.</w:t>
            </w:r>
          </w:p>
        </w:tc>
      </w:tr>
      <w:tr>
        <w:trPr>
          <w:cantSplit/>
        </w:trPr>
        <w:tc>
          <w:tcPr>
            <w:tcW w:type="dxa" w:w="2033"/>
            <w:vAlign w:val="top"/>
          </w:tcPr>
          <w:p>
            <w:pPr>
              <w:spacing w:after="0"/>
            </w:pPr>
            <w:r>
              <w:rPr>
                <w:sz w:val="12"/>
              </w:rPr>
              <w:t>EXECT-DX-004</w:t>
            </w:r>
          </w:p>
        </w:tc>
        <w:tc>
          <w:tcPr>
            <w:tcW w:type="dxa" w:w="2033"/>
            <w:vAlign w:val="top"/>
          </w:tcPr>
          <w:p>
            <w:pPr>
              <w:spacing w:after="0"/>
            </w:pPr>
            <w:r>
              <w:rPr>
                <w:sz w:val="12"/>
              </w:rPr>
              <w:t>Diagnosis</w:t>
            </w:r>
          </w:p>
        </w:tc>
        <w:tc>
          <w:tcPr>
            <w:tcW w:type="dxa" w:w="2033"/>
            <w:vAlign w:val="top"/>
          </w:tcPr>
          <w:p>
            <w:pPr>
              <w:spacing w:after="0"/>
            </w:pPr>
            <w:r>
              <w:rPr>
                <w:sz w:val="12"/>
              </w:rPr>
              <w:t>negation</w:t>
            </w:r>
          </w:p>
        </w:tc>
        <w:tc>
          <w:tcPr>
            <w:tcW w:type="dxa" w:w="2033"/>
            <w:vAlign w:val="top"/>
          </w:tcPr>
          <w:p>
            <w:pPr>
              <w:spacing w:after="0"/>
            </w:pPr>
            <w:r>
              <w:rPr>
                <w:sz w:val="12"/>
              </w:rPr>
              <w:t>ADOPT/ADAPT</w:t>
            </w:r>
          </w:p>
        </w:tc>
        <w:tc>
          <w:tcPr>
            <w:tcW w:type="dxa" w:w="2033"/>
            <w:vAlign w:val="top"/>
          </w:tcPr>
          <w:p>
            <w:pPr>
              <w:spacing w:after="0"/>
            </w:pPr>
            <w:r>
              <w:rPr>
                <w:sz w:val="12"/>
              </w:rPr>
              <w:t>Map to MedAI assertion_status; retain explicit source negation.</w:t>
            </w:r>
          </w:p>
        </w:tc>
      </w:tr>
      <w:tr>
        <w:trPr>
          <w:cantSplit/>
        </w:trPr>
        <w:tc>
          <w:tcPr>
            <w:tcW w:type="dxa" w:w="2033"/>
            <w:vAlign w:val="top"/>
          </w:tcPr>
          <w:p>
            <w:pPr>
              <w:spacing w:after="0"/>
            </w:pPr>
            <w:r>
              <w:rPr>
                <w:sz w:val="12"/>
              </w:rPr>
              <w:t>EXECT-TIME-001</w:t>
            </w:r>
          </w:p>
        </w:tc>
        <w:tc>
          <w:tcPr>
            <w:tcW w:type="dxa" w:w="2033"/>
            <w:vAlign w:val="top"/>
          </w:tcPr>
          <w:p>
            <w:pPr>
              <w:spacing w:after="0"/>
            </w:pPr>
            <w:r>
              <w:rPr>
                <w:sz w:val="12"/>
              </w:rPr>
              <w:t>Onset/WhenDiagnosed/PatientHistory</w:t>
            </w:r>
          </w:p>
        </w:tc>
        <w:tc>
          <w:tcPr>
            <w:tcW w:type="dxa" w:w="2033"/>
            <w:vAlign w:val="top"/>
          </w:tcPr>
          <w:p>
            <w:pPr>
              <w:spacing w:after="0"/>
            </w:pPr>
            <w:r>
              <w:rPr>
                <w:sz w:val="12"/>
              </w:rPr>
              <w:t>age</w:t>
            </w:r>
          </w:p>
        </w:tc>
        <w:tc>
          <w:tcPr>
            <w:tcW w:type="dxa" w:w="2033"/>
            <w:vAlign w:val="top"/>
          </w:tcPr>
          <w:p>
            <w:pPr>
              <w:spacing w:after="0"/>
            </w:pPr>
            <w:r>
              <w:rPr>
                <w:sz w:val="12"/>
              </w:rPr>
              <w:t>ADAPT</w:t>
            </w:r>
          </w:p>
        </w:tc>
        <w:tc>
          <w:tcPr>
            <w:tcW w:type="dxa" w:w="2033"/>
            <w:vAlign w:val="top"/>
          </w:tcPr>
          <w:p>
            <w:pPr>
              <w:spacing w:after="0"/>
            </w:pPr>
            <w:r>
              <w:rPr>
                <w:sz w:val="12"/>
              </w:rPr>
              <w:t>Reusable temporal representation; MedAI should distinguish seizure onset, epilepsy onset, diagnosis date, and other event dates.</w:t>
            </w:r>
          </w:p>
        </w:tc>
      </w:tr>
      <w:tr>
        <w:trPr>
          <w:cantSplit/>
        </w:trPr>
        <w:tc>
          <w:tcPr>
            <w:tcW w:type="dxa" w:w="2033"/>
            <w:vAlign w:val="top"/>
          </w:tcPr>
          <w:p>
            <w:pPr>
              <w:spacing w:after="0"/>
            </w:pPr>
            <w:r>
              <w:rPr>
                <w:sz w:val="12"/>
              </w:rPr>
              <w:t>EXECT-TIME-002</w:t>
            </w:r>
          </w:p>
        </w:tc>
        <w:tc>
          <w:tcPr>
            <w:tcW w:type="dxa" w:w="2033"/>
            <w:vAlign w:val="top"/>
          </w:tcPr>
          <w:p>
            <w:pPr>
              <w:spacing w:after="0"/>
            </w:pPr>
            <w:r>
              <w:rPr>
                <w:sz w:val="12"/>
              </w:rPr>
              <w:t>Onset/WhenDiagnosed/PatientHistory</w:t>
            </w:r>
          </w:p>
        </w:tc>
        <w:tc>
          <w:tcPr>
            <w:tcW w:type="dxa" w:w="2033"/>
            <w:vAlign w:val="top"/>
          </w:tcPr>
          <w:p>
            <w:pPr>
              <w:spacing w:after="0"/>
            </w:pPr>
            <w:r>
              <w:rPr>
                <w:sz w:val="12"/>
              </w:rPr>
              <w:t>time-since</w:t>
            </w:r>
          </w:p>
        </w:tc>
        <w:tc>
          <w:tcPr>
            <w:tcW w:type="dxa" w:w="2033"/>
            <w:vAlign w:val="top"/>
          </w:tcPr>
          <w:p>
            <w:pPr>
              <w:spacing w:after="0"/>
            </w:pPr>
            <w:r>
              <w:rPr>
                <w:sz w:val="12"/>
              </w:rPr>
              <w:t>ADOPT/ADAPT</w:t>
            </w:r>
          </w:p>
        </w:tc>
        <w:tc>
          <w:tcPr>
            <w:tcW w:type="dxa" w:w="2033"/>
            <w:vAlign w:val="top"/>
          </w:tcPr>
          <w:p>
            <w:pPr>
              <w:spacing w:after="0"/>
            </w:pPr>
            <w:r>
              <w:rPr>
                <w:sz w:val="12"/>
              </w:rPr>
              <w:t>Store raw expression and normalized interval separately.</w:t>
            </w:r>
          </w:p>
        </w:tc>
      </w:tr>
      <w:tr>
        <w:trPr>
          <w:cantSplit/>
        </w:trPr>
        <w:tc>
          <w:tcPr>
            <w:tcW w:type="dxa" w:w="2033"/>
            <w:vAlign w:val="top"/>
          </w:tcPr>
          <w:p>
            <w:pPr>
              <w:spacing w:after="0"/>
            </w:pPr>
            <w:r>
              <w:rPr>
                <w:sz w:val="12"/>
              </w:rPr>
              <w:t>EXECT-TIME-003</w:t>
            </w:r>
          </w:p>
        </w:tc>
        <w:tc>
          <w:tcPr>
            <w:tcW w:type="dxa" w:w="2033"/>
            <w:vAlign w:val="top"/>
          </w:tcPr>
          <w:p>
            <w:pPr>
              <w:spacing w:after="0"/>
            </w:pPr>
            <w:r>
              <w:rPr>
                <w:sz w:val="12"/>
              </w:rPr>
              <w:t>Onset/WhenDiagnosed/PatientHistory</w:t>
            </w:r>
          </w:p>
        </w:tc>
        <w:tc>
          <w:tcPr>
            <w:tcW w:type="dxa" w:w="2033"/>
            <w:vAlign w:val="top"/>
          </w:tcPr>
          <w:p>
            <w:pPr>
              <w:spacing w:after="0"/>
            </w:pPr>
            <w:r>
              <w:rPr>
                <w:sz w:val="12"/>
              </w:rPr>
              <w:t>date</w:t>
            </w:r>
          </w:p>
        </w:tc>
        <w:tc>
          <w:tcPr>
            <w:tcW w:type="dxa" w:w="2033"/>
            <w:vAlign w:val="top"/>
          </w:tcPr>
          <w:p>
            <w:pPr>
              <w:spacing w:after="0"/>
            </w:pPr>
            <w:r>
              <w:rPr>
                <w:sz w:val="12"/>
              </w:rPr>
              <w:t>ADOPT/ADAPT</w:t>
            </w:r>
          </w:p>
        </w:tc>
        <w:tc>
          <w:tcPr>
            <w:tcW w:type="dxa" w:w="2033"/>
            <w:vAlign w:val="top"/>
          </w:tcPr>
          <w:p>
            <w:pPr>
              <w:spacing w:after="0"/>
            </w:pPr>
            <w:r>
              <w:rPr>
                <w:sz w:val="12"/>
              </w:rPr>
              <w:t>MedAI should preserve date precision.</w:t>
            </w:r>
          </w:p>
        </w:tc>
      </w:tr>
      <w:tr>
        <w:trPr>
          <w:cantSplit/>
        </w:trPr>
        <w:tc>
          <w:tcPr>
            <w:tcW w:type="dxa" w:w="2033"/>
            <w:vAlign w:val="top"/>
          </w:tcPr>
          <w:p>
            <w:pPr>
              <w:spacing w:after="0"/>
            </w:pPr>
            <w:r>
              <w:rPr>
                <w:sz w:val="12"/>
              </w:rPr>
              <w:t>EXECT-TIME-004</w:t>
            </w:r>
          </w:p>
        </w:tc>
        <w:tc>
          <w:tcPr>
            <w:tcW w:type="dxa" w:w="2033"/>
            <w:vAlign w:val="top"/>
          </w:tcPr>
          <w:p>
            <w:pPr>
              <w:spacing w:after="0"/>
            </w:pPr>
            <w:r>
              <w:rPr>
                <w:sz w:val="12"/>
              </w:rPr>
              <w:t>Onset/WhenDiagnosed/PatientHistory</w:t>
            </w:r>
          </w:p>
        </w:tc>
        <w:tc>
          <w:tcPr>
            <w:tcW w:type="dxa" w:w="2033"/>
            <w:vAlign w:val="top"/>
          </w:tcPr>
          <w:p>
            <w:pPr>
              <w:spacing w:after="0"/>
            </w:pPr>
            <w:r>
              <w:rPr>
                <w:sz w:val="12"/>
              </w:rPr>
              <w:t>point-in-time</w:t>
            </w:r>
          </w:p>
        </w:tc>
        <w:tc>
          <w:tcPr>
            <w:tcW w:type="dxa" w:w="2033"/>
            <w:vAlign w:val="top"/>
          </w:tcPr>
          <w:p>
            <w:pPr>
              <w:spacing w:after="0"/>
            </w:pPr>
            <w:r>
              <w:rPr>
                <w:sz w:val="12"/>
              </w:rPr>
              <w:t>EXTEND</w:t>
            </w:r>
          </w:p>
        </w:tc>
        <w:tc>
          <w:tcPr>
            <w:tcW w:type="dxa" w:w="2033"/>
            <w:vAlign w:val="top"/>
          </w:tcPr>
          <w:p>
            <w:pPr>
              <w:spacing w:after="0"/>
            </w:pPr>
            <w:r>
              <w:rPr>
                <w:sz w:val="12"/>
              </w:rPr>
              <w:t>MedAI should use extensible temporal anchors rather than fixed historical list.</w:t>
            </w:r>
          </w:p>
        </w:tc>
      </w:tr>
      <w:tr>
        <w:trPr>
          <w:cantSplit/>
        </w:trPr>
        <w:tc>
          <w:tcPr>
            <w:tcW w:type="dxa" w:w="2033"/>
            <w:vAlign w:val="top"/>
          </w:tcPr>
          <w:p>
            <w:pPr>
              <w:spacing w:after="0"/>
            </w:pPr>
            <w:r>
              <w:rPr>
                <w:sz w:val="12"/>
              </w:rPr>
              <w:t>EXECT-BIRTH-001</w:t>
            </w:r>
          </w:p>
        </w:tc>
        <w:tc>
          <w:tcPr>
            <w:tcW w:type="dxa" w:w="2033"/>
            <w:vAlign w:val="top"/>
          </w:tcPr>
          <w:p>
            <w:pPr>
              <w:spacing w:after="0"/>
            </w:pPr>
            <w:r>
              <w:rPr>
                <w:sz w:val="12"/>
              </w:rPr>
              <w:t>BirthHistory</w:t>
            </w:r>
          </w:p>
        </w:tc>
        <w:tc>
          <w:tcPr>
            <w:tcW w:type="dxa" w:w="2033"/>
            <w:vAlign w:val="top"/>
          </w:tcPr>
          <w:p>
            <w:pPr>
              <w:spacing w:after="0"/>
            </w:pPr>
            <w:r>
              <w:rPr>
                <w:sz w:val="12"/>
              </w:rPr>
              <w:t>prematurity</w:t>
            </w:r>
          </w:p>
        </w:tc>
        <w:tc>
          <w:tcPr>
            <w:tcW w:type="dxa" w:w="2033"/>
            <w:vAlign w:val="top"/>
          </w:tcPr>
          <w:p>
            <w:pPr>
              <w:spacing w:after="0"/>
            </w:pPr>
            <w:r>
              <w:rPr>
                <w:sz w:val="12"/>
              </w:rPr>
              <w:t>OPTIONAL</w:t>
            </w:r>
          </w:p>
        </w:tc>
        <w:tc>
          <w:tcPr>
            <w:tcW w:type="dxa" w:w="2033"/>
            <w:vAlign w:val="top"/>
          </w:tcPr>
          <w:p>
            <w:pPr>
              <w:spacing w:after="0"/>
            </w:pPr>
            <w:r>
              <w:rPr>
                <w:sz w:val="12"/>
              </w:rPr>
              <w:t>Not v1 primary endpoint; only include if scope requires.</w:t>
            </w:r>
          </w:p>
        </w:tc>
      </w:tr>
      <w:tr>
        <w:trPr>
          <w:cantSplit/>
        </w:trPr>
        <w:tc>
          <w:tcPr>
            <w:tcW w:type="dxa" w:w="2033"/>
            <w:vAlign w:val="top"/>
          </w:tcPr>
          <w:p>
            <w:pPr>
              <w:spacing w:after="0"/>
            </w:pPr>
            <w:r>
              <w:rPr>
                <w:sz w:val="12"/>
              </w:rPr>
              <w:t>EXECT-INV-001</w:t>
            </w:r>
          </w:p>
        </w:tc>
        <w:tc>
          <w:tcPr>
            <w:tcW w:type="dxa" w:w="2033"/>
            <w:vAlign w:val="top"/>
          </w:tcPr>
          <w:p>
            <w:pPr>
              <w:spacing w:after="0"/>
            </w:pPr>
            <w:r>
              <w:rPr>
                <w:sz w:val="12"/>
              </w:rPr>
              <w:t>Investigations</w:t>
            </w:r>
          </w:p>
        </w:tc>
        <w:tc>
          <w:tcPr>
            <w:tcW w:type="dxa" w:w="2033"/>
            <w:vAlign w:val="top"/>
          </w:tcPr>
          <w:p>
            <w:pPr>
              <w:spacing w:after="0"/>
            </w:pPr>
            <w:r>
              <w:rPr>
                <w:sz w:val="12"/>
              </w:rPr>
              <w:t>MRI</w:t>
            </w:r>
          </w:p>
        </w:tc>
        <w:tc>
          <w:tcPr>
            <w:tcW w:type="dxa" w:w="2033"/>
            <w:vAlign w:val="top"/>
          </w:tcPr>
          <w:p>
            <w:pPr>
              <w:spacing w:after="0"/>
            </w:pPr>
            <w:r>
              <w:rPr>
                <w:sz w:val="12"/>
              </w:rPr>
              <w:t>EXTEND</w:t>
            </w:r>
          </w:p>
        </w:tc>
        <w:tc>
          <w:tcPr>
            <w:tcW w:type="dxa" w:w="2033"/>
            <w:vAlign w:val="top"/>
          </w:tcPr>
          <w:p>
            <w:pPr>
              <w:spacing w:after="0"/>
            </w:pPr>
            <w:r>
              <w:rPr>
                <w:sz w:val="12"/>
              </w:rPr>
              <w:t>Useful coarse parent label; MedAI adds lesion type/location/laterality/certainty.</w:t>
            </w:r>
          </w:p>
        </w:tc>
      </w:tr>
      <w:tr>
        <w:trPr>
          <w:cantSplit/>
        </w:trPr>
        <w:tc>
          <w:tcPr>
            <w:tcW w:type="dxa" w:w="2033"/>
            <w:vAlign w:val="top"/>
          </w:tcPr>
          <w:p>
            <w:pPr>
              <w:spacing w:after="0"/>
            </w:pPr>
            <w:r>
              <w:rPr>
                <w:sz w:val="12"/>
              </w:rPr>
              <w:t>EXECT-INV-002</w:t>
            </w:r>
          </w:p>
        </w:tc>
        <w:tc>
          <w:tcPr>
            <w:tcW w:type="dxa" w:w="2033"/>
            <w:vAlign w:val="top"/>
          </w:tcPr>
          <w:p>
            <w:pPr>
              <w:spacing w:after="0"/>
            </w:pPr>
            <w:r>
              <w:rPr>
                <w:sz w:val="12"/>
              </w:rPr>
              <w:t>Investigations</w:t>
            </w:r>
          </w:p>
        </w:tc>
        <w:tc>
          <w:tcPr>
            <w:tcW w:type="dxa" w:w="2033"/>
            <w:vAlign w:val="top"/>
          </w:tcPr>
          <w:p>
            <w:pPr>
              <w:spacing w:after="0"/>
            </w:pPr>
            <w:r>
              <w:rPr>
                <w:sz w:val="12"/>
              </w:rPr>
              <w:t>CT</w:t>
            </w:r>
          </w:p>
        </w:tc>
        <w:tc>
          <w:tcPr>
            <w:tcW w:type="dxa" w:w="2033"/>
            <w:vAlign w:val="top"/>
          </w:tcPr>
          <w:p>
            <w:pPr>
              <w:spacing w:after="0"/>
            </w:pPr>
            <w:r>
              <w:rPr>
                <w:sz w:val="12"/>
              </w:rPr>
              <w:t>OPTIONAL</w:t>
            </w:r>
          </w:p>
        </w:tc>
        <w:tc>
          <w:tcPr>
            <w:tcW w:type="dxa" w:w="2033"/>
            <w:vAlign w:val="top"/>
          </w:tcPr>
          <w:p>
            <w:pPr>
              <w:spacing w:after="0"/>
            </w:pPr>
            <w:r>
              <w:rPr>
                <w:sz w:val="12"/>
              </w:rPr>
              <w:t>Keep for compatibility; CT is not current v1 primary endpoint.</w:t>
            </w:r>
          </w:p>
        </w:tc>
      </w:tr>
      <w:tr>
        <w:trPr>
          <w:cantSplit/>
        </w:trPr>
        <w:tc>
          <w:tcPr>
            <w:tcW w:type="dxa" w:w="2033"/>
            <w:vAlign w:val="top"/>
          </w:tcPr>
          <w:p>
            <w:pPr>
              <w:spacing w:after="0"/>
            </w:pPr>
            <w:r>
              <w:rPr>
                <w:sz w:val="12"/>
              </w:rPr>
              <w:t>EXECT-INV-003</w:t>
            </w:r>
          </w:p>
        </w:tc>
        <w:tc>
          <w:tcPr>
            <w:tcW w:type="dxa" w:w="2033"/>
            <w:vAlign w:val="top"/>
          </w:tcPr>
          <w:p>
            <w:pPr>
              <w:spacing w:after="0"/>
            </w:pPr>
            <w:r>
              <w:rPr>
                <w:sz w:val="12"/>
              </w:rPr>
              <w:t>Investigations</w:t>
            </w:r>
          </w:p>
        </w:tc>
        <w:tc>
          <w:tcPr>
            <w:tcW w:type="dxa" w:w="2033"/>
            <w:vAlign w:val="top"/>
          </w:tcPr>
          <w:p>
            <w:pPr>
              <w:spacing w:after="0"/>
            </w:pPr>
            <w:r>
              <w:rPr>
                <w:sz w:val="12"/>
              </w:rPr>
              <w:t>EEG</w:t>
            </w:r>
          </w:p>
        </w:tc>
        <w:tc>
          <w:tcPr>
            <w:tcW w:type="dxa" w:w="2033"/>
            <w:vAlign w:val="top"/>
          </w:tcPr>
          <w:p>
            <w:pPr>
              <w:spacing w:after="0"/>
            </w:pPr>
            <w:r>
              <w:rPr>
                <w:sz w:val="12"/>
              </w:rPr>
              <w:t>EXTEND</w:t>
            </w:r>
          </w:p>
        </w:tc>
        <w:tc>
          <w:tcPr>
            <w:tcW w:type="dxa" w:w="2033"/>
            <w:vAlign w:val="top"/>
          </w:tcPr>
          <w:p>
            <w:pPr>
              <w:spacing w:after="0"/>
            </w:pPr>
            <w:r>
              <w:rPr>
                <w:sz w:val="12"/>
              </w:rPr>
              <w:t>MedAI adds IED, ictal onset, location/laterality/background.</w:t>
            </w:r>
          </w:p>
        </w:tc>
      </w:tr>
      <w:tr>
        <w:trPr>
          <w:cantSplit/>
        </w:trPr>
        <w:tc>
          <w:tcPr>
            <w:tcW w:type="dxa" w:w="2033"/>
            <w:vAlign w:val="top"/>
          </w:tcPr>
          <w:p>
            <w:pPr>
              <w:spacing w:after="0"/>
            </w:pPr>
            <w:r>
              <w:rPr>
                <w:sz w:val="12"/>
              </w:rPr>
              <w:t>EXECT-INV-004</w:t>
            </w:r>
          </w:p>
        </w:tc>
        <w:tc>
          <w:tcPr>
            <w:tcW w:type="dxa" w:w="2033"/>
            <w:vAlign w:val="top"/>
          </w:tcPr>
          <w:p>
            <w:pPr>
              <w:spacing w:after="0"/>
            </w:pPr>
            <w:r>
              <w:rPr>
                <w:sz w:val="12"/>
              </w:rPr>
              <w:t>Investigations</w:t>
            </w:r>
          </w:p>
        </w:tc>
        <w:tc>
          <w:tcPr>
            <w:tcW w:type="dxa" w:w="2033"/>
            <w:vAlign w:val="top"/>
          </w:tcPr>
          <w:p>
            <w:pPr>
              <w:spacing w:after="0"/>
            </w:pPr>
            <w:r>
              <w:rPr>
                <w:sz w:val="12"/>
              </w:rPr>
              <w:t>EEG type</w:t>
            </w:r>
          </w:p>
        </w:tc>
        <w:tc>
          <w:tcPr>
            <w:tcW w:type="dxa" w:w="2033"/>
            <w:vAlign w:val="top"/>
          </w:tcPr>
          <w:p>
            <w:pPr>
              <w:spacing w:after="0"/>
            </w:pPr>
            <w:r>
              <w:rPr>
                <w:sz w:val="12"/>
              </w:rPr>
              <w:t>ADAPT</w:t>
            </w:r>
          </w:p>
        </w:tc>
        <w:tc>
          <w:tcPr>
            <w:tcW w:type="dxa" w:w="2033"/>
            <w:vAlign w:val="top"/>
          </w:tcPr>
          <w:p>
            <w:pPr>
              <w:spacing w:after="0"/>
            </w:pPr>
            <w:r>
              <w:rPr>
                <w:sz w:val="12"/>
              </w:rPr>
              <w:t>Map to current document/study-type vocabulary; do not assume exhaustive.</w:t>
            </w:r>
          </w:p>
        </w:tc>
      </w:tr>
      <w:tr>
        <w:trPr>
          <w:cantSplit/>
        </w:trPr>
        <w:tc>
          <w:tcPr>
            <w:tcW w:type="dxa" w:w="2033"/>
            <w:vAlign w:val="top"/>
          </w:tcPr>
          <w:p>
            <w:pPr>
              <w:spacing w:after="0"/>
            </w:pPr>
            <w:r>
              <w:rPr>
                <w:sz w:val="12"/>
              </w:rPr>
              <w:t>EXECT-RX-001</w:t>
            </w:r>
          </w:p>
        </w:tc>
        <w:tc>
          <w:tcPr>
            <w:tcW w:type="dxa" w:w="2033"/>
            <w:vAlign w:val="top"/>
          </w:tcPr>
          <w:p>
            <w:pPr>
              <w:spacing w:after="0"/>
            </w:pPr>
            <w:r>
              <w:rPr>
                <w:sz w:val="12"/>
              </w:rPr>
              <w:t>Prescription</w:t>
            </w:r>
          </w:p>
        </w:tc>
        <w:tc>
          <w:tcPr>
            <w:tcW w:type="dxa" w:w="2033"/>
            <w:vAlign w:val="top"/>
          </w:tcPr>
          <w:p>
            <w:pPr>
              <w:spacing w:after="0"/>
            </w:pPr>
            <w:r>
              <w:rPr>
                <w:sz w:val="12"/>
              </w:rPr>
              <w:t>scope</w:t>
            </w:r>
          </w:p>
        </w:tc>
        <w:tc>
          <w:tcPr>
            <w:tcW w:type="dxa" w:w="2033"/>
            <w:vAlign w:val="top"/>
          </w:tcPr>
          <w:p>
            <w:pPr>
              <w:spacing w:after="0"/>
            </w:pPr>
            <w:r>
              <w:rPr>
                <w:sz w:val="12"/>
              </w:rPr>
              <w:t>ADAPT</w:t>
            </w:r>
          </w:p>
        </w:tc>
        <w:tc>
          <w:tcPr>
            <w:tcW w:type="dxa" w:w="2033"/>
            <w:vAlign w:val="top"/>
          </w:tcPr>
          <w:p>
            <w:pPr>
              <w:spacing w:after="0"/>
            </w:pPr>
            <w:r>
              <w:rPr>
                <w:sz w:val="12"/>
              </w:rPr>
              <w:t>MedAI ASM module can adopt scope but needs current/prior status, trial outcome, adequacy, tolerability.</w:t>
            </w:r>
          </w:p>
        </w:tc>
      </w:tr>
      <w:tr>
        <w:trPr>
          <w:cantSplit/>
        </w:trPr>
        <w:tc>
          <w:tcPr>
            <w:tcW w:type="dxa" w:w="2033"/>
            <w:vAlign w:val="top"/>
          </w:tcPr>
          <w:p>
            <w:pPr>
              <w:spacing w:after="0"/>
            </w:pPr>
            <w:r>
              <w:rPr>
                <w:sz w:val="12"/>
              </w:rPr>
              <w:t>EXECT-RX-002</w:t>
            </w:r>
          </w:p>
        </w:tc>
        <w:tc>
          <w:tcPr>
            <w:tcW w:type="dxa" w:w="2033"/>
            <w:vAlign w:val="top"/>
          </w:tcPr>
          <w:p>
            <w:pPr>
              <w:spacing w:after="0"/>
            </w:pPr>
            <w:r>
              <w:rPr>
                <w:sz w:val="12"/>
              </w:rPr>
              <w:t>Prescription</w:t>
            </w:r>
          </w:p>
        </w:tc>
        <w:tc>
          <w:tcPr>
            <w:tcW w:type="dxa" w:w="2033"/>
            <w:vAlign w:val="top"/>
          </w:tcPr>
          <w:p>
            <w:pPr>
              <w:spacing w:after="0"/>
            </w:pPr>
            <w:r>
              <w:rPr>
                <w:sz w:val="12"/>
              </w:rPr>
              <w:t>brand normalization</w:t>
            </w:r>
          </w:p>
        </w:tc>
        <w:tc>
          <w:tcPr>
            <w:tcW w:type="dxa" w:w="2033"/>
            <w:vAlign w:val="top"/>
          </w:tcPr>
          <w:p>
            <w:pPr>
              <w:spacing w:after="0"/>
            </w:pPr>
            <w:r>
              <w:rPr>
                <w:sz w:val="12"/>
              </w:rPr>
              <w:t>ADOPT/ADAPT</w:t>
            </w:r>
          </w:p>
        </w:tc>
        <w:tc>
          <w:tcPr>
            <w:tcW w:type="dxa" w:w="2033"/>
            <w:vAlign w:val="top"/>
          </w:tcPr>
          <w:p>
            <w:pPr>
              <w:spacing w:after="0"/>
            </w:pPr>
            <w:r>
              <w:rPr>
                <w:sz w:val="12"/>
              </w:rPr>
              <w:t>Use RxNorm/current terminology rather than fixed historical list.</w:t>
            </w:r>
          </w:p>
        </w:tc>
      </w:tr>
      <w:tr>
        <w:trPr>
          <w:cantSplit/>
        </w:trPr>
        <w:tc>
          <w:tcPr>
            <w:tcW w:type="dxa" w:w="2033"/>
            <w:vAlign w:val="top"/>
          </w:tcPr>
          <w:p>
            <w:pPr>
              <w:spacing w:after="0"/>
            </w:pPr>
            <w:r>
              <w:rPr>
                <w:sz w:val="12"/>
              </w:rPr>
              <w:t>EXECT-RX-003</w:t>
            </w:r>
          </w:p>
        </w:tc>
        <w:tc>
          <w:tcPr>
            <w:tcW w:type="dxa" w:w="2033"/>
            <w:vAlign w:val="top"/>
          </w:tcPr>
          <w:p>
            <w:pPr>
              <w:spacing w:after="0"/>
            </w:pPr>
            <w:r>
              <w:rPr>
                <w:sz w:val="12"/>
              </w:rPr>
              <w:t>Prescription</w:t>
            </w:r>
          </w:p>
        </w:tc>
        <w:tc>
          <w:tcPr>
            <w:tcW w:type="dxa" w:w="2033"/>
            <w:vAlign w:val="top"/>
          </w:tcPr>
          <w:p>
            <w:pPr>
              <w:spacing w:after="0"/>
            </w:pPr>
            <w:r>
              <w:rPr>
                <w:sz w:val="12"/>
              </w:rPr>
              <w:t>dose</w:t>
            </w:r>
          </w:p>
        </w:tc>
        <w:tc>
          <w:tcPr>
            <w:tcW w:type="dxa" w:w="2033"/>
            <w:vAlign w:val="top"/>
          </w:tcPr>
          <w:p>
            <w:pPr>
              <w:spacing w:after="0"/>
            </w:pPr>
            <w:r>
              <w:rPr>
                <w:sz w:val="12"/>
              </w:rPr>
              <w:t>ADAPT</w:t>
            </w:r>
          </w:p>
        </w:tc>
        <w:tc>
          <w:tcPr>
            <w:tcW w:type="dxa" w:w="2033"/>
            <w:vAlign w:val="top"/>
          </w:tcPr>
          <w:p>
            <w:pPr>
              <w:spacing w:after="0"/>
            </w:pPr>
            <w:r>
              <w:rPr>
                <w:sz w:val="12"/>
              </w:rPr>
              <w:t>MedAI should support additional valid units/forms only when documented.</w:t>
            </w:r>
          </w:p>
        </w:tc>
      </w:tr>
      <w:tr>
        <w:trPr>
          <w:cantSplit/>
        </w:trPr>
        <w:tc>
          <w:tcPr>
            <w:tcW w:type="dxa" w:w="2033"/>
            <w:vAlign w:val="top"/>
          </w:tcPr>
          <w:p>
            <w:pPr>
              <w:spacing w:after="0"/>
            </w:pPr>
            <w:r>
              <w:rPr>
                <w:sz w:val="12"/>
              </w:rPr>
              <w:t>EXECT-RX-004</w:t>
            </w:r>
          </w:p>
        </w:tc>
        <w:tc>
          <w:tcPr>
            <w:tcW w:type="dxa" w:w="2033"/>
            <w:vAlign w:val="top"/>
          </w:tcPr>
          <w:p>
            <w:pPr>
              <w:spacing w:after="0"/>
            </w:pPr>
            <w:r>
              <w:rPr>
                <w:sz w:val="12"/>
              </w:rPr>
              <w:t>Prescription</w:t>
            </w:r>
          </w:p>
        </w:tc>
        <w:tc>
          <w:tcPr>
            <w:tcW w:type="dxa" w:w="2033"/>
            <w:vAlign w:val="top"/>
          </w:tcPr>
          <w:p>
            <w:pPr>
              <w:spacing w:after="0"/>
            </w:pPr>
            <w:r>
              <w:rPr>
                <w:sz w:val="12"/>
              </w:rPr>
              <w:t>frequency</w:t>
            </w:r>
          </w:p>
        </w:tc>
        <w:tc>
          <w:tcPr>
            <w:tcW w:type="dxa" w:w="2033"/>
            <w:vAlign w:val="top"/>
          </w:tcPr>
          <w:p>
            <w:pPr>
              <w:spacing w:after="0"/>
            </w:pPr>
            <w:r>
              <w:rPr>
                <w:sz w:val="12"/>
              </w:rPr>
              <w:t>ADAPT</w:t>
            </w:r>
          </w:p>
        </w:tc>
        <w:tc>
          <w:tcPr>
            <w:tcW w:type="dxa" w:w="2033"/>
            <w:vAlign w:val="top"/>
          </w:tcPr>
          <w:p>
            <w:pPr>
              <w:spacing w:after="0"/>
            </w:pPr>
            <w:r>
              <w:rPr>
                <w:sz w:val="12"/>
              </w:rPr>
              <w:t>Do not inherit default frequency behavior into MedAI without clinical review; preserve unknown if absent.</w:t>
            </w:r>
          </w:p>
        </w:tc>
      </w:tr>
      <w:tr>
        <w:trPr>
          <w:cantSplit/>
        </w:trPr>
        <w:tc>
          <w:tcPr>
            <w:tcW w:type="dxa" w:w="2033"/>
            <w:vAlign w:val="top"/>
          </w:tcPr>
          <w:p>
            <w:pPr>
              <w:spacing w:after="0"/>
            </w:pPr>
            <w:r>
              <w:rPr>
                <w:sz w:val="12"/>
              </w:rPr>
              <w:t>EXECT-SF-001</w:t>
            </w:r>
          </w:p>
        </w:tc>
        <w:tc>
          <w:tcPr>
            <w:tcW w:type="dxa" w:w="2033"/>
            <w:vAlign w:val="top"/>
          </w:tcPr>
          <w:p>
            <w:pPr>
              <w:spacing w:after="0"/>
            </w:pPr>
            <w:r>
              <w:rPr>
                <w:sz w:val="12"/>
              </w:rPr>
              <w:t>SeizureFrequency</w:t>
            </w:r>
          </w:p>
        </w:tc>
        <w:tc>
          <w:tcPr>
            <w:tcW w:type="dxa" w:w="2033"/>
            <w:vAlign w:val="top"/>
          </w:tcPr>
          <w:p>
            <w:pPr>
              <w:spacing w:after="0"/>
            </w:pPr>
            <w:r>
              <w:rPr>
                <w:sz w:val="12"/>
              </w:rPr>
              <w:t>time period</w:t>
            </w:r>
          </w:p>
        </w:tc>
        <w:tc>
          <w:tcPr>
            <w:tcW w:type="dxa" w:w="2033"/>
            <w:vAlign w:val="top"/>
          </w:tcPr>
          <w:p>
            <w:pPr>
              <w:spacing w:after="0"/>
            </w:pPr>
            <w:r>
              <w:rPr>
                <w:sz w:val="12"/>
              </w:rPr>
              <w:t>ADOPT/ADAPT</w:t>
            </w:r>
          </w:p>
        </w:tc>
        <w:tc>
          <w:tcPr>
            <w:tcW w:type="dxa" w:w="2033"/>
            <w:vAlign w:val="top"/>
          </w:tcPr>
          <w:p>
            <w:pPr>
              <w:spacing w:after="0"/>
            </w:pPr>
            <w:r>
              <w:rPr>
                <w:sz w:val="12"/>
              </w:rPr>
              <w:t>MedAI temporal schema should support these and SZFreqExtract's broader temporal units.</w:t>
            </w:r>
          </w:p>
        </w:tc>
      </w:tr>
      <w:tr>
        <w:trPr>
          <w:cantSplit/>
        </w:trPr>
        <w:tc>
          <w:tcPr>
            <w:tcW w:type="dxa" w:w="2033"/>
            <w:vAlign w:val="top"/>
          </w:tcPr>
          <w:p>
            <w:pPr>
              <w:spacing w:after="0"/>
            </w:pPr>
            <w:r>
              <w:rPr>
                <w:sz w:val="12"/>
              </w:rPr>
              <w:t>EXECT-SF-002</w:t>
            </w:r>
          </w:p>
        </w:tc>
        <w:tc>
          <w:tcPr>
            <w:tcW w:type="dxa" w:w="2033"/>
            <w:vAlign w:val="top"/>
          </w:tcPr>
          <w:p>
            <w:pPr>
              <w:spacing w:after="0"/>
            </w:pPr>
            <w:r>
              <w:rPr>
                <w:sz w:val="12"/>
              </w:rPr>
              <w:t>SeizureFrequency</w:t>
            </w:r>
          </w:p>
        </w:tc>
        <w:tc>
          <w:tcPr>
            <w:tcW w:type="dxa" w:w="2033"/>
            <w:vAlign w:val="top"/>
          </w:tcPr>
          <w:p>
            <w:pPr>
              <w:spacing w:after="0"/>
            </w:pPr>
            <w:r>
              <w:rPr>
                <w:sz w:val="12"/>
              </w:rPr>
              <w:t>period count</w:t>
            </w:r>
          </w:p>
        </w:tc>
        <w:tc>
          <w:tcPr>
            <w:tcW w:type="dxa" w:w="2033"/>
            <w:vAlign w:val="top"/>
          </w:tcPr>
          <w:p>
            <w:pPr>
              <w:spacing w:after="0"/>
            </w:pPr>
            <w:r>
              <w:rPr>
                <w:sz w:val="12"/>
              </w:rPr>
              <w:t>ADOPT</w:t>
            </w:r>
          </w:p>
        </w:tc>
        <w:tc>
          <w:tcPr>
            <w:tcW w:type="dxa" w:w="2033"/>
            <w:vAlign w:val="top"/>
          </w:tcPr>
          <w:p>
            <w:pPr>
              <w:spacing w:after="0"/>
            </w:pPr>
            <w:r>
              <w:rPr>
                <w:sz w:val="12"/>
              </w:rPr>
              <w:t>Maps cleanly to structured interval denominator.</w:t>
            </w:r>
          </w:p>
        </w:tc>
      </w:tr>
      <w:tr>
        <w:trPr>
          <w:cantSplit/>
        </w:trPr>
        <w:tc>
          <w:tcPr>
            <w:tcW w:type="dxa" w:w="2033"/>
            <w:vAlign w:val="top"/>
          </w:tcPr>
          <w:p>
            <w:pPr>
              <w:spacing w:after="0"/>
            </w:pPr>
            <w:r>
              <w:rPr>
                <w:sz w:val="12"/>
              </w:rPr>
              <w:t>EXECT-SF-003</w:t>
            </w:r>
          </w:p>
        </w:tc>
        <w:tc>
          <w:tcPr>
            <w:tcW w:type="dxa" w:w="2033"/>
            <w:vAlign w:val="top"/>
          </w:tcPr>
          <w:p>
            <w:pPr>
              <w:spacing w:after="0"/>
            </w:pPr>
            <w:r>
              <w:rPr>
                <w:sz w:val="12"/>
              </w:rPr>
              <w:t>SeizureFrequency</w:t>
            </w:r>
          </w:p>
        </w:tc>
        <w:tc>
          <w:tcPr>
            <w:tcW w:type="dxa" w:w="2033"/>
            <w:vAlign w:val="top"/>
          </w:tcPr>
          <w:p>
            <w:pPr>
              <w:spacing w:after="0"/>
            </w:pPr>
            <w:r>
              <w:rPr>
                <w:sz w:val="12"/>
              </w:rPr>
              <w:t>qualitative change</w:t>
            </w:r>
          </w:p>
        </w:tc>
        <w:tc>
          <w:tcPr>
            <w:tcW w:type="dxa" w:w="2033"/>
            <w:vAlign w:val="top"/>
          </w:tcPr>
          <w:p>
            <w:pPr>
              <w:spacing w:after="0"/>
            </w:pPr>
            <w:r>
              <w:rPr>
                <w:sz w:val="12"/>
              </w:rPr>
              <w:t>ADAPT</w:t>
            </w:r>
          </w:p>
        </w:tc>
        <w:tc>
          <w:tcPr>
            <w:tcW w:type="dxa" w:w="2033"/>
            <w:vAlign w:val="top"/>
          </w:tcPr>
          <w:p>
            <w:pPr>
              <w:spacing w:after="0"/>
            </w:pPr>
            <w:r>
              <w:rPr>
                <w:sz w:val="12"/>
              </w:rPr>
              <w:t>Keep qualitative trend separate from numeric frequency.</w:t>
            </w:r>
          </w:p>
        </w:tc>
      </w:tr>
      <w:tr>
        <w:trPr>
          <w:cantSplit/>
        </w:trPr>
        <w:tc>
          <w:tcPr>
            <w:tcW w:type="dxa" w:w="2033"/>
            <w:vAlign w:val="top"/>
          </w:tcPr>
          <w:p>
            <w:pPr>
              <w:spacing w:after="0"/>
            </w:pPr>
            <w:r>
              <w:rPr>
                <w:sz w:val="12"/>
              </w:rPr>
              <w:t>EXECT-SF-004</w:t>
            </w:r>
          </w:p>
        </w:tc>
        <w:tc>
          <w:tcPr>
            <w:tcW w:type="dxa" w:w="2033"/>
            <w:vAlign w:val="top"/>
          </w:tcPr>
          <w:p>
            <w:pPr>
              <w:spacing w:after="0"/>
            </w:pPr>
            <w:r>
              <w:rPr>
                <w:sz w:val="12"/>
              </w:rPr>
              <w:t>SeizureFrequency</w:t>
            </w:r>
          </w:p>
        </w:tc>
        <w:tc>
          <w:tcPr>
            <w:tcW w:type="dxa" w:w="2033"/>
            <w:vAlign w:val="top"/>
          </w:tcPr>
          <w:p>
            <w:pPr>
              <w:spacing w:after="0"/>
            </w:pPr>
            <w:r>
              <w:rPr>
                <w:sz w:val="12"/>
              </w:rPr>
              <w:t>seizure count</w:t>
            </w:r>
          </w:p>
        </w:tc>
        <w:tc>
          <w:tcPr>
            <w:tcW w:type="dxa" w:w="2033"/>
            <w:vAlign w:val="top"/>
          </w:tcPr>
          <w:p>
            <w:pPr>
              <w:spacing w:after="0"/>
            </w:pPr>
            <w:r>
              <w:rPr>
                <w:sz w:val="12"/>
              </w:rPr>
              <w:t>ADOPT</w:t>
            </w:r>
          </w:p>
        </w:tc>
        <w:tc>
          <w:tcPr>
            <w:tcW w:type="dxa" w:w="2033"/>
            <w:vAlign w:val="top"/>
          </w:tcPr>
          <w:p>
            <w:pPr>
              <w:spacing w:after="0"/>
            </w:pPr>
            <w:r>
              <w:rPr>
                <w:sz w:val="12"/>
              </w:rPr>
              <w:t>Maps to quantity/min/max quantity.</w:t>
            </w:r>
          </w:p>
        </w:tc>
      </w:tr>
      <w:tr>
        <w:trPr>
          <w:cantSplit/>
        </w:trPr>
        <w:tc>
          <w:tcPr>
            <w:tcW w:type="dxa" w:w="2033"/>
            <w:vAlign w:val="top"/>
          </w:tcPr>
          <w:p>
            <w:pPr>
              <w:spacing w:after="0"/>
            </w:pPr>
            <w:r>
              <w:rPr>
                <w:sz w:val="12"/>
              </w:rPr>
              <w:t>EXECT-SF-005</w:t>
            </w:r>
          </w:p>
        </w:tc>
        <w:tc>
          <w:tcPr>
            <w:tcW w:type="dxa" w:w="2033"/>
            <w:vAlign w:val="top"/>
          </w:tcPr>
          <w:p>
            <w:pPr>
              <w:spacing w:after="0"/>
            </w:pPr>
            <w:r>
              <w:rPr>
                <w:sz w:val="12"/>
              </w:rPr>
              <w:t>SeizureFrequency</w:t>
            </w:r>
          </w:p>
        </w:tc>
        <w:tc>
          <w:tcPr>
            <w:tcW w:type="dxa" w:w="2033"/>
            <w:vAlign w:val="top"/>
          </w:tcPr>
          <w:p>
            <w:pPr>
              <w:spacing w:after="0"/>
            </w:pPr>
            <w:r>
              <w:rPr>
                <w:sz w:val="12"/>
              </w:rPr>
              <w:t>event age/date</w:t>
            </w:r>
          </w:p>
        </w:tc>
        <w:tc>
          <w:tcPr>
            <w:tcW w:type="dxa" w:w="2033"/>
            <w:vAlign w:val="top"/>
          </w:tcPr>
          <w:p>
            <w:pPr>
              <w:spacing w:after="0"/>
            </w:pPr>
            <w:r>
              <w:rPr>
                <w:sz w:val="12"/>
              </w:rPr>
              <w:t>ADAPT</w:t>
            </w:r>
          </w:p>
        </w:tc>
        <w:tc>
          <w:tcPr>
            <w:tcW w:type="dxa" w:w="2033"/>
            <w:vAlign w:val="top"/>
          </w:tcPr>
          <w:p>
            <w:pPr>
              <w:spacing w:after="0"/>
            </w:pPr>
            <w:r>
              <w:rPr>
                <w:sz w:val="12"/>
              </w:rPr>
              <w:t>Merge with unified MedAI temporal assertion model.</w:t>
            </w:r>
          </w:p>
        </w:tc>
      </w:tr>
      <w:tr>
        <w:trPr>
          <w:cantSplit/>
        </w:trPr>
        <w:tc>
          <w:tcPr>
            <w:tcW w:type="dxa" w:w="2033"/>
            <w:vAlign w:val="top"/>
          </w:tcPr>
          <w:p>
            <w:pPr>
              <w:spacing w:after="0"/>
            </w:pPr>
            <w:r>
              <w:rPr>
                <w:sz w:val="12"/>
              </w:rPr>
              <w:t>EXECT-SF-006</w:t>
            </w:r>
          </w:p>
        </w:tc>
        <w:tc>
          <w:tcPr>
            <w:tcW w:type="dxa" w:w="2033"/>
            <w:vAlign w:val="top"/>
          </w:tcPr>
          <w:p>
            <w:pPr>
              <w:spacing w:after="0"/>
            </w:pPr>
            <w:r>
              <w:rPr>
                <w:sz w:val="12"/>
              </w:rPr>
              <w:t>SeizureFrequency</w:t>
            </w:r>
          </w:p>
        </w:tc>
        <w:tc>
          <w:tcPr>
            <w:tcW w:type="dxa" w:w="2033"/>
            <w:vAlign w:val="top"/>
          </w:tcPr>
          <w:p>
            <w:pPr>
              <w:spacing w:after="0"/>
            </w:pPr>
            <w:r>
              <w:rPr>
                <w:sz w:val="12"/>
              </w:rPr>
              <w:t>relation to time</w:t>
            </w:r>
          </w:p>
        </w:tc>
        <w:tc>
          <w:tcPr>
            <w:tcW w:type="dxa" w:w="2033"/>
            <w:vAlign w:val="top"/>
          </w:tcPr>
          <w:p>
            <w:pPr>
              <w:spacing w:after="0"/>
            </w:pPr>
            <w:r>
              <w:rPr>
                <w:sz w:val="12"/>
              </w:rPr>
              <w:t>ADAPT</w:t>
            </w:r>
          </w:p>
        </w:tc>
        <w:tc>
          <w:tcPr>
            <w:tcW w:type="dxa" w:w="2033"/>
            <w:vAlign w:val="top"/>
          </w:tcPr>
          <w:p>
            <w:pPr>
              <w:spacing w:after="0"/>
            </w:pPr>
            <w:r>
              <w:rPr>
                <w:sz w:val="12"/>
              </w:rPr>
              <w:t>Useful relation type; harmonize with SZFreqExtract interval/relative-time fields.</w:t>
            </w:r>
          </w:p>
        </w:tc>
      </w:tr>
    </w:tbl>
    <w:p/>
    <w:p>
      <w:pPr>
        <w:pStyle w:val="Heading1"/>
      </w:pPr>
      <w:r>
        <w:t>4. High-value annotation principles inherited</w:t>
      </w:r>
    </w:p>
    <w:tbl>
      <w:tblPr>
        <w:tblStyle w:val="TableGrid"/>
        <w:tblW w:type="auto" w:w="0"/>
        <w:tblLook w:firstColumn="1" w:firstRow="1" w:lastColumn="0" w:lastRow="0" w:noHBand="0" w:noVBand="1" w:val="04A0"/>
      </w:tblPr>
      <w:tblGrid>
        <w:gridCol w:w="10166"/>
      </w:tblGrid>
      <w:tr>
        <w:trPr>
          <w:cantSplit/>
        </w:trPr>
        <w:tc>
          <w:tcPr>
            <w:tcW w:type="dxa" w:w="10166"/>
            <w:shd w:fill="EEF4FB"/>
          </w:tcPr>
          <w:p>
            <w:r>
              <w:rPr>
                <w:b/>
                <w:color w:val="17365D"/>
              </w:rPr>
              <w:t>One span may support multiple assertions</w:t>
              <w:br/>
            </w:r>
            <w:r>
              <w:t>The ExECT guidance explicitly permits a phrase to be annotated under more than one concept when context supports multiple meanings. MedAI should preserve this by allowing one evidence span to support multiple MPAM assertions rather than forcing mutually exclusive span labels.</w:t>
            </w:r>
          </w:p>
        </w:tc>
      </w:tr>
    </w:tbl>
    <w:p/>
    <w:tbl>
      <w:tblPr>
        <w:tblStyle w:val="TableGrid"/>
        <w:tblW w:type="auto" w:w="0"/>
        <w:tblLook w:firstColumn="1" w:firstRow="1" w:lastColumn="0" w:lastRow="0" w:noHBand="0" w:noVBand="1" w:val="04A0"/>
      </w:tblPr>
      <w:tblGrid>
        <w:gridCol w:w="10166"/>
      </w:tblGrid>
      <w:tr>
        <w:trPr>
          <w:cantSplit/>
        </w:trPr>
        <w:tc>
          <w:tcPr>
            <w:tcW w:type="dxa" w:w="10166"/>
            <w:shd w:fill="EEF4FB"/>
          </w:tcPr>
          <w:p>
            <w:r>
              <w:rPr>
                <w:b/>
                <w:color w:val="17365D"/>
              </w:rPr>
              <w:t>Temporal information is multi-representational</w:t>
              <w:br/>
            </w:r>
            <w:r>
              <w:t>ExECT distinguishes age, time-since, exact/partial date, range and named point-in-time anchors. MedAI should retain these raw representations and normalize them only in a derived layer.</w:t>
            </w:r>
          </w:p>
        </w:tc>
      </w:tr>
    </w:tbl>
    <w:p/>
    <w:tbl>
      <w:tblPr>
        <w:tblStyle w:val="TableGrid"/>
        <w:tblW w:type="auto" w:w="0"/>
        <w:tblLook w:firstColumn="1" w:firstRow="1" w:lastColumn="0" w:lastRow="0" w:noHBand="0" w:noVBand="1" w:val="04A0"/>
      </w:tblPr>
      <w:tblGrid>
        <w:gridCol w:w="10166"/>
      </w:tblGrid>
      <w:tr>
        <w:trPr>
          <w:cantSplit/>
        </w:trPr>
        <w:tc>
          <w:tcPr>
            <w:tcW w:type="dxa" w:w="10166"/>
            <w:shd w:fill="EEF4FB"/>
          </w:tcPr>
          <w:p>
            <w:r>
              <w:rPr>
                <w:b/>
                <w:color w:val="17365D"/>
              </w:rPr>
              <w:t>Investigation result ≠ detailed phenotype</w:t>
              <w:br/>
            </w:r>
            <w:r>
              <w:t>ExECT's MRI/EEG/CT scheme is intentionally coarse (performed; normal/abnormal/unknown; EEG type). It is evidence that coarse investigation annotation is established, not evidence for detailed lesion or EEG-localization labels.</w:t>
            </w:r>
          </w:p>
        </w:tc>
      </w:tr>
    </w:tbl>
    <w:p/>
    <w:tbl>
      <w:tblPr>
        <w:tblStyle w:val="TableGrid"/>
        <w:tblW w:type="auto" w:w="0"/>
        <w:tblLook w:firstColumn="1" w:firstRow="1" w:lastColumn="0" w:lastRow="0" w:noHBand="0" w:noVBand="1" w:val="04A0"/>
      </w:tblPr>
      <w:tblGrid>
        <w:gridCol w:w="10166"/>
      </w:tblGrid>
      <w:tr>
        <w:trPr>
          <w:cantSplit/>
        </w:trPr>
        <w:tc>
          <w:tcPr>
            <w:tcW w:type="dxa" w:w="10166"/>
            <w:shd w:fill="EEF4FB"/>
          </w:tcPr>
          <w:p>
            <w:r>
              <w:rPr>
                <w:b/>
                <w:color w:val="17365D"/>
              </w:rPr>
              <w:t>Medication defaults should not be inherited blindly</w:t>
              <w:br/>
            </w:r>
            <w:r>
              <w:t>The historical ExECT prescription guideline includes default frequency behavior when frequency is absent. MedAI should not convert missing frequency to an assumed value unless a new clinically reviewed rule explicitly authorizes it.</w:t>
            </w:r>
          </w:p>
        </w:tc>
      </w:tr>
    </w:tbl>
    <w:p/>
    <w:p>
      <w:pPr>
        <w:pStyle w:val="Heading1"/>
      </w:pPr>
      <w:r>
        <w:t>5. ExECT → MedAI field crosswalk</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cantSplit/>
        </w:trPr>
        <w:tc>
          <w:tcPr>
            <w:tcW w:type="dxa" w:w="2033"/>
            <w:shd w:fill="D9EAF7"/>
          </w:tcPr>
          <w:p>
            <w:r>
              <w:rPr>
                <w:b/>
                <w:sz w:val="12"/>
              </w:rPr>
              <w:t>ExECT field</w:t>
            </w:r>
          </w:p>
        </w:tc>
        <w:tc>
          <w:tcPr>
            <w:tcW w:type="dxa" w:w="2033"/>
            <w:shd w:fill="D9EAF7"/>
          </w:tcPr>
          <w:p>
            <w:r>
              <w:rPr>
                <w:b/>
                <w:sz w:val="12"/>
              </w:rPr>
              <w:t>MedAI target</w:t>
            </w:r>
          </w:p>
        </w:tc>
        <w:tc>
          <w:tcPr>
            <w:tcW w:type="dxa" w:w="2033"/>
            <w:shd w:fill="D9EAF7"/>
          </w:tcPr>
          <w:p>
            <w:r>
              <w:rPr>
                <w:b/>
                <w:sz w:val="12"/>
              </w:rPr>
              <w:t>Support</w:t>
            </w:r>
          </w:p>
        </w:tc>
        <w:tc>
          <w:tcPr>
            <w:tcW w:type="dxa" w:w="2033"/>
            <w:shd w:fill="D9EAF7"/>
          </w:tcPr>
          <w:p>
            <w:r>
              <w:rPr>
                <w:b/>
                <w:sz w:val="12"/>
              </w:rPr>
              <w:t>Action</w:t>
            </w:r>
          </w:p>
        </w:tc>
        <w:tc>
          <w:tcPr>
            <w:tcW w:type="dxa" w:w="2033"/>
            <w:shd w:fill="D9EAF7"/>
          </w:tcPr>
          <w:p>
            <w:r>
              <w:rPr>
                <w:b/>
                <w:sz w:val="12"/>
              </w:rPr>
              <w:t>Boundary</w:t>
            </w:r>
          </w:p>
        </w:tc>
      </w:tr>
      <w:tr>
        <w:trPr>
          <w:cantSplit/>
        </w:trPr>
        <w:tc>
          <w:tcPr>
            <w:tcW w:type="dxa" w:w="2033"/>
            <w:vAlign w:val="top"/>
          </w:tcPr>
          <w:p>
            <w:pPr>
              <w:spacing w:after="0"/>
            </w:pPr>
            <w:r>
              <w:rPr>
                <w:sz w:val="11"/>
              </w:rPr>
              <w:t>Diagnosis</w:t>
            </w:r>
          </w:p>
        </w:tc>
        <w:tc>
          <w:tcPr>
            <w:tcW w:type="dxa" w:w="2033"/>
            <w:vAlign w:val="top"/>
          </w:tcPr>
          <w:p>
            <w:pPr>
              <w:spacing w:after="0"/>
            </w:pPr>
            <w:r>
              <w:rPr>
                <w:sz w:val="11"/>
              </w:rPr>
              <w:t>EP001 epilepsy_status</w:t>
            </w:r>
          </w:p>
        </w:tc>
        <w:tc>
          <w:tcPr>
            <w:tcW w:type="dxa" w:w="2033"/>
            <w:vAlign w:val="top"/>
          </w:tcPr>
          <w:p>
            <w:pPr>
              <w:spacing w:after="0"/>
            </w:pPr>
            <w:r>
              <w:rPr>
                <w:sz w:val="11"/>
              </w:rPr>
              <w:t>partial</w:t>
            </w:r>
          </w:p>
        </w:tc>
        <w:tc>
          <w:tcPr>
            <w:tcW w:type="dxa" w:w="2033"/>
            <w:vAlign w:val="top"/>
          </w:tcPr>
          <w:p>
            <w:pPr>
              <w:spacing w:after="0"/>
            </w:pPr>
            <w:r>
              <w:rPr>
                <w:sz w:val="11"/>
              </w:rPr>
              <w:t>ADAPT</w:t>
            </w:r>
          </w:p>
        </w:tc>
        <w:tc>
          <w:tcPr>
            <w:tcW w:type="dxa" w:w="2033"/>
            <w:vAlign w:val="top"/>
          </w:tcPr>
          <w:p>
            <w:pPr>
              <w:spacing w:after="0"/>
            </w:pPr>
            <w:r>
              <w:rPr>
                <w:sz w:val="11"/>
              </w:rPr>
              <w:t>ExECT Diagnosis includes epilepsy/syndrome/seizure terms; MedAI separates these.</w:t>
            </w:r>
          </w:p>
        </w:tc>
      </w:tr>
      <w:tr>
        <w:trPr>
          <w:cantSplit/>
        </w:trPr>
        <w:tc>
          <w:tcPr>
            <w:tcW w:type="dxa" w:w="2033"/>
            <w:vAlign w:val="top"/>
          </w:tcPr>
          <w:p>
            <w:pPr>
              <w:spacing w:after="0"/>
            </w:pPr>
            <w:r>
              <w:rPr>
                <w:sz w:val="11"/>
              </w:rPr>
              <w:t>Diagnosis.DiagCategory</w:t>
            </w:r>
          </w:p>
        </w:tc>
        <w:tc>
          <w:tcPr>
            <w:tcW w:type="dxa" w:w="2033"/>
            <w:vAlign w:val="top"/>
          </w:tcPr>
          <w:p>
            <w:pPr>
              <w:spacing w:after="0"/>
            </w:pPr>
            <w:r>
              <w:rPr>
                <w:sz w:val="11"/>
              </w:rPr>
              <w:t>legacy_exect_diag_category</w:t>
            </w:r>
          </w:p>
        </w:tc>
        <w:tc>
          <w:tcPr>
            <w:tcW w:type="dxa" w:w="2033"/>
            <w:vAlign w:val="top"/>
          </w:tcPr>
          <w:p>
            <w:pPr>
              <w:spacing w:after="0"/>
            </w:pPr>
            <w:r>
              <w:rPr>
                <w:sz w:val="11"/>
              </w:rPr>
              <w:t>direct legacy</w:t>
            </w:r>
          </w:p>
        </w:tc>
        <w:tc>
          <w:tcPr>
            <w:tcW w:type="dxa" w:w="2033"/>
            <w:vAlign w:val="top"/>
          </w:tcPr>
          <w:p>
            <w:pPr>
              <w:spacing w:after="0"/>
            </w:pPr>
            <w:r>
              <w:rPr>
                <w:sz w:val="11"/>
              </w:rPr>
              <w:t>ADAPT</w:t>
            </w:r>
          </w:p>
        </w:tc>
        <w:tc>
          <w:tcPr>
            <w:tcW w:type="dxa" w:w="2033"/>
            <w:vAlign w:val="top"/>
          </w:tcPr>
          <w:p>
            <w:pPr>
              <w:spacing w:after="0"/>
            </w:pPr>
            <w:r>
              <w:rPr>
                <w:sz w:val="11"/>
              </w:rPr>
              <w:t>Compatibility-only; not canonical ILAE-2025 field.</w:t>
            </w:r>
          </w:p>
        </w:tc>
      </w:tr>
      <w:tr>
        <w:trPr>
          <w:cantSplit/>
        </w:trPr>
        <w:tc>
          <w:tcPr>
            <w:tcW w:type="dxa" w:w="2033"/>
            <w:vAlign w:val="top"/>
          </w:tcPr>
          <w:p>
            <w:pPr>
              <w:spacing w:after="0"/>
            </w:pPr>
            <w:r>
              <w:rPr>
                <w:sz w:val="11"/>
              </w:rPr>
              <w:t>Diagnosis.Certainty</w:t>
            </w:r>
          </w:p>
        </w:tc>
        <w:tc>
          <w:tcPr>
            <w:tcW w:type="dxa" w:w="2033"/>
            <w:vAlign w:val="top"/>
          </w:tcPr>
          <w:p>
            <w:pPr>
              <w:spacing w:after="0"/>
            </w:pPr>
            <w:r>
              <w:rPr>
                <w:sz w:val="11"/>
              </w:rPr>
              <w:t>MPAM.certainty</w:t>
            </w:r>
          </w:p>
        </w:tc>
        <w:tc>
          <w:tcPr>
            <w:tcW w:type="dxa" w:w="2033"/>
            <w:vAlign w:val="top"/>
          </w:tcPr>
          <w:p>
            <w:pPr>
              <w:spacing w:after="0"/>
            </w:pPr>
            <w:r>
              <w:rPr>
                <w:sz w:val="11"/>
              </w:rPr>
              <w:t>partial</w:t>
            </w:r>
          </w:p>
        </w:tc>
        <w:tc>
          <w:tcPr>
            <w:tcW w:type="dxa" w:w="2033"/>
            <w:vAlign w:val="top"/>
          </w:tcPr>
          <w:p>
            <w:pPr>
              <w:spacing w:after="0"/>
            </w:pPr>
            <w:r>
              <w:rPr>
                <w:sz w:val="11"/>
              </w:rPr>
              <w:t>ADAPT</w:t>
            </w:r>
          </w:p>
        </w:tc>
        <w:tc>
          <w:tcPr>
            <w:tcW w:type="dxa" w:w="2033"/>
            <w:vAlign w:val="top"/>
          </w:tcPr>
          <w:p>
            <w:pPr>
              <w:spacing w:after="0"/>
            </w:pPr>
            <w:r>
              <w:rPr>
                <w:sz w:val="11"/>
              </w:rPr>
              <w:t>Exact phrase-to-1..5 semantics must be preserved from source manual before final mapping.</w:t>
            </w:r>
          </w:p>
        </w:tc>
      </w:tr>
      <w:tr>
        <w:trPr>
          <w:cantSplit/>
        </w:trPr>
        <w:tc>
          <w:tcPr>
            <w:tcW w:type="dxa" w:w="2033"/>
            <w:vAlign w:val="top"/>
          </w:tcPr>
          <w:p>
            <w:pPr>
              <w:spacing w:after="0"/>
            </w:pPr>
            <w:r>
              <w:rPr>
                <w:sz w:val="11"/>
              </w:rPr>
              <w:t>Diagnosis.Negation</w:t>
            </w:r>
          </w:p>
        </w:tc>
        <w:tc>
          <w:tcPr>
            <w:tcW w:type="dxa" w:w="2033"/>
            <w:vAlign w:val="top"/>
          </w:tcPr>
          <w:p>
            <w:pPr>
              <w:spacing w:after="0"/>
            </w:pPr>
            <w:r>
              <w:rPr>
                <w:sz w:val="11"/>
              </w:rPr>
              <w:t>MPAM.assertion_status</w:t>
            </w:r>
          </w:p>
        </w:tc>
        <w:tc>
          <w:tcPr>
            <w:tcW w:type="dxa" w:w="2033"/>
            <w:vAlign w:val="top"/>
          </w:tcPr>
          <w:p>
            <w:pPr>
              <w:spacing w:after="0"/>
            </w:pPr>
            <w:r>
              <w:rPr>
                <w:sz w:val="11"/>
              </w:rPr>
              <w:t>strong</w:t>
            </w:r>
          </w:p>
        </w:tc>
        <w:tc>
          <w:tcPr>
            <w:tcW w:type="dxa" w:w="2033"/>
            <w:vAlign w:val="top"/>
          </w:tcPr>
          <w:p>
            <w:pPr>
              <w:spacing w:after="0"/>
            </w:pPr>
            <w:r>
              <w:rPr>
                <w:sz w:val="11"/>
              </w:rPr>
              <w:t>ADOPT/ADAPT</w:t>
            </w:r>
          </w:p>
        </w:tc>
        <w:tc>
          <w:tcPr>
            <w:tcW w:type="dxa" w:w="2033"/>
            <w:vAlign w:val="top"/>
          </w:tcPr>
          <w:p>
            <w:pPr>
              <w:spacing w:after="0"/>
            </w:pPr>
            <w:r>
              <w:rPr>
                <w:sz w:val="11"/>
              </w:rPr>
              <w:t>Affirmed/Negated maps to assertion polarity.</w:t>
            </w:r>
          </w:p>
        </w:tc>
      </w:tr>
      <w:tr>
        <w:trPr>
          <w:cantSplit/>
        </w:trPr>
        <w:tc>
          <w:tcPr>
            <w:tcW w:type="dxa" w:w="2033"/>
            <w:vAlign w:val="top"/>
          </w:tcPr>
          <w:p>
            <w:pPr>
              <w:spacing w:after="0"/>
            </w:pPr>
            <w:r>
              <w:rPr>
                <w:sz w:val="11"/>
              </w:rPr>
              <w:t>WhenDiagnosed</w:t>
            </w:r>
          </w:p>
        </w:tc>
        <w:tc>
          <w:tcPr>
            <w:tcW w:type="dxa" w:w="2033"/>
            <w:vAlign w:val="top"/>
          </w:tcPr>
          <w:p>
            <w:pPr>
              <w:spacing w:after="0"/>
            </w:pPr>
            <w:r>
              <w:rPr>
                <w:sz w:val="11"/>
              </w:rPr>
              <w:t>EP diagnosis timing</w:t>
            </w:r>
          </w:p>
        </w:tc>
        <w:tc>
          <w:tcPr>
            <w:tcW w:type="dxa" w:w="2033"/>
            <w:vAlign w:val="top"/>
          </w:tcPr>
          <w:p>
            <w:pPr>
              <w:spacing w:after="0"/>
            </w:pPr>
            <w:r>
              <w:rPr>
                <w:sz w:val="11"/>
              </w:rPr>
              <w:t>strong temporal precedent</w:t>
            </w:r>
          </w:p>
        </w:tc>
        <w:tc>
          <w:tcPr>
            <w:tcW w:type="dxa" w:w="2033"/>
            <w:vAlign w:val="top"/>
          </w:tcPr>
          <w:p>
            <w:pPr>
              <w:spacing w:after="0"/>
            </w:pPr>
            <w:r>
              <w:rPr>
                <w:sz w:val="11"/>
              </w:rPr>
              <w:t>ADAPT</w:t>
            </w:r>
          </w:p>
        </w:tc>
        <w:tc>
          <w:tcPr>
            <w:tcW w:type="dxa" w:w="2033"/>
            <w:vAlign w:val="top"/>
          </w:tcPr>
          <w:p>
            <w:pPr>
              <w:spacing w:after="0"/>
            </w:pPr>
            <w:r>
              <w:rPr>
                <w:sz w:val="11"/>
              </w:rPr>
              <w:t>Keep distinct from onset.</w:t>
            </w:r>
          </w:p>
        </w:tc>
      </w:tr>
      <w:tr>
        <w:trPr>
          <w:cantSplit/>
        </w:trPr>
        <w:tc>
          <w:tcPr>
            <w:tcW w:type="dxa" w:w="2033"/>
            <w:vAlign w:val="top"/>
          </w:tcPr>
          <w:p>
            <w:pPr>
              <w:spacing w:after="0"/>
            </w:pPr>
            <w:r>
              <w:rPr>
                <w:sz w:val="11"/>
              </w:rPr>
              <w:t>Onset</w:t>
            </w:r>
          </w:p>
        </w:tc>
        <w:tc>
          <w:tcPr>
            <w:tcW w:type="dxa" w:w="2033"/>
            <w:vAlign w:val="top"/>
          </w:tcPr>
          <w:p>
            <w:pPr>
              <w:spacing w:after="0"/>
            </w:pPr>
            <w:r>
              <w:rPr>
                <w:sz w:val="11"/>
              </w:rPr>
              <w:t>SZ/EP onset timing</w:t>
            </w:r>
          </w:p>
        </w:tc>
        <w:tc>
          <w:tcPr>
            <w:tcW w:type="dxa" w:w="2033"/>
            <w:vAlign w:val="top"/>
          </w:tcPr>
          <w:p>
            <w:pPr>
              <w:spacing w:after="0"/>
            </w:pPr>
            <w:r>
              <w:rPr>
                <w:sz w:val="11"/>
              </w:rPr>
              <w:t>strong temporal precedent</w:t>
            </w:r>
          </w:p>
        </w:tc>
        <w:tc>
          <w:tcPr>
            <w:tcW w:type="dxa" w:w="2033"/>
            <w:vAlign w:val="top"/>
          </w:tcPr>
          <w:p>
            <w:pPr>
              <w:spacing w:after="0"/>
            </w:pPr>
            <w:r>
              <w:rPr>
                <w:sz w:val="11"/>
              </w:rPr>
              <w:t>ADAPT</w:t>
            </w:r>
          </w:p>
        </w:tc>
        <w:tc>
          <w:tcPr>
            <w:tcW w:type="dxa" w:w="2033"/>
            <w:vAlign w:val="top"/>
          </w:tcPr>
          <w:p>
            <w:pPr>
              <w:spacing w:after="0"/>
            </w:pPr>
            <w:r>
              <w:rPr>
                <w:sz w:val="11"/>
              </w:rPr>
              <w:t>MedAI needs explicit event target.</w:t>
            </w:r>
          </w:p>
        </w:tc>
      </w:tr>
      <w:tr>
        <w:trPr>
          <w:cantSplit/>
        </w:trPr>
        <w:tc>
          <w:tcPr>
            <w:tcW w:type="dxa" w:w="2033"/>
            <w:vAlign w:val="top"/>
          </w:tcPr>
          <w:p>
            <w:pPr>
              <w:spacing w:after="0"/>
            </w:pPr>
            <w:r>
              <w:rPr>
                <w:sz w:val="11"/>
              </w:rPr>
              <w:t>EpilepsyCause</w:t>
            </w:r>
          </w:p>
        </w:tc>
        <w:tc>
          <w:tcPr>
            <w:tcW w:type="dxa" w:w="2033"/>
            <w:vAlign w:val="top"/>
          </w:tcPr>
          <w:p>
            <w:pPr>
              <w:spacing w:after="0"/>
            </w:pPr>
            <w:r>
              <w:rPr>
                <w:sz w:val="11"/>
              </w:rPr>
              <w:t>ET001/ET002 etiology</w:t>
            </w:r>
          </w:p>
        </w:tc>
        <w:tc>
          <w:tcPr>
            <w:tcW w:type="dxa" w:w="2033"/>
            <w:vAlign w:val="top"/>
          </w:tcPr>
          <w:p>
            <w:pPr>
              <w:spacing w:after="0"/>
            </w:pPr>
            <w:r>
              <w:rPr>
                <w:sz w:val="11"/>
              </w:rPr>
              <w:t>coarse</w:t>
            </w:r>
          </w:p>
        </w:tc>
        <w:tc>
          <w:tcPr>
            <w:tcW w:type="dxa" w:w="2033"/>
            <w:vAlign w:val="top"/>
          </w:tcPr>
          <w:p>
            <w:pPr>
              <w:spacing w:after="0"/>
            </w:pPr>
            <w:r>
              <w:rPr>
                <w:sz w:val="11"/>
              </w:rPr>
              <w:t>EXTEND</w:t>
            </w:r>
          </w:p>
        </w:tc>
        <w:tc>
          <w:tcPr>
            <w:tcW w:type="dxa" w:w="2033"/>
            <w:vAlign w:val="top"/>
          </w:tcPr>
          <w:p>
            <w:pPr>
              <w:spacing w:after="0"/>
            </w:pPr>
            <w:r>
              <w:rPr>
                <w:sz w:val="11"/>
              </w:rPr>
              <w:t>Use current ILAE etiology semantics; ExECT cause span remains evidence.</w:t>
            </w:r>
          </w:p>
        </w:tc>
      </w:tr>
      <w:tr>
        <w:trPr>
          <w:cantSplit/>
        </w:trPr>
        <w:tc>
          <w:tcPr>
            <w:tcW w:type="dxa" w:w="2033"/>
            <w:vAlign w:val="top"/>
          </w:tcPr>
          <w:p>
            <w:pPr>
              <w:spacing w:after="0"/>
            </w:pPr>
            <w:r>
              <w:rPr>
                <w:sz w:val="11"/>
              </w:rPr>
              <w:t>SeizureFrequency</w:t>
            </w:r>
          </w:p>
        </w:tc>
        <w:tc>
          <w:tcPr>
            <w:tcW w:type="dxa" w:w="2033"/>
            <w:vAlign w:val="top"/>
          </w:tcPr>
          <w:p>
            <w:pPr>
              <w:spacing w:after="0"/>
            </w:pPr>
            <w:r>
              <w:rPr>
                <w:sz w:val="11"/>
              </w:rPr>
              <w:t>SZ005 seizure_frequency</w:t>
            </w:r>
          </w:p>
        </w:tc>
        <w:tc>
          <w:tcPr>
            <w:tcW w:type="dxa" w:w="2033"/>
            <w:vAlign w:val="top"/>
          </w:tcPr>
          <w:p>
            <w:pPr>
              <w:spacing w:after="0"/>
            </w:pPr>
            <w:r>
              <w:rPr>
                <w:sz w:val="11"/>
              </w:rPr>
              <w:t>strong</w:t>
            </w:r>
          </w:p>
        </w:tc>
        <w:tc>
          <w:tcPr>
            <w:tcW w:type="dxa" w:w="2033"/>
            <w:vAlign w:val="top"/>
          </w:tcPr>
          <w:p>
            <w:pPr>
              <w:spacing w:after="0"/>
            </w:pPr>
            <w:r>
              <w:rPr>
                <w:sz w:val="11"/>
              </w:rPr>
              <w:t>ADOPT/ADAPT</w:t>
            </w:r>
          </w:p>
        </w:tc>
        <w:tc>
          <w:tcPr>
            <w:tcW w:type="dxa" w:w="2033"/>
            <w:vAlign w:val="top"/>
          </w:tcPr>
          <w:p>
            <w:pPr>
              <w:spacing w:after="0"/>
            </w:pPr>
            <w:r>
              <w:rPr>
                <w:sz w:val="11"/>
              </w:rPr>
              <w:t>Combine ExECT count/range/period model with SZFreqExtract attributes.</w:t>
            </w:r>
          </w:p>
        </w:tc>
      </w:tr>
      <w:tr>
        <w:trPr>
          <w:cantSplit/>
        </w:trPr>
        <w:tc>
          <w:tcPr>
            <w:tcW w:type="dxa" w:w="2033"/>
            <w:vAlign w:val="top"/>
          </w:tcPr>
          <w:p>
            <w:pPr>
              <w:spacing w:after="0"/>
            </w:pPr>
            <w:r>
              <w:rPr>
                <w:sz w:val="11"/>
              </w:rPr>
              <w:t>Investigations.MRI</w:t>
            </w:r>
          </w:p>
        </w:tc>
        <w:tc>
          <w:tcPr>
            <w:tcW w:type="dxa" w:w="2033"/>
            <w:vAlign w:val="top"/>
          </w:tcPr>
          <w:p>
            <w:pPr>
              <w:spacing w:after="0"/>
            </w:pPr>
            <w:r>
              <w:rPr>
                <w:sz w:val="11"/>
              </w:rPr>
              <w:t>MRI001 mri_abnormal</w:t>
            </w:r>
          </w:p>
        </w:tc>
        <w:tc>
          <w:tcPr>
            <w:tcW w:type="dxa" w:w="2033"/>
            <w:vAlign w:val="top"/>
          </w:tcPr>
          <w:p>
            <w:pPr>
              <w:spacing w:after="0"/>
            </w:pPr>
            <w:r>
              <w:rPr>
                <w:sz w:val="11"/>
              </w:rPr>
              <w:t>strong coarse</w:t>
            </w:r>
          </w:p>
        </w:tc>
        <w:tc>
          <w:tcPr>
            <w:tcW w:type="dxa" w:w="2033"/>
            <w:vAlign w:val="top"/>
          </w:tcPr>
          <w:p>
            <w:pPr>
              <w:spacing w:after="0"/>
            </w:pPr>
            <w:r>
              <w:rPr>
                <w:sz w:val="11"/>
              </w:rPr>
              <w:t>ADOPT/EXTEND</w:t>
            </w:r>
          </w:p>
        </w:tc>
        <w:tc>
          <w:tcPr>
            <w:tcW w:type="dxa" w:w="2033"/>
            <w:vAlign w:val="top"/>
          </w:tcPr>
          <w:p>
            <w:pPr>
              <w:spacing w:after="0"/>
            </w:pPr>
            <w:r>
              <w:rPr>
                <w:sz w:val="11"/>
              </w:rPr>
              <w:t>ExECT normal/abnormal is parent field.</w:t>
            </w:r>
          </w:p>
        </w:tc>
      </w:tr>
      <w:tr>
        <w:trPr>
          <w:cantSplit/>
        </w:trPr>
        <w:tc>
          <w:tcPr>
            <w:tcW w:type="dxa" w:w="2033"/>
            <w:vAlign w:val="top"/>
          </w:tcPr>
          <w:p>
            <w:pPr>
              <w:spacing w:after="0"/>
            </w:pPr>
            <w:r>
              <w:rPr>
                <w:sz w:val="11"/>
              </w:rPr>
              <w:t>Investigations.MRI</w:t>
            </w:r>
          </w:p>
        </w:tc>
        <w:tc>
          <w:tcPr>
            <w:tcW w:type="dxa" w:w="2033"/>
            <w:vAlign w:val="top"/>
          </w:tcPr>
          <w:p>
            <w:pPr>
              <w:spacing w:after="0"/>
            </w:pPr>
            <w:r>
              <w:rPr>
                <w:sz w:val="11"/>
              </w:rPr>
              <w:t>MRI003 lesion type / MRI004 location / MRI005 laterality</w:t>
            </w:r>
          </w:p>
        </w:tc>
        <w:tc>
          <w:tcPr>
            <w:tcW w:type="dxa" w:w="2033"/>
            <w:vAlign w:val="top"/>
          </w:tcPr>
          <w:p>
            <w:pPr>
              <w:spacing w:after="0"/>
            </w:pPr>
            <w:r>
              <w:rPr>
                <w:sz w:val="11"/>
              </w:rPr>
              <w:t>none at target granularity</w:t>
            </w:r>
          </w:p>
        </w:tc>
        <w:tc>
          <w:tcPr>
            <w:tcW w:type="dxa" w:w="2033"/>
            <w:vAlign w:val="top"/>
          </w:tcPr>
          <w:p>
            <w:pPr>
              <w:spacing w:after="0"/>
            </w:pPr>
            <w:r>
              <w:rPr>
                <w:sz w:val="11"/>
              </w:rPr>
              <w:t>MEDAI EXTENSION</w:t>
            </w:r>
          </w:p>
        </w:tc>
        <w:tc>
          <w:tcPr>
            <w:tcW w:type="dxa" w:w="2033"/>
            <w:vAlign w:val="top"/>
          </w:tcPr>
          <w:p>
            <w:pPr>
              <w:spacing w:after="0"/>
            </w:pPr>
            <w:r>
              <w:rPr>
                <w:sz w:val="11"/>
              </w:rPr>
              <w:t>Requires imaging-specific manual and clinician review.</w:t>
            </w:r>
          </w:p>
        </w:tc>
      </w:tr>
      <w:tr>
        <w:trPr>
          <w:cantSplit/>
        </w:trPr>
        <w:tc>
          <w:tcPr>
            <w:tcW w:type="dxa" w:w="2033"/>
            <w:vAlign w:val="top"/>
          </w:tcPr>
          <w:p>
            <w:pPr>
              <w:spacing w:after="0"/>
            </w:pPr>
            <w:r>
              <w:rPr>
                <w:sz w:val="11"/>
              </w:rPr>
              <w:t>Investigations.EEG</w:t>
            </w:r>
          </w:p>
        </w:tc>
        <w:tc>
          <w:tcPr>
            <w:tcW w:type="dxa" w:w="2033"/>
            <w:vAlign w:val="top"/>
          </w:tcPr>
          <w:p>
            <w:pPr>
              <w:spacing w:after="0"/>
            </w:pPr>
            <w:r>
              <w:rPr>
                <w:sz w:val="11"/>
              </w:rPr>
              <w:t>EEG study/result</w:t>
            </w:r>
          </w:p>
        </w:tc>
        <w:tc>
          <w:tcPr>
            <w:tcW w:type="dxa" w:w="2033"/>
            <w:vAlign w:val="top"/>
          </w:tcPr>
          <w:p>
            <w:pPr>
              <w:spacing w:after="0"/>
            </w:pPr>
            <w:r>
              <w:rPr>
                <w:sz w:val="11"/>
              </w:rPr>
              <w:t>strong coarse</w:t>
            </w:r>
          </w:p>
        </w:tc>
        <w:tc>
          <w:tcPr>
            <w:tcW w:type="dxa" w:w="2033"/>
            <w:vAlign w:val="top"/>
          </w:tcPr>
          <w:p>
            <w:pPr>
              <w:spacing w:after="0"/>
            </w:pPr>
            <w:r>
              <w:rPr>
                <w:sz w:val="11"/>
              </w:rPr>
              <w:t>ADOPT/EXTEND</w:t>
            </w:r>
          </w:p>
        </w:tc>
        <w:tc>
          <w:tcPr>
            <w:tcW w:type="dxa" w:w="2033"/>
            <w:vAlign w:val="top"/>
          </w:tcPr>
          <w:p>
            <w:pPr>
              <w:spacing w:after="0"/>
            </w:pPr>
            <w:r>
              <w:rPr>
                <w:sz w:val="11"/>
              </w:rPr>
              <w:t>ExECT type + normal/abnormal parent.</w:t>
            </w:r>
          </w:p>
        </w:tc>
      </w:tr>
      <w:tr>
        <w:trPr>
          <w:cantSplit/>
        </w:trPr>
        <w:tc>
          <w:tcPr>
            <w:tcW w:type="dxa" w:w="2033"/>
            <w:vAlign w:val="top"/>
          </w:tcPr>
          <w:p>
            <w:pPr>
              <w:spacing w:after="0"/>
            </w:pPr>
            <w:r>
              <w:rPr>
                <w:sz w:val="11"/>
              </w:rPr>
              <w:t>Investigations.EEG</w:t>
            </w:r>
          </w:p>
        </w:tc>
        <w:tc>
          <w:tcPr>
            <w:tcW w:type="dxa" w:w="2033"/>
            <w:vAlign w:val="top"/>
          </w:tcPr>
          <w:p>
            <w:pPr>
              <w:spacing w:after="0"/>
            </w:pPr>
            <w:r>
              <w:rPr>
                <w:sz w:val="11"/>
              </w:rPr>
              <w:t>EEG003/004/005 IED phenotype</w:t>
            </w:r>
          </w:p>
        </w:tc>
        <w:tc>
          <w:tcPr>
            <w:tcW w:type="dxa" w:w="2033"/>
            <w:vAlign w:val="top"/>
          </w:tcPr>
          <w:p>
            <w:pPr>
              <w:spacing w:after="0"/>
            </w:pPr>
            <w:r>
              <w:rPr>
                <w:sz w:val="11"/>
              </w:rPr>
              <w:t>none at target granularity</w:t>
            </w:r>
          </w:p>
        </w:tc>
        <w:tc>
          <w:tcPr>
            <w:tcW w:type="dxa" w:w="2033"/>
            <w:vAlign w:val="top"/>
          </w:tcPr>
          <w:p>
            <w:pPr>
              <w:spacing w:after="0"/>
            </w:pPr>
            <w:r>
              <w:rPr>
                <w:sz w:val="11"/>
              </w:rPr>
              <w:t>MEDAI EXTENSION</w:t>
            </w:r>
          </w:p>
        </w:tc>
        <w:tc>
          <w:tcPr>
            <w:tcW w:type="dxa" w:w="2033"/>
            <w:vAlign w:val="top"/>
          </w:tcPr>
          <w:p>
            <w:pPr>
              <w:spacing w:after="0"/>
            </w:pPr>
            <w:r>
              <w:rPr>
                <w:sz w:val="11"/>
              </w:rPr>
              <w:t>Use SCORE/clinical EEG sources.</w:t>
            </w:r>
          </w:p>
        </w:tc>
      </w:tr>
      <w:tr>
        <w:trPr>
          <w:cantSplit/>
        </w:trPr>
        <w:tc>
          <w:tcPr>
            <w:tcW w:type="dxa" w:w="2033"/>
            <w:vAlign w:val="top"/>
          </w:tcPr>
          <w:p>
            <w:pPr>
              <w:spacing w:after="0"/>
            </w:pPr>
            <w:r>
              <w:rPr>
                <w:sz w:val="11"/>
              </w:rPr>
              <w:t>Prescription.DrugName</w:t>
            </w:r>
          </w:p>
        </w:tc>
        <w:tc>
          <w:tcPr>
            <w:tcW w:type="dxa" w:w="2033"/>
            <w:vAlign w:val="top"/>
          </w:tcPr>
          <w:p>
            <w:pPr>
              <w:spacing w:after="0"/>
            </w:pPr>
            <w:r>
              <w:rPr>
                <w:sz w:val="11"/>
              </w:rPr>
              <w:t>TX001 asm_exposure</w:t>
            </w:r>
          </w:p>
        </w:tc>
        <w:tc>
          <w:tcPr>
            <w:tcW w:type="dxa" w:w="2033"/>
            <w:vAlign w:val="top"/>
          </w:tcPr>
          <w:p>
            <w:pPr>
              <w:spacing w:after="0"/>
            </w:pPr>
            <w:r>
              <w:rPr>
                <w:sz w:val="11"/>
              </w:rPr>
              <w:t>strong</w:t>
            </w:r>
          </w:p>
        </w:tc>
        <w:tc>
          <w:tcPr>
            <w:tcW w:type="dxa" w:w="2033"/>
            <w:vAlign w:val="top"/>
          </w:tcPr>
          <w:p>
            <w:pPr>
              <w:spacing w:after="0"/>
            </w:pPr>
            <w:r>
              <w:rPr>
                <w:sz w:val="11"/>
              </w:rPr>
              <w:t>ADOPT/ADAPT</w:t>
            </w:r>
          </w:p>
        </w:tc>
        <w:tc>
          <w:tcPr>
            <w:tcW w:type="dxa" w:w="2033"/>
            <w:vAlign w:val="top"/>
          </w:tcPr>
          <w:p>
            <w:pPr>
              <w:spacing w:after="0"/>
            </w:pPr>
            <w:r>
              <w:rPr>
                <w:sz w:val="11"/>
              </w:rPr>
              <w:t>Normalize using verified RxNorm release.</w:t>
            </w:r>
          </w:p>
        </w:tc>
      </w:tr>
      <w:tr>
        <w:trPr>
          <w:cantSplit/>
        </w:trPr>
        <w:tc>
          <w:tcPr>
            <w:tcW w:type="dxa" w:w="2033"/>
            <w:vAlign w:val="top"/>
          </w:tcPr>
          <w:p>
            <w:pPr>
              <w:spacing w:after="0"/>
            </w:pPr>
            <w:r>
              <w:rPr>
                <w:sz w:val="11"/>
              </w:rPr>
              <w:t>Prescription.Dose/Frequency</w:t>
            </w:r>
          </w:p>
        </w:tc>
        <w:tc>
          <w:tcPr>
            <w:tcW w:type="dxa" w:w="2033"/>
            <w:vAlign w:val="top"/>
          </w:tcPr>
          <w:p>
            <w:pPr>
              <w:spacing w:after="0"/>
            </w:pPr>
            <w:r>
              <w:rPr>
                <w:sz w:val="11"/>
              </w:rPr>
              <w:t>TX medication details</w:t>
            </w:r>
          </w:p>
        </w:tc>
        <w:tc>
          <w:tcPr>
            <w:tcW w:type="dxa" w:w="2033"/>
            <w:vAlign w:val="top"/>
          </w:tcPr>
          <w:p>
            <w:pPr>
              <w:spacing w:after="0"/>
            </w:pPr>
            <w:r>
              <w:rPr>
                <w:sz w:val="11"/>
              </w:rPr>
              <w:t>partial</w:t>
            </w:r>
          </w:p>
        </w:tc>
        <w:tc>
          <w:tcPr>
            <w:tcW w:type="dxa" w:w="2033"/>
            <w:vAlign w:val="top"/>
          </w:tcPr>
          <w:p>
            <w:pPr>
              <w:spacing w:after="0"/>
            </w:pPr>
            <w:r>
              <w:rPr>
                <w:sz w:val="11"/>
              </w:rPr>
              <w:t>ADAPT</w:t>
            </w:r>
          </w:p>
        </w:tc>
        <w:tc>
          <w:tcPr>
            <w:tcW w:type="dxa" w:w="2033"/>
            <w:vAlign w:val="top"/>
          </w:tcPr>
          <w:p>
            <w:pPr>
              <w:spacing w:after="0"/>
            </w:pPr>
            <w:r>
              <w:rPr>
                <w:sz w:val="11"/>
              </w:rPr>
              <w:t>Do not inherit historical defaulting without review.</w:t>
            </w:r>
          </w:p>
        </w:tc>
      </w:tr>
      <w:tr>
        <w:trPr>
          <w:cantSplit/>
        </w:trPr>
        <w:tc>
          <w:tcPr>
            <w:tcW w:type="dxa" w:w="2033"/>
            <w:vAlign w:val="top"/>
          </w:tcPr>
          <w:p>
            <w:pPr>
              <w:spacing w:after="0"/>
            </w:pPr>
            <w:r>
              <w:rPr>
                <w:sz w:val="11"/>
              </w:rPr>
              <w:t>Prescription</w:t>
            </w:r>
          </w:p>
        </w:tc>
        <w:tc>
          <w:tcPr>
            <w:tcW w:type="dxa" w:w="2033"/>
            <w:vAlign w:val="top"/>
          </w:tcPr>
          <w:p>
            <w:pPr>
              <w:spacing w:after="0"/>
            </w:pPr>
            <w:r>
              <w:rPr>
                <w:sz w:val="11"/>
              </w:rPr>
              <w:t>TX002 trial outcome / TX003 adequacy / TX004 DRE</w:t>
            </w:r>
          </w:p>
        </w:tc>
        <w:tc>
          <w:tcPr>
            <w:tcW w:type="dxa" w:w="2033"/>
            <w:vAlign w:val="top"/>
          </w:tcPr>
          <w:p>
            <w:pPr>
              <w:spacing w:after="0"/>
            </w:pPr>
            <w:r>
              <w:rPr>
                <w:sz w:val="11"/>
              </w:rPr>
              <w:t>none</w:t>
            </w:r>
          </w:p>
        </w:tc>
        <w:tc>
          <w:tcPr>
            <w:tcW w:type="dxa" w:w="2033"/>
            <w:vAlign w:val="top"/>
          </w:tcPr>
          <w:p>
            <w:pPr>
              <w:spacing w:after="0"/>
            </w:pPr>
            <w:r>
              <w:rPr>
                <w:sz w:val="11"/>
              </w:rPr>
              <w:t>MEDAI EXTENSION</w:t>
            </w:r>
          </w:p>
        </w:tc>
        <w:tc>
          <w:tcPr>
            <w:tcW w:type="dxa" w:w="2033"/>
            <w:vAlign w:val="top"/>
          </w:tcPr>
          <w:p>
            <w:pPr>
              <w:spacing w:after="0"/>
            </w:pPr>
            <w:r>
              <w:rPr>
                <w:sz w:val="11"/>
              </w:rPr>
              <w:t>Needs ILAE DRE operationalization and explicit evidence.</w:t>
            </w:r>
          </w:p>
        </w:tc>
      </w:tr>
      <w:tr>
        <w:trPr>
          <w:cantSplit/>
        </w:trPr>
        <w:tc>
          <w:tcPr>
            <w:tcW w:type="dxa" w:w="2033"/>
            <w:vAlign w:val="top"/>
          </w:tcPr>
          <w:p>
            <w:pPr>
              <w:spacing w:after="0"/>
            </w:pPr>
            <w:r>
              <w:rPr>
                <w:sz w:val="11"/>
              </w:rPr>
              <w:t>PatientHistory</w:t>
            </w:r>
          </w:p>
        </w:tc>
        <w:tc>
          <w:tcPr>
            <w:tcW w:type="dxa" w:w="2033"/>
            <w:vAlign w:val="top"/>
          </w:tcPr>
          <w:p>
            <w:pPr>
              <w:spacing w:after="0"/>
            </w:pPr>
            <w:r>
              <w:rPr>
                <w:sz w:val="11"/>
              </w:rPr>
              <w:t>event/history assertion</w:t>
            </w:r>
          </w:p>
        </w:tc>
        <w:tc>
          <w:tcPr>
            <w:tcW w:type="dxa" w:w="2033"/>
            <w:vAlign w:val="top"/>
          </w:tcPr>
          <w:p>
            <w:pPr>
              <w:spacing w:after="0"/>
            </w:pPr>
            <w:r>
              <w:rPr>
                <w:sz w:val="11"/>
              </w:rPr>
              <w:t>strong generic</w:t>
            </w:r>
          </w:p>
        </w:tc>
        <w:tc>
          <w:tcPr>
            <w:tcW w:type="dxa" w:w="2033"/>
            <w:vAlign w:val="top"/>
          </w:tcPr>
          <w:p>
            <w:pPr>
              <w:spacing w:after="0"/>
            </w:pPr>
            <w:r>
              <w:rPr>
                <w:sz w:val="11"/>
              </w:rPr>
              <w:t>ADAPT</w:t>
            </w:r>
          </w:p>
        </w:tc>
        <w:tc>
          <w:tcPr>
            <w:tcW w:type="dxa" w:w="2033"/>
            <w:vAlign w:val="top"/>
          </w:tcPr>
          <w:p>
            <w:pPr>
              <w:spacing w:after="0"/>
            </w:pPr>
            <w:r>
              <w:rPr>
                <w:sz w:val="11"/>
              </w:rPr>
              <w:t>Scope to selected MedAI history variables.</w:t>
            </w:r>
          </w:p>
        </w:tc>
      </w:tr>
      <w:tr>
        <w:trPr>
          <w:cantSplit/>
        </w:trPr>
        <w:tc>
          <w:tcPr>
            <w:tcW w:type="dxa" w:w="2033"/>
            <w:vAlign w:val="top"/>
          </w:tcPr>
          <w:p>
            <w:pPr>
              <w:spacing w:after="0"/>
            </w:pPr>
            <w:r>
              <w:rPr>
                <w:sz w:val="11"/>
              </w:rPr>
              <w:t>BirthHistory</w:t>
            </w:r>
          </w:p>
        </w:tc>
        <w:tc>
          <w:tcPr>
            <w:tcW w:type="dxa" w:w="2033"/>
            <w:vAlign w:val="top"/>
          </w:tcPr>
          <w:p>
            <w:pPr>
              <w:spacing w:after="0"/>
            </w:pPr>
            <w:r>
              <w:rPr>
                <w:sz w:val="11"/>
              </w:rPr>
              <w:t>birth history</w:t>
            </w:r>
          </w:p>
        </w:tc>
        <w:tc>
          <w:tcPr>
            <w:tcW w:type="dxa" w:w="2033"/>
            <w:vAlign w:val="top"/>
          </w:tcPr>
          <w:p>
            <w:pPr>
              <w:spacing w:after="0"/>
            </w:pPr>
            <w:r>
              <w:rPr>
                <w:sz w:val="11"/>
              </w:rPr>
              <w:t>direct but optional</w:t>
            </w:r>
          </w:p>
        </w:tc>
        <w:tc>
          <w:tcPr>
            <w:tcW w:type="dxa" w:w="2033"/>
            <w:vAlign w:val="top"/>
          </w:tcPr>
          <w:p>
            <w:pPr>
              <w:spacing w:after="0"/>
            </w:pPr>
            <w:r>
              <w:rPr>
                <w:sz w:val="11"/>
              </w:rPr>
              <w:t>OPTIONAL</w:t>
            </w:r>
          </w:p>
        </w:tc>
        <w:tc>
          <w:tcPr>
            <w:tcW w:type="dxa" w:w="2033"/>
            <w:vAlign w:val="top"/>
          </w:tcPr>
          <w:p>
            <w:pPr>
              <w:spacing w:after="0"/>
            </w:pPr>
            <w:r>
              <w:rPr>
                <w:sz w:val="11"/>
              </w:rPr>
              <w:t>Not v1 primary endpoint.</w:t>
            </w:r>
          </w:p>
        </w:tc>
      </w:tr>
      <w:tr>
        <w:trPr>
          <w:cantSplit/>
        </w:trPr>
        <w:tc>
          <w:tcPr>
            <w:tcW w:type="dxa" w:w="2033"/>
            <w:vAlign w:val="top"/>
          </w:tcPr>
          <w:p>
            <w:pPr>
              <w:spacing w:after="0"/>
            </w:pPr>
            <w:r>
              <w:rPr>
                <w:sz w:val="11"/>
              </w:rPr>
              <w:t>Evidence span</w:t>
            </w:r>
          </w:p>
        </w:tc>
        <w:tc>
          <w:tcPr>
            <w:tcW w:type="dxa" w:w="2033"/>
            <w:vAlign w:val="top"/>
          </w:tcPr>
          <w:p>
            <w:pPr>
              <w:spacing w:after="0"/>
            </w:pPr>
            <w:r>
              <w:rPr>
                <w:sz w:val="11"/>
              </w:rPr>
              <w:t>MPAM.evidence_text/start/end</w:t>
            </w:r>
          </w:p>
        </w:tc>
        <w:tc>
          <w:tcPr>
            <w:tcW w:type="dxa" w:w="2033"/>
            <w:vAlign w:val="top"/>
          </w:tcPr>
          <w:p>
            <w:pPr>
              <w:spacing w:after="0"/>
            </w:pPr>
            <w:r>
              <w:rPr>
                <w:sz w:val="11"/>
              </w:rPr>
              <w:t>strong</w:t>
            </w:r>
          </w:p>
        </w:tc>
        <w:tc>
          <w:tcPr>
            <w:tcW w:type="dxa" w:w="2033"/>
            <w:vAlign w:val="top"/>
          </w:tcPr>
          <w:p>
            <w:pPr>
              <w:spacing w:after="0"/>
            </w:pPr>
            <w:r>
              <w:rPr>
                <w:sz w:val="11"/>
              </w:rPr>
              <w:t>ADOPT</w:t>
            </w:r>
          </w:p>
        </w:tc>
        <w:tc>
          <w:tcPr>
            <w:tcW w:type="dxa" w:w="2033"/>
            <w:vAlign w:val="top"/>
          </w:tcPr>
          <w:p>
            <w:pPr>
              <w:spacing w:after="0"/>
            </w:pPr>
            <w:r>
              <w:rPr>
                <w:sz w:val="11"/>
              </w:rPr>
              <w:t>Core MedAI provenance requirement.</w:t>
            </w:r>
          </w:p>
        </w:tc>
      </w:tr>
      <w:tr>
        <w:trPr>
          <w:cantSplit/>
        </w:trPr>
        <w:tc>
          <w:tcPr>
            <w:tcW w:type="dxa" w:w="2033"/>
            <w:vAlign w:val="top"/>
          </w:tcPr>
          <w:p>
            <w:pPr>
              <w:spacing w:after="0"/>
            </w:pPr>
            <w:r>
              <w:rPr>
                <w:sz w:val="11"/>
              </w:rPr>
              <w:t>Multi-context phrase</w:t>
            </w:r>
          </w:p>
        </w:tc>
        <w:tc>
          <w:tcPr>
            <w:tcW w:type="dxa" w:w="2033"/>
            <w:vAlign w:val="top"/>
          </w:tcPr>
          <w:p>
            <w:pPr>
              <w:spacing w:after="0"/>
            </w:pPr>
            <w:r>
              <w:rPr>
                <w:sz w:val="11"/>
              </w:rPr>
              <w:t>multiple MPAM assertions</w:t>
            </w:r>
          </w:p>
        </w:tc>
        <w:tc>
          <w:tcPr>
            <w:tcW w:type="dxa" w:w="2033"/>
            <w:vAlign w:val="top"/>
          </w:tcPr>
          <w:p>
            <w:pPr>
              <w:spacing w:after="0"/>
            </w:pPr>
            <w:r>
              <w:rPr>
                <w:sz w:val="11"/>
              </w:rPr>
              <w:t>strong</w:t>
            </w:r>
          </w:p>
        </w:tc>
        <w:tc>
          <w:tcPr>
            <w:tcW w:type="dxa" w:w="2033"/>
            <w:vAlign w:val="top"/>
          </w:tcPr>
          <w:p>
            <w:pPr>
              <w:spacing w:after="0"/>
            </w:pPr>
            <w:r>
              <w:rPr>
                <w:sz w:val="11"/>
              </w:rPr>
              <w:t>ADOPT</w:t>
            </w:r>
          </w:p>
        </w:tc>
        <w:tc>
          <w:tcPr>
            <w:tcW w:type="dxa" w:w="2033"/>
            <w:vAlign w:val="top"/>
          </w:tcPr>
          <w:p>
            <w:pPr>
              <w:spacing w:after="0"/>
            </w:pPr>
            <w:r>
              <w:rPr>
                <w:sz w:val="11"/>
              </w:rPr>
              <w:t>One span can support multiple assertions.</w:t>
            </w:r>
          </w:p>
        </w:tc>
      </w:tr>
      <w:tr>
        <w:trPr>
          <w:cantSplit/>
        </w:trPr>
        <w:tc>
          <w:tcPr>
            <w:tcW w:type="dxa" w:w="2033"/>
            <w:vAlign w:val="top"/>
          </w:tcPr>
          <w:p>
            <w:pPr>
              <w:spacing w:after="0"/>
            </w:pPr>
            <w:r>
              <w:rPr>
                <w:sz w:val="11"/>
              </w:rPr>
              <w:t>Cross-modal concordance</w:t>
            </w:r>
          </w:p>
        </w:tc>
        <w:tc>
          <w:tcPr>
            <w:tcW w:type="dxa" w:w="2033"/>
            <w:vAlign w:val="top"/>
          </w:tcPr>
          <w:p>
            <w:pPr>
              <w:spacing w:after="0"/>
            </w:pPr>
            <w:r>
              <w:rPr>
                <w:sz w:val="11"/>
              </w:rPr>
              <w:t>SYN002</w:t>
            </w:r>
          </w:p>
        </w:tc>
        <w:tc>
          <w:tcPr>
            <w:tcW w:type="dxa" w:w="2033"/>
            <w:vAlign w:val="top"/>
          </w:tcPr>
          <w:p>
            <w:pPr>
              <w:spacing w:after="0"/>
            </w:pPr>
            <w:r>
              <w:rPr>
                <w:sz w:val="11"/>
              </w:rPr>
              <w:t>none</w:t>
            </w:r>
          </w:p>
        </w:tc>
        <w:tc>
          <w:tcPr>
            <w:tcW w:type="dxa" w:w="2033"/>
            <w:vAlign w:val="top"/>
          </w:tcPr>
          <w:p>
            <w:pPr>
              <w:spacing w:after="0"/>
            </w:pPr>
            <w:r>
              <w:rPr>
                <w:sz w:val="11"/>
              </w:rPr>
              <w:t>MEDAI-PROPOSED</w:t>
            </w:r>
          </w:p>
        </w:tc>
        <w:tc>
          <w:tcPr>
            <w:tcW w:type="dxa" w:w="2033"/>
            <w:vAlign w:val="top"/>
          </w:tcPr>
          <w:p>
            <w:pPr>
              <w:spacing w:after="0"/>
            </w:pPr>
            <w:r>
              <w:rPr>
                <w:sz w:val="11"/>
              </w:rPr>
              <w:t>Not present in ExECT manual.</w:t>
            </w:r>
          </w:p>
        </w:tc>
      </w:tr>
    </w:tbl>
    <w:p/>
    <w:p>
      <w:pPr>
        <w:pStyle w:val="Heading1"/>
      </w:pPr>
      <w:r>
        <w:t>6. SZFreqExtract attribute harmonization</w:t>
      </w:r>
    </w:p>
    <w:p>
      <w:r>
        <w:t>The 2025 study reports 17 manually annotated attribute types. MedAI should preserve their information while renaming potentially ambiguous fields. In particular, the paper's 'Duration' is used in frequency expressions such as an interval magnitude; MedAI should avoid confusing it with ictal seizure duration.</w:t>
      </w:r>
    </w:p>
    <w:tbl>
      <w:tblPr>
        <w:tblStyle w:val="TableGrid"/>
        <w:tblW w:type="auto" w:w="0"/>
        <w:jc w:val="center"/>
        <w:tblLook w:firstColumn="1" w:firstRow="1" w:lastColumn="0" w:lastRow="0" w:noHBand="0" w:noVBand="1" w:val="04A0"/>
      </w:tblPr>
      <w:tblGrid>
        <w:gridCol w:w="2541"/>
        <w:gridCol w:w="2541"/>
        <w:gridCol w:w="2541"/>
        <w:gridCol w:w="2541"/>
      </w:tblGrid>
      <w:tr>
        <w:trPr>
          <w:cantSplit/>
        </w:trPr>
        <w:tc>
          <w:tcPr>
            <w:tcW w:type="dxa" w:w="2541"/>
            <w:shd w:fill="D9EAF7"/>
          </w:tcPr>
          <w:p>
            <w:r>
              <w:rPr>
                <w:b/>
                <w:sz w:val="13"/>
              </w:rPr>
              <w:t>Published attribute</w:t>
            </w:r>
          </w:p>
        </w:tc>
        <w:tc>
          <w:tcPr>
            <w:tcW w:type="dxa" w:w="2541"/>
            <w:shd w:fill="D9EAF7"/>
          </w:tcPr>
          <w:p>
            <w:r>
              <w:rPr>
                <w:b/>
                <w:sz w:val="13"/>
              </w:rPr>
              <w:t>MedAI target</w:t>
            </w:r>
          </w:p>
        </w:tc>
        <w:tc>
          <w:tcPr>
            <w:tcW w:type="dxa" w:w="2541"/>
            <w:shd w:fill="D9EAF7"/>
          </w:tcPr>
          <w:p>
            <w:r>
              <w:rPr>
                <w:b/>
                <w:sz w:val="13"/>
              </w:rPr>
              <w:t>Action</w:t>
            </w:r>
          </w:p>
        </w:tc>
        <w:tc>
          <w:tcPr>
            <w:tcW w:type="dxa" w:w="2541"/>
            <w:shd w:fill="D9EAF7"/>
          </w:tcPr>
          <w:p>
            <w:r>
              <w:rPr>
                <w:b/>
                <w:sz w:val="13"/>
              </w:rPr>
              <w:t>Rationale</w:t>
            </w:r>
          </w:p>
        </w:tc>
      </w:tr>
      <w:tr>
        <w:trPr>
          <w:cantSplit/>
        </w:trPr>
        <w:tc>
          <w:tcPr>
            <w:tcW w:type="dxa" w:w="2541"/>
            <w:vAlign w:val="top"/>
          </w:tcPr>
          <w:p>
            <w:pPr>
              <w:spacing w:after="0"/>
            </w:pPr>
            <w:r>
              <w:rPr>
                <w:sz w:val="12"/>
              </w:rPr>
              <w:t>Event</w:t>
            </w:r>
          </w:p>
        </w:tc>
        <w:tc>
          <w:tcPr>
            <w:tcW w:type="dxa" w:w="2541"/>
            <w:vAlign w:val="top"/>
          </w:tcPr>
          <w:p>
            <w:pPr>
              <w:spacing w:after="0"/>
            </w:pPr>
            <w:r>
              <w:rPr>
                <w:sz w:val="12"/>
              </w:rPr>
              <w:t>SZ002/seizure event descriptor</w:t>
            </w:r>
          </w:p>
        </w:tc>
        <w:tc>
          <w:tcPr>
            <w:tcW w:type="dxa" w:w="2541"/>
            <w:vAlign w:val="top"/>
          </w:tcPr>
          <w:p>
            <w:pPr>
              <w:spacing w:after="0"/>
            </w:pPr>
            <w:r>
              <w:rPr>
                <w:sz w:val="12"/>
              </w:rPr>
              <w:t>ADAPT</w:t>
            </w:r>
          </w:p>
        </w:tc>
        <w:tc>
          <w:tcPr>
            <w:tcW w:type="dxa" w:w="2541"/>
            <w:vAlign w:val="top"/>
          </w:tcPr>
          <w:p>
            <w:pPr>
              <w:spacing w:after="0"/>
            </w:pPr>
            <w:r>
              <w:rPr>
                <w:sz w:val="12"/>
              </w:rPr>
              <w:t>Event span can support seizure-type/semiology mapping, but canonical seizure class/type comes from ILAE.</w:t>
            </w:r>
          </w:p>
        </w:tc>
      </w:tr>
      <w:tr>
        <w:trPr>
          <w:cantSplit/>
        </w:trPr>
        <w:tc>
          <w:tcPr>
            <w:tcW w:type="dxa" w:w="2541"/>
            <w:vAlign w:val="top"/>
          </w:tcPr>
          <w:p>
            <w:pPr>
              <w:spacing w:after="0"/>
            </w:pPr>
            <w:r>
              <w:rPr>
                <w:sz w:val="12"/>
              </w:rPr>
              <w:t>Quantity</w:t>
            </w:r>
          </w:p>
        </w:tc>
        <w:tc>
          <w:tcPr>
            <w:tcW w:type="dxa" w:w="2541"/>
            <w:vAlign w:val="top"/>
          </w:tcPr>
          <w:p>
            <w:pPr>
              <w:spacing w:after="0"/>
            </w:pPr>
            <w:r>
              <w:rPr>
                <w:sz w:val="12"/>
              </w:rPr>
              <w:t>SZ005.quantity</w:t>
            </w:r>
          </w:p>
        </w:tc>
        <w:tc>
          <w:tcPr>
            <w:tcW w:type="dxa" w:w="2541"/>
            <w:vAlign w:val="top"/>
          </w:tcPr>
          <w:p>
            <w:pPr>
              <w:spacing w:after="0"/>
            </w:pPr>
            <w:r>
              <w:rPr>
                <w:sz w:val="12"/>
              </w:rPr>
              <w:t>ADOPT</w:t>
            </w:r>
          </w:p>
        </w:tc>
        <w:tc>
          <w:tcPr>
            <w:tcW w:type="dxa" w:w="2541"/>
            <w:vAlign w:val="top"/>
          </w:tcPr>
          <w:p>
            <w:pPr>
              <w:spacing w:after="0"/>
            </w:pPr>
            <w:r>
              <w:rPr>
                <w:sz w:val="12"/>
              </w:rPr>
              <w:t>Exact quantity.</w:t>
            </w:r>
          </w:p>
        </w:tc>
      </w:tr>
      <w:tr>
        <w:trPr>
          <w:cantSplit/>
        </w:trPr>
        <w:tc>
          <w:tcPr>
            <w:tcW w:type="dxa" w:w="2541"/>
            <w:vAlign w:val="top"/>
          </w:tcPr>
          <w:p>
            <w:pPr>
              <w:spacing w:after="0"/>
            </w:pPr>
            <w:r>
              <w:rPr>
                <w:sz w:val="12"/>
              </w:rPr>
              <w:t>Temporal unit</w:t>
            </w:r>
          </w:p>
        </w:tc>
        <w:tc>
          <w:tcPr>
            <w:tcW w:type="dxa" w:w="2541"/>
            <w:vAlign w:val="top"/>
          </w:tcPr>
          <w:p>
            <w:pPr>
              <w:spacing w:after="0"/>
            </w:pPr>
            <w:r>
              <w:rPr>
                <w:sz w:val="12"/>
              </w:rPr>
              <w:t>SZ005.temporal_unit</w:t>
            </w:r>
          </w:p>
        </w:tc>
        <w:tc>
          <w:tcPr>
            <w:tcW w:type="dxa" w:w="2541"/>
            <w:vAlign w:val="top"/>
          </w:tcPr>
          <w:p>
            <w:pPr>
              <w:spacing w:after="0"/>
            </w:pPr>
            <w:r>
              <w:rPr>
                <w:sz w:val="12"/>
              </w:rPr>
              <w:t>ADOPT</w:t>
            </w:r>
          </w:p>
        </w:tc>
        <w:tc>
          <w:tcPr>
            <w:tcW w:type="dxa" w:w="2541"/>
            <w:vAlign w:val="top"/>
          </w:tcPr>
          <w:p>
            <w:pPr>
              <w:spacing w:after="0"/>
            </w:pPr>
            <w:r>
              <w:rPr>
                <w:sz w:val="12"/>
              </w:rPr>
              <w:t>Unit associated with frequency denominator.</w:t>
            </w:r>
          </w:p>
        </w:tc>
      </w:tr>
      <w:tr>
        <w:trPr>
          <w:cantSplit/>
        </w:trPr>
        <w:tc>
          <w:tcPr>
            <w:tcW w:type="dxa" w:w="2541"/>
            <w:vAlign w:val="top"/>
          </w:tcPr>
          <w:p>
            <w:pPr>
              <w:spacing w:after="0"/>
            </w:pPr>
            <w:r>
              <w:rPr>
                <w:sz w:val="12"/>
              </w:rPr>
              <w:t>Minimum quantity</w:t>
            </w:r>
          </w:p>
        </w:tc>
        <w:tc>
          <w:tcPr>
            <w:tcW w:type="dxa" w:w="2541"/>
            <w:vAlign w:val="top"/>
          </w:tcPr>
          <w:p>
            <w:pPr>
              <w:spacing w:after="0"/>
            </w:pPr>
            <w:r>
              <w:rPr>
                <w:sz w:val="12"/>
              </w:rPr>
              <w:t>SZ005.quantity_min</w:t>
            </w:r>
          </w:p>
        </w:tc>
        <w:tc>
          <w:tcPr>
            <w:tcW w:type="dxa" w:w="2541"/>
            <w:vAlign w:val="top"/>
          </w:tcPr>
          <w:p>
            <w:pPr>
              <w:spacing w:after="0"/>
            </w:pPr>
            <w:r>
              <w:rPr>
                <w:sz w:val="12"/>
              </w:rPr>
              <w:t>ADOPT</w:t>
            </w:r>
          </w:p>
        </w:tc>
        <w:tc>
          <w:tcPr>
            <w:tcW w:type="dxa" w:w="2541"/>
            <w:vAlign w:val="top"/>
          </w:tcPr>
          <w:p>
            <w:pPr>
              <w:spacing w:after="0"/>
            </w:pPr>
            <w:r>
              <w:rPr>
                <w:sz w:val="12"/>
              </w:rPr>
              <w:t>Lower quantity bound.</w:t>
            </w:r>
          </w:p>
        </w:tc>
      </w:tr>
      <w:tr>
        <w:trPr>
          <w:cantSplit/>
        </w:trPr>
        <w:tc>
          <w:tcPr>
            <w:tcW w:type="dxa" w:w="2541"/>
            <w:vAlign w:val="top"/>
          </w:tcPr>
          <w:p>
            <w:pPr>
              <w:spacing w:after="0"/>
            </w:pPr>
            <w:r>
              <w:rPr>
                <w:sz w:val="12"/>
              </w:rPr>
              <w:t>Maximum quantity</w:t>
            </w:r>
          </w:p>
        </w:tc>
        <w:tc>
          <w:tcPr>
            <w:tcW w:type="dxa" w:w="2541"/>
            <w:vAlign w:val="top"/>
          </w:tcPr>
          <w:p>
            <w:pPr>
              <w:spacing w:after="0"/>
            </w:pPr>
            <w:r>
              <w:rPr>
                <w:sz w:val="12"/>
              </w:rPr>
              <w:t>SZ005.quantity_max</w:t>
            </w:r>
          </w:p>
        </w:tc>
        <w:tc>
          <w:tcPr>
            <w:tcW w:type="dxa" w:w="2541"/>
            <w:vAlign w:val="top"/>
          </w:tcPr>
          <w:p>
            <w:pPr>
              <w:spacing w:after="0"/>
            </w:pPr>
            <w:r>
              <w:rPr>
                <w:sz w:val="12"/>
              </w:rPr>
              <w:t>ADOPT</w:t>
            </w:r>
          </w:p>
        </w:tc>
        <w:tc>
          <w:tcPr>
            <w:tcW w:type="dxa" w:w="2541"/>
            <w:vAlign w:val="top"/>
          </w:tcPr>
          <w:p>
            <w:pPr>
              <w:spacing w:after="0"/>
            </w:pPr>
            <w:r>
              <w:rPr>
                <w:sz w:val="12"/>
              </w:rPr>
              <w:t>Upper quantity bound.</w:t>
            </w:r>
          </w:p>
        </w:tc>
      </w:tr>
      <w:tr>
        <w:trPr>
          <w:cantSplit/>
        </w:trPr>
        <w:tc>
          <w:tcPr>
            <w:tcW w:type="dxa" w:w="2541"/>
            <w:vAlign w:val="top"/>
          </w:tcPr>
          <w:p>
            <w:pPr>
              <w:spacing w:after="0"/>
            </w:pPr>
            <w:r>
              <w:rPr>
                <w:sz w:val="12"/>
              </w:rPr>
              <w:t>Interval start</w:t>
            </w:r>
          </w:p>
        </w:tc>
        <w:tc>
          <w:tcPr>
            <w:tcW w:type="dxa" w:w="2541"/>
            <w:vAlign w:val="top"/>
          </w:tcPr>
          <w:p>
            <w:pPr>
              <w:spacing w:after="0"/>
            </w:pPr>
            <w:r>
              <w:rPr>
                <w:sz w:val="12"/>
              </w:rPr>
              <w:t>SZ005.interval_start</w:t>
            </w:r>
          </w:p>
        </w:tc>
        <w:tc>
          <w:tcPr>
            <w:tcW w:type="dxa" w:w="2541"/>
            <w:vAlign w:val="top"/>
          </w:tcPr>
          <w:p>
            <w:pPr>
              <w:spacing w:after="0"/>
            </w:pPr>
            <w:r>
              <w:rPr>
                <w:sz w:val="12"/>
              </w:rPr>
              <w:t>ADOPT</w:t>
            </w:r>
          </w:p>
        </w:tc>
        <w:tc>
          <w:tcPr>
            <w:tcW w:type="dxa" w:w="2541"/>
            <w:vAlign w:val="top"/>
          </w:tcPr>
          <w:p>
            <w:pPr>
              <w:spacing w:after="0"/>
            </w:pPr>
            <w:r>
              <w:rPr>
                <w:sz w:val="12"/>
              </w:rPr>
              <w:t>Start of bounded interval.</w:t>
            </w:r>
          </w:p>
        </w:tc>
      </w:tr>
      <w:tr>
        <w:trPr>
          <w:cantSplit/>
        </w:trPr>
        <w:tc>
          <w:tcPr>
            <w:tcW w:type="dxa" w:w="2541"/>
            <w:vAlign w:val="top"/>
          </w:tcPr>
          <w:p>
            <w:pPr>
              <w:spacing w:after="0"/>
            </w:pPr>
            <w:r>
              <w:rPr>
                <w:sz w:val="12"/>
              </w:rPr>
              <w:t>Interval end</w:t>
            </w:r>
          </w:p>
        </w:tc>
        <w:tc>
          <w:tcPr>
            <w:tcW w:type="dxa" w:w="2541"/>
            <w:vAlign w:val="top"/>
          </w:tcPr>
          <w:p>
            <w:pPr>
              <w:spacing w:after="0"/>
            </w:pPr>
            <w:r>
              <w:rPr>
                <w:sz w:val="12"/>
              </w:rPr>
              <w:t>SZ005.interval_end</w:t>
            </w:r>
          </w:p>
        </w:tc>
        <w:tc>
          <w:tcPr>
            <w:tcW w:type="dxa" w:w="2541"/>
            <w:vAlign w:val="top"/>
          </w:tcPr>
          <w:p>
            <w:pPr>
              <w:spacing w:after="0"/>
            </w:pPr>
            <w:r>
              <w:rPr>
                <w:sz w:val="12"/>
              </w:rPr>
              <w:t>ADOPT</w:t>
            </w:r>
          </w:p>
        </w:tc>
        <w:tc>
          <w:tcPr>
            <w:tcW w:type="dxa" w:w="2541"/>
            <w:vAlign w:val="top"/>
          </w:tcPr>
          <w:p>
            <w:pPr>
              <w:spacing w:after="0"/>
            </w:pPr>
            <w:r>
              <w:rPr>
                <w:sz w:val="12"/>
              </w:rPr>
              <w:t>End of bounded interval.</w:t>
            </w:r>
          </w:p>
        </w:tc>
      </w:tr>
      <w:tr>
        <w:trPr>
          <w:cantSplit/>
        </w:trPr>
        <w:tc>
          <w:tcPr>
            <w:tcW w:type="dxa" w:w="2541"/>
            <w:vAlign w:val="top"/>
          </w:tcPr>
          <w:p>
            <w:pPr>
              <w:spacing w:after="0"/>
            </w:pPr>
            <w:r>
              <w:rPr>
                <w:sz w:val="12"/>
              </w:rPr>
              <w:t>Time</w:t>
            </w:r>
          </w:p>
        </w:tc>
        <w:tc>
          <w:tcPr>
            <w:tcW w:type="dxa" w:w="2541"/>
            <w:vAlign w:val="top"/>
          </w:tcPr>
          <w:p>
            <w:pPr>
              <w:spacing w:after="0"/>
            </w:pPr>
            <w:r>
              <w:rPr>
                <w:sz w:val="12"/>
              </w:rPr>
              <w:t>SZ005.absolute_time</w:t>
            </w:r>
          </w:p>
        </w:tc>
        <w:tc>
          <w:tcPr>
            <w:tcW w:type="dxa" w:w="2541"/>
            <w:vAlign w:val="top"/>
          </w:tcPr>
          <w:p>
            <w:pPr>
              <w:spacing w:after="0"/>
            </w:pPr>
            <w:r>
              <w:rPr>
                <w:sz w:val="12"/>
              </w:rPr>
              <w:t>ADAPT</w:t>
            </w:r>
          </w:p>
        </w:tc>
        <w:tc>
          <w:tcPr>
            <w:tcW w:type="dxa" w:w="2541"/>
            <w:vAlign w:val="top"/>
          </w:tcPr>
          <w:p>
            <w:pPr>
              <w:spacing w:after="0"/>
            </w:pPr>
            <w:r>
              <w:rPr>
                <w:sz w:val="12"/>
              </w:rPr>
              <w:t>Preserve source precision.</w:t>
            </w:r>
          </w:p>
        </w:tc>
      </w:tr>
      <w:tr>
        <w:trPr>
          <w:cantSplit/>
        </w:trPr>
        <w:tc>
          <w:tcPr>
            <w:tcW w:type="dxa" w:w="2541"/>
            <w:vAlign w:val="top"/>
          </w:tcPr>
          <w:p>
            <w:pPr>
              <w:spacing w:after="0"/>
            </w:pPr>
            <w:r>
              <w:rPr>
                <w:sz w:val="12"/>
              </w:rPr>
              <w:t>Relative time</w:t>
            </w:r>
          </w:p>
        </w:tc>
        <w:tc>
          <w:tcPr>
            <w:tcW w:type="dxa" w:w="2541"/>
            <w:vAlign w:val="top"/>
          </w:tcPr>
          <w:p>
            <w:pPr>
              <w:spacing w:after="0"/>
            </w:pPr>
            <w:r>
              <w:rPr>
                <w:sz w:val="12"/>
              </w:rPr>
              <w:t>SZ005.relative_time</w:t>
            </w:r>
          </w:p>
        </w:tc>
        <w:tc>
          <w:tcPr>
            <w:tcW w:type="dxa" w:w="2541"/>
            <w:vAlign w:val="top"/>
          </w:tcPr>
          <w:p>
            <w:pPr>
              <w:spacing w:after="0"/>
            </w:pPr>
            <w:r>
              <w:rPr>
                <w:sz w:val="12"/>
              </w:rPr>
              <w:t>ADOPT/ADAPT</w:t>
            </w:r>
          </w:p>
        </w:tc>
        <w:tc>
          <w:tcPr>
            <w:tcW w:type="dxa" w:w="2541"/>
            <w:vAlign w:val="top"/>
          </w:tcPr>
          <w:p>
            <w:pPr>
              <w:spacing w:after="0"/>
            </w:pPr>
            <w:r>
              <w:rPr>
                <w:sz w:val="12"/>
              </w:rPr>
              <w:t>Relative temporal anchor.</w:t>
            </w:r>
          </w:p>
        </w:tc>
      </w:tr>
      <w:tr>
        <w:trPr>
          <w:cantSplit/>
        </w:trPr>
        <w:tc>
          <w:tcPr>
            <w:tcW w:type="dxa" w:w="2541"/>
            <w:vAlign w:val="top"/>
          </w:tcPr>
          <w:p>
            <w:pPr>
              <w:spacing w:after="0"/>
            </w:pPr>
            <w:r>
              <w:rPr>
                <w:sz w:val="12"/>
              </w:rPr>
              <w:t>Relative time period</w:t>
            </w:r>
          </w:p>
        </w:tc>
        <w:tc>
          <w:tcPr>
            <w:tcW w:type="dxa" w:w="2541"/>
            <w:vAlign w:val="top"/>
          </w:tcPr>
          <w:p>
            <w:pPr>
              <w:spacing w:after="0"/>
            </w:pPr>
            <w:r>
              <w:rPr>
                <w:sz w:val="12"/>
              </w:rPr>
              <w:t>SZ005.relative_time_period</w:t>
            </w:r>
          </w:p>
        </w:tc>
        <w:tc>
          <w:tcPr>
            <w:tcW w:type="dxa" w:w="2541"/>
            <w:vAlign w:val="top"/>
          </w:tcPr>
          <w:p>
            <w:pPr>
              <w:spacing w:after="0"/>
            </w:pPr>
            <w:r>
              <w:rPr>
                <w:sz w:val="12"/>
              </w:rPr>
              <w:t>ADOPT/ADAPT</w:t>
            </w:r>
          </w:p>
        </w:tc>
        <w:tc>
          <w:tcPr>
            <w:tcW w:type="dxa" w:w="2541"/>
            <w:vAlign w:val="top"/>
          </w:tcPr>
          <w:p>
            <w:pPr>
              <w:spacing w:after="0"/>
            </w:pPr>
            <w:r>
              <w:rPr>
                <w:sz w:val="12"/>
              </w:rPr>
              <w:t>Window relative to document/event time.</w:t>
            </w:r>
          </w:p>
        </w:tc>
      </w:tr>
      <w:tr>
        <w:trPr>
          <w:cantSplit/>
        </w:trPr>
        <w:tc>
          <w:tcPr>
            <w:tcW w:type="dxa" w:w="2541"/>
            <w:vAlign w:val="top"/>
          </w:tcPr>
          <w:p>
            <w:pPr>
              <w:spacing w:after="0"/>
            </w:pPr>
            <w:r>
              <w:rPr>
                <w:sz w:val="12"/>
              </w:rPr>
              <w:t>Duration</w:t>
            </w:r>
          </w:p>
        </w:tc>
        <w:tc>
          <w:tcPr>
            <w:tcW w:type="dxa" w:w="2541"/>
            <w:vAlign w:val="top"/>
          </w:tcPr>
          <w:p>
            <w:pPr>
              <w:spacing w:after="0"/>
            </w:pPr>
            <w:r>
              <w:rPr>
                <w:sz w:val="12"/>
              </w:rPr>
              <w:t>SZ005.period_duration</w:t>
            </w:r>
          </w:p>
        </w:tc>
        <w:tc>
          <w:tcPr>
            <w:tcW w:type="dxa" w:w="2541"/>
            <w:vAlign w:val="top"/>
          </w:tcPr>
          <w:p>
            <w:pPr>
              <w:spacing w:after="0"/>
            </w:pPr>
            <w:r>
              <w:rPr>
                <w:sz w:val="12"/>
              </w:rPr>
              <w:t>ADAPT</w:t>
            </w:r>
          </w:p>
        </w:tc>
        <w:tc>
          <w:tcPr>
            <w:tcW w:type="dxa" w:w="2541"/>
            <w:vAlign w:val="top"/>
          </w:tcPr>
          <w:p>
            <w:pPr>
              <w:spacing w:after="0"/>
            </w:pPr>
            <w:r>
              <w:rPr>
                <w:sz w:val="12"/>
              </w:rPr>
              <w:t>Paper uses duration as denominator magnitude in examples; name carefully to avoid seizure-duration confusion.</w:t>
            </w:r>
          </w:p>
        </w:tc>
      </w:tr>
      <w:tr>
        <w:trPr>
          <w:cantSplit/>
        </w:trPr>
        <w:tc>
          <w:tcPr>
            <w:tcW w:type="dxa" w:w="2541"/>
            <w:vAlign w:val="top"/>
          </w:tcPr>
          <w:p>
            <w:pPr>
              <w:spacing w:after="0"/>
            </w:pPr>
            <w:r>
              <w:rPr>
                <w:sz w:val="12"/>
              </w:rPr>
              <w:t>Minimum duration</w:t>
            </w:r>
          </w:p>
        </w:tc>
        <w:tc>
          <w:tcPr>
            <w:tcW w:type="dxa" w:w="2541"/>
            <w:vAlign w:val="top"/>
          </w:tcPr>
          <w:p>
            <w:pPr>
              <w:spacing w:after="0"/>
            </w:pPr>
            <w:r>
              <w:rPr>
                <w:sz w:val="12"/>
              </w:rPr>
              <w:t>SZ005.period_duration_min</w:t>
            </w:r>
          </w:p>
        </w:tc>
        <w:tc>
          <w:tcPr>
            <w:tcW w:type="dxa" w:w="2541"/>
            <w:vAlign w:val="top"/>
          </w:tcPr>
          <w:p>
            <w:pPr>
              <w:spacing w:after="0"/>
            </w:pPr>
            <w:r>
              <w:rPr>
                <w:sz w:val="12"/>
              </w:rPr>
              <w:t>ADAPT</w:t>
            </w:r>
          </w:p>
        </w:tc>
        <w:tc>
          <w:tcPr>
            <w:tcW w:type="dxa" w:w="2541"/>
            <w:vAlign w:val="top"/>
          </w:tcPr>
          <w:p>
            <w:pPr>
              <w:spacing w:after="0"/>
            </w:pPr>
            <w:r>
              <w:rPr>
                <w:sz w:val="12"/>
              </w:rPr>
              <w:t>Rename in MedAI to frequency_period_min to distinguish ictal duration.</w:t>
            </w:r>
          </w:p>
        </w:tc>
      </w:tr>
      <w:tr>
        <w:trPr>
          <w:cantSplit/>
        </w:trPr>
        <w:tc>
          <w:tcPr>
            <w:tcW w:type="dxa" w:w="2541"/>
            <w:vAlign w:val="top"/>
          </w:tcPr>
          <w:p>
            <w:pPr>
              <w:spacing w:after="0"/>
            </w:pPr>
            <w:r>
              <w:rPr>
                <w:sz w:val="12"/>
              </w:rPr>
              <w:t>Maximum duration</w:t>
            </w:r>
          </w:p>
        </w:tc>
        <w:tc>
          <w:tcPr>
            <w:tcW w:type="dxa" w:w="2541"/>
            <w:vAlign w:val="top"/>
          </w:tcPr>
          <w:p>
            <w:pPr>
              <w:spacing w:after="0"/>
            </w:pPr>
            <w:r>
              <w:rPr>
                <w:sz w:val="12"/>
              </w:rPr>
              <w:t>SZ005.period_duration_max</w:t>
            </w:r>
          </w:p>
        </w:tc>
        <w:tc>
          <w:tcPr>
            <w:tcW w:type="dxa" w:w="2541"/>
            <w:vAlign w:val="top"/>
          </w:tcPr>
          <w:p>
            <w:pPr>
              <w:spacing w:after="0"/>
            </w:pPr>
            <w:r>
              <w:rPr>
                <w:sz w:val="12"/>
              </w:rPr>
              <w:t>ADAPT</w:t>
            </w:r>
          </w:p>
        </w:tc>
        <w:tc>
          <w:tcPr>
            <w:tcW w:type="dxa" w:w="2541"/>
            <w:vAlign w:val="top"/>
          </w:tcPr>
          <w:p>
            <w:pPr>
              <w:spacing w:after="0"/>
            </w:pPr>
            <w:r>
              <w:rPr>
                <w:sz w:val="12"/>
              </w:rPr>
              <w:t>Rename in MedAI to frequency_period_max.</w:t>
            </w:r>
          </w:p>
        </w:tc>
      </w:tr>
      <w:tr>
        <w:trPr>
          <w:cantSplit/>
        </w:trPr>
        <w:tc>
          <w:tcPr>
            <w:tcW w:type="dxa" w:w="2541"/>
            <w:vAlign w:val="top"/>
          </w:tcPr>
          <w:p>
            <w:pPr>
              <w:spacing w:after="0"/>
            </w:pPr>
            <w:r>
              <w:rPr>
                <w:sz w:val="12"/>
              </w:rPr>
              <w:t>Age</w:t>
            </w:r>
          </w:p>
        </w:tc>
        <w:tc>
          <w:tcPr>
            <w:tcW w:type="dxa" w:w="2541"/>
            <w:vAlign w:val="top"/>
          </w:tcPr>
          <w:p>
            <w:pPr>
              <w:spacing w:after="0"/>
            </w:pPr>
            <w:r>
              <w:rPr>
                <w:sz w:val="12"/>
              </w:rPr>
              <w:t>SZ005.age_at_frequency_context</w:t>
            </w:r>
          </w:p>
        </w:tc>
        <w:tc>
          <w:tcPr>
            <w:tcW w:type="dxa" w:w="2541"/>
            <w:vAlign w:val="top"/>
          </w:tcPr>
          <w:p>
            <w:pPr>
              <w:spacing w:after="0"/>
            </w:pPr>
            <w:r>
              <w:rPr>
                <w:sz w:val="12"/>
              </w:rPr>
              <w:t>ADAPT</w:t>
            </w:r>
          </w:p>
        </w:tc>
        <w:tc>
          <w:tcPr>
            <w:tcW w:type="dxa" w:w="2541"/>
            <w:vAlign w:val="top"/>
          </w:tcPr>
          <w:p>
            <w:pPr>
              <w:spacing w:after="0"/>
            </w:pPr>
            <w:r>
              <w:rPr>
                <w:sz w:val="12"/>
              </w:rPr>
              <w:t>Only when frequency context is tied to an age.</w:t>
            </w:r>
          </w:p>
        </w:tc>
      </w:tr>
      <w:tr>
        <w:trPr>
          <w:cantSplit/>
        </w:trPr>
        <w:tc>
          <w:tcPr>
            <w:tcW w:type="dxa" w:w="2541"/>
            <w:vAlign w:val="top"/>
          </w:tcPr>
          <w:p>
            <w:pPr>
              <w:spacing w:after="0"/>
            </w:pPr>
            <w:r>
              <w:rPr>
                <w:sz w:val="12"/>
              </w:rPr>
              <w:t>Age start</w:t>
            </w:r>
          </w:p>
        </w:tc>
        <w:tc>
          <w:tcPr>
            <w:tcW w:type="dxa" w:w="2541"/>
            <w:vAlign w:val="top"/>
          </w:tcPr>
          <w:p>
            <w:pPr>
              <w:spacing w:after="0"/>
            </w:pPr>
            <w:r>
              <w:rPr>
                <w:sz w:val="12"/>
              </w:rPr>
              <w:t>SZ005.age_interval_start</w:t>
            </w:r>
          </w:p>
        </w:tc>
        <w:tc>
          <w:tcPr>
            <w:tcW w:type="dxa" w:w="2541"/>
            <w:vAlign w:val="top"/>
          </w:tcPr>
          <w:p>
            <w:pPr>
              <w:spacing w:after="0"/>
            </w:pPr>
            <w:r>
              <w:rPr>
                <w:sz w:val="12"/>
              </w:rPr>
              <w:t>ADAPT</w:t>
            </w:r>
          </w:p>
        </w:tc>
        <w:tc>
          <w:tcPr>
            <w:tcW w:type="dxa" w:w="2541"/>
            <w:vAlign w:val="top"/>
          </w:tcPr>
          <w:p>
            <w:pPr>
              <w:spacing w:after="0"/>
            </w:pPr>
            <w:r>
              <w:rPr>
                <w:sz w:val="12"/>
              </w:rPr>
              <w:t>Age-bounded interval.</w:t>
            </w:r>
          </w:p>
        </w:tc>
      </w:tr>
      <w:tr>
        <w:trPr>
          <w:cantSplit/>
        </w:trPr>
        <w:tc>
          <w:tcPr>
            <w:tcW w:type="dxa" w:w="2541"/>
            <w:vAlign w:val="top"/>
          </w:tcPr>
          <w:p>
            <w:pPr>
              <w:spacing w:after="0"/>
            </w:pPr>
            <w:r>
              <w:rPr>
                <w:sz w:val="12"/>
              </w:rPr>
              <w:t>Age end</w:t>
            </w:r>
          </w:p>
        </w:tc>
        <w:tc>
          <w:tcPr>
            <w:tcW w:type="dxa" w:w="2541"/>
            <w:vAlign w:val="top"/>
          </w:tcPr>
          <w:p>
            <w:pPr>
              <w:spacing w:after="0"/>
            </w:pPr>
            <w:r>
              <w:rPr>
                <w:sz w:val="12"/>
              </w:rPr>
              <w:t>SZ005.age_interval_end</w:t>
            </w:r>
          </w:p>
        </w:tc>
        <w:tc>
          <w:tcPr>
            <w:tcW w:type="dxa" w:w="2541"/>
            <w:vAlign w:val="top"/>
          </w:tcPr>
          <w:p>
            <w:pPr>
              <w:spacing w:after="0"/>
            </w:pPr>
            <w:r>
              <w:rPr>
                <w:sz w:val="12"/>
              </w:rPr>
              <w:t>ADAPT</w:t>
            </w:r>
          </w:p>
        </w:tc>
        <w:tc>
          <w:tcPr>
            <w:tcW w:type="dxa" w:w="2541"/>
            <w:vAlign w:val="top"/>
          </w:tcPr>
          <w:p>
            <w:pPr>
              <w:spacing w:after="0"/>
            </w:pPr>
            <w:r>
              <w:rPr>
                <w:sz w:val="12"/>
              </w:rPr>
              <w:t>Age-bounded interval.</w:t>
            </w:r>
          </w:p>
        </w:tc>
      </w:tr>
      <w:tr>
        <w:trPr>
          <w:cantSplit/>
        </w:trPr>
        <w:tc>
          <w:tcPr>
            <w:tcW w:type="dxa" w:w="2541"/>
            <w:vAlign w:val="top"/>
          </w:tcPr>
          <w:p>
            <w:pPr>
              <w:spacing w:after="0"/>
            </w:pPr>
            <w:r>
              <w:rPr>
                <w:sz w:val="12"/>
              </w:rPr>
              <w:t>Periodic</w:t>
            </w:r>
          </w:p>
        </w:tc>
        <w:tc>
          <w:tcPr>
            <w:tcW w:type="dxa" w:w="2541"/>
            <w:vAlign w:val="top"/>
          </w:tcPr>
          <w:p>
            <w:pPr>
              <w:spacing w:after="0"/>
            </w:pPr>
            <w:r>
              <w:rPr>
                <w:sz w:val="12"/>
              </w:rPr>
              <w:t>SZ005.periodic_relation</w:t>
            </w:r>
          </w:p>
        </w:tc>
        <w:tc>
          <w:tcPr>
            <w:tcW w:type="dxa" w:w="2541"/>
            <w:vAlign w:val="top"/>
          </w:tcPr>
          <w:p>
            <w:pPr>
              <w:spacing w:after="0"/>
            </w:pPr>
            <w:r>
              <w:rPr>
                <w:sz w:val="12"/>
              </w:rPr>
              <w:t>ADAPT</w:t>
            </w:r>
          </w:p>
        </w:tc>
        <w:tc>
          <w:tcPr>
            <w:tcW w:type="dxa" w:w="2541"/>
            <w:vAlign w:val="top"/>
          </w:tcPr>
          <w:p>
            <w:pPr>
              <w:spacing w:after="0"/>
            </w:pPr>
            <w:r>
              <w:rPr>
                <w:sz w:val="12"/>
              </w:rPr>
              <w:t>Captures recurring pattern such as daily since a date.</w:t>
            </w:r>
          </w:p>
        </w:tc>
      </w:tr>
    </w:tbl>
    <w:p/>
    <w:p>
      <w:pPr>
        <w:pStyle w:val="Heading1"/>
      </w:pPr>
      <w:r>
        <w:t>7. What Phase 2B does NOT establish</w:t>
      </w:r>
    </w:p>
    <w:p>
      <w:pPr>
        <w:pStyle w:val="ListBullet"/>
      </w:pPr>
      <w:r>
        <w:t>Current ILAE 2025 seizure labels or consciousness decision logic — those come from the ILAE implementation profile.</w:t>
      </w:r>
    </w:p>
    <w:p>
      <w:pPr>
        <w:pStyle w:val="ListBullet"/>
      </w:pPr>
      <w:r>
        <w:t>Detailed MRI lesion ontology — ExECT only establishes coarse investigation result annotation.</w:t>
      </w:r>
    </w:p>
    <w:p>
      <w:pPr>
        <w:pStyle w:val="ListBullet"/>
      </w:pPr>
      <w:r>
        <w:t>Detailed EEG IED/ictal localization ontology — this requires SCORE/other appropriate EEG standards and clinician review.</w:t>
      </w:r>
    </w:p>
    <w:p>
      <w:pPr>
        <w:pStyle w:val="ListBullet"/>
      </w:pPr>
      <w:r>
        <w:t>Drug-resistant epilepsy from medication count alone — ILAE DRE criteria require an evidence-aware operationalization.</w:t>
      </w:r>
    </w:p>
    <w:p>
      <w:pPr>
        <w:pStyle w:val="ListBullet"/>
      </w:pPr>
      <w:r>
        <w:t>Cross-modal concordance — remains MEDAI-PROPOSED until literature-informed and clinician-reviewed.</w:t>
      </w:r>
    </w:p>
    <w:p>
      <w:pPr>
        <w:pStyle w:val="ListBullet"/>
      </w:pPr>
      <w:r>
        <w:t>That every third-party artifact can be redistributed inside MedAI — licenses remain artifact-specific.</w:t>
      </w:r>
    </w:p>
    <w:p>
      <w:pPr>
        <w:pStyle w:val="Heading1"/>
      </w:pPr>
      <w:r>
        <w:t>8. Phase 2B gate status</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D9EAF7"/>
          </w:tcPr>
          <w:p>
            <w:r>
              <w:rPr>
                <w:b/>
                <w:sz w:val="14"/>
              </w:rPr>
              <w:t>Gate</w:t>
            </w:r>
          </w:p>
        </w:tc>
        <w:tc>
          <w:tcPr>
            <w:tcW w:type="dxa" w:w="5083"/>
            <w:shd w:fill="D9EAF7"/>
          </w:tcPr>
          <w:p>
            <w:r>
              <w:rPr>
                <w:b/>
                <w:sz w:val="14"/>
              </w:rPr>
              <w:t>Result</w:t>
            </w:r>
          </w:p>
        </w:tc>
      </w:tr>
      <w:tr>
        <w:trPr>
          <w:cantSplit/>
        </w:trPr>
        <w:tc>
          <w:tcPr>
            <w:tcW w:type="dxa" w:w="5083"/>
            <w:vAlign w:val="top"/>
          </w:tcPr>
          <w:p>
            <w:pPr>
              <w:spacing w:after="0"/>
            </w:pPr>
            <w:r>
              <w:rPr>
                <w:sz w:val="13"/>
              </w:rPr>
              <w:t>Actual ExECT v2.1 rule structure recovered</w:t>
            </w:r>
          </w:p>
        </w:tc>
        <w:tc>
          <w:tcPr>
            <w:tcW w:type="dxa" w:w="5083"/>
            <w:vAlign w:val="top"/>
          </w:tcPr>
          <w:p>
            <w:pPr>
              <w:spacing w:after="0"/>
            </w:pPr>
            <w:r>
              <w:rPr>
                <w:sz w:val="13"/>
              </w:rPr>
              <w:t>PASS — thesis Appendix B exposes configuration and guideline content.</w:t>
            </w:r>
          </w:p>
        </w:tc>
      </w:tr>
      <w:tr>
        <w:trPr>
          <w:cantSplit/>
        </w:trPr>
        <w:tc>
          <w:tcPr>
            <w:tcW w:type="dxa" w:w="5083"/>
            <w:vAlign w:val="top"/>
          </w:tcPr>
          <w:p>
            <w:pPr>
              <w:spacing w:after="0"/>
            </w:pPr>
            <w:r>
              <w:rPr>
                <w:sz w:val="13"/>
              </w:rPr>
              <w:t>Rule-level inventory created</w:t>
            </w:r>
          </w:p>
        </w:tc>
        <w:tc>
          <w:tcPr>
            <w:tcW w:type="dxa" w:w="5083"/>
            <w:vAlign w:val="top"/>
          </w:tcPr>
          <w:p>
            <w:pPr>
              <w:spacing w:after="0"/>
            </w:pPr>
            <w:r>
              <w:rPr>
                <w:sz w:val="13"/>
              </w:rPr>
              <w:t>PASS — companion CSV.</w:t>
            </w:r>
          </w:p>
        </w:tc>
      </w:tr>
      <w:tr>
        <w:trPr>
          <w:cantSplit/>
        </w:trPr>
        <w:tc>
          <w:tcPr>
            <w:tcW w:type="dxa" w:w="5083"/>
            <w:vAlign w:val="top"/>
          </w:tcPr>
          <w:p>
            <w:pPr>
              <w:spacing w:after="0"/>
            </w:pPr>
            <w:r>
              <w:rPr>
                <w:sz w:val="13"/>
              </w:rPr>
              <w:t>MedAI vs ExECT field crosswalk created</w:t>
            </w:r>
          </w:p>
        </w:tc>
        <w:tc>
          <w:tcPr>
            <w:tcW w:type="dxa" w:w="5083"/>
            <w:vAlign w:val="top"/>
          </w:tcPr>
          <w:p>
            <w:pPr>
              <w:spacing w:after="0"/>
            </w:pPr>
            <w:r>
              <w:rPr>
                <w:sz w:val="13"/>
              </w:rPr>
              <w:t>PASS — companion CSV.</w:t>
            </w:r>
          </w:p>
        </w:tc>
      </w:tr>
      <w:tr>
        <w:trPr>
          <w:cantSplit/>
        </w:trPr>
        <w:tc>
          <w:tcPr>
            <w:tcW w:type="dxa" w:w="5083"/>
            <w:vAlign w:val="top"/>
          </w:tcPr>
          <w:p>
            <w:pPr>
              <w:spacing w:after="0"/>
            </w:pPr>
            <w:r>
              <w:rPr>
                <w:sz w:val="13"/>
              </w:rPr>
              <w:t>SZFreqExtract 17-attribute crosswalk created</w:t>
            </w:r>
          </w:p>
        </w:tc>
        <w:tc>
          <w:tcPr>
            <w:tcW w:type="dxa" w:w="5083"/>
            <w:vAlign w:val="top"/>
          </w:tcPr>
          <w:p>
            <w:pPr>
              <w:spacing w:after="0"/>
            </w:pPr>
            <w:r>
              <w:rPr>
                <w:sz w:val="13"/>
              </w:rPr>
              <w:t>PASS — companion CSV.</w:t>
            </w:r>
          </w:p>
        </w:tc>
      </w:tr>
      <w:tr>
        <w:trPr>
          <w:cantSplit/>
        </w:trPr>
        <w:tc>
          <w:tcPr>
            <w:tcW w:type="dxa" w:w="5083"/>
            <w:vAlign w:val="top"/>
          </w:tcPr>
          <w:p>
            <w:pPr>
              <w:spacing w:after="0"/>
            </w:pPr>
            <w:r>
              <w:rPr>
                <w:sz w:val="13"/>
              </w:rPr>
              <w:t>Exact ExECT certainty phrase→level inventory</w:t>
            </w:r>
          </w:p>
        </w:tc>
        <w:tc>
          <w:tcPr>
            <w:tcW w:type="dxa" w:w="5083"/>
            <w:vAlign w:val="top"/>
          </w:tcPr>
          <w:p>
            <w:pPr>
              <w:spacing w:after="0"/>
            </w:pPr>
            <w:r>
              <w:rPr>
                <w:sz w:val="13"/>
              </w:rPr>
              <w:t>PARTIAL — scale is verified; full phrase lexicon should be extracted only if MedAI chooses to retain the 1–5 scheme.</w:t>
            </w:r>
          </w:p>
        </w:tc>
      </w:tr>
      <w:tr>
        <w:trPr>
          <w:cantSplit/>
        </w:trPr>
        <w:tc>
          <w:tcPr>
            <w:tcW w:type="dxa" w:w="5083"/>
            <w:vAlign w:val="top"/>
          </w:tcPr>
          <w:p>
            <w:pPr>
              <w:spacing w:after="0"/>
            </w:pPr>
            <w:r>
              <w:rPr>
                <w:sz w:val="13"/>
              </w:rPr>
              <w:t>Artifact redistribution licensing</w:t>
            </w:r>
          </w:p>
        </w:tc>
        <w:tc>
          <w:tcPr>
            <w:tcW w:type="dxa" w:w="5083"/>
            <w:vAlign w:val="top"/>
          </w:tcPr>
          <w:p>
            <w:pPr>
              <w:spacing w:after="0"/>
            </w:pPr>
            <w:r>
              <w:rPr>
                <w:sz w:val="13"/>
              </w:rPr>
              <w:t>PENDING — record per artifact before bundling third-party files.</w:t>
            </w:r>
          </w:p>
        </w:tc>
      </w:tr>
    </w:tbl>
    <w:p/>
    <w:tbl>
      <w:tblPr>
        <w:tblStyle w:val="TableGrid"/>
        <w:tblW w:type="auto" w:w="0"/>
        <w:tblLook w:firstColumn="1" w:firstRow="1" w:lastColumn="0" w:lastRow="0" w:noHBand="0" w:noVBand="1" w:val="04A0"/>
      </w:tblPr>
      <w:tblGrid>
        <w:gridCol w:w="10166"/>
      </w:tblGrid>
      <w:tr>
        <w:trPr>
          <w:cantSplit/>
        </w:trPr>
        <w:tc>
          <w:tcPr>
            <w:tcW w:type="dxa" w:w="10166"/>
            <w:shd w:fill="E2F0D9"/>
          </w:tcPr>
          <w:p>
            <w:r>
              <w:rPr>
                <w:b/>
                <w:color w:val="17365D"/>
              </w:rPr>
              <w:t>Decision</w:t>
              <w:br/>
            </w:r>
            <w:r>
              <w:t>Proceed to Phase 3 — MedAI Semantic Data Dictionary v1.0. Phase 3 should use Phase 1 sources for clinical definitions and value sets, while using Phase 2/2B to determine how those concepts are represented and annotated in text.</w:t>
            </w:r>
          </w:p>
        </w:tc>
      </w:tr>
    </w:tbl>
    <w:p/>
    <w:p>
      <w:pPr>
        <w:pStyle w:val="Heading1"/>
      </w:pPr>
      <w:r>
        <w:t>9. Companion machine-readable artifacts</w:t>
      </w:r>
    </w:p>
    <w:p>
      <w:pPr>
        <w:pStyle w:val="ListBullet"/>
      </w:pPr>
      <w:r>
        <w:t>ExECTv2_Annotation_Rule_Inventory_v1.0.csv</w:t>
      </w:r>
    </w:p>
    <w:p>
      <w:pPr>
        <w:pStyle w:val="ListBullet"/>
      </w:pPr>
      <w:r>
        <w:t>MedAI_vs_ExECTv2_Field_Crosswalk_v1.0.csv</w:t>
      </w:r>
    </w:p>
    <w:p>
      <w:pPr>
        <w:pStyle w:val="ListBullet"/>
      </w:pPr>
      <w:r>
        <w:t>SZFreqExtract_Attribute_Crosswalk_v1.0.csv</w:t>
      </w:r>
    </w:p>
    <w:p>
      <w:pPr>
        <w:pStyle w:val="Heading1"/>
      </w:pPr>
      <w:r>
        <w:t>10. References</w:t>
      </w:r>
    </w:p>
    <w:p>
      <w:r>
        <w:t>1. Fonferko-Shadrach B. Natural language processing (NLP) for clinical information extraction and healthcare research. Swansea University doctoral thesis, 2022/2023. Appendix B reproduces ExECT v2.1 annotation configuration and guidance. CC BY-NC 4.0.</w:t>
      </w:r>
    </w:p>
    <w:p>
      <w:r>
        <w:t>2. Strafford H, Fonferko-Shadrach B, Jones C, et al. Gold standard annotations for 200 synthetic epilepsy clinic letters in JSON format. Zenodo. DOI 10.5281/zenodo.8356494.</w:t>
      </w:r>
    </w:p>
    <w:p>
      <w:r>
        <w:t>3. Fonferko-Shadrach B, et al. Gold standard annotation of epilepsy clinic letters for the development of information extraction tools. Zenodo. DOI 10.5281/zenodo.8381080.</w:t>
      </w:r>
    </w:p>
    <w:p>
      <w:r>
        <w:t>4. Fonferko-Shadrach B, Strafford H, Jones C, et al. Annotation of epilepsy clinic letters for natural language processing. Journal of Biomedical Semantics. 2024;15:17. DOI 10.1186/s13326-024-00316-z.</w:t>
      </w:r>
    </w:p>
    <w:p>
      <w:r>
        <w:t>5. Abeysinghe R, Tao S, Lhatoo SD, Zhang G-Q, Cui L. Leveraging pretrained language models for seizure frequency extraction from epilepsy evaluation reports. npj Digital Medicine. 2025;8:208. DOI 10.1038/s41746-025-01592-4.</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546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