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7365D"/>
          <w:sz w:val="68"/>
        </w:rPr>
        <w:t>MedAI</w:t>
      </w:r>
    </w:p>
    <w:p>
      <w:pPr>
        <w:jc w:val="center"/>
      </w:pPr>
      <w:r>
        <w:rPr>
          <w:b/>
          <w:color w:val="2F5597"/>
          <w:sz w:val="40"/>
        </w:rPr>
        <w:t>Phase 2 — Published Annotation Resources &amp; Public Dataset Audit</w:t>
      </w:r>
    </w:p>
    <w:p>
      <w:pPr>
        <w:jc w:val="center"/>
      </w:pPr>
      <w:r>
        <w:rPr>
          <w:sz w:val="22"/>
        </w:rPr>
        <w:t>Version 1.0 • 25 September 2026</w:t>
        <w:br/>
        <w:t>Evidence audit for the MedAI Epilepsy Annotation Manual and synthetic-corpus validation design</w:t>
      </w:r>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rPr>
              <w:t>Phase 2 question</w:t>
              <w:br/>
            </w:r>
            <w:r>
              <w:t>Which published epilepsy annotation resources, public/de-identified clinical-text datasets, EEG resources, and annotation precedents can legitimately inform MedAI — and what do they actually support? This audit separates semantic authority, annotation methodology, clinical-language anchoring, external evaluation, and access/licensing.</w:t>
            </w:r>
          </w:p>
        </w:tc>
      </w:tr>
    </w:tbl>
    <w:p/>
    <w:p>
      <w:r>
        <w:br w:type="page"/>
      </w:r>
    </w:p>
    <w:p>
      <w:pPr>
        <w:pStyle w:val="Heading1"/>
      </w:pPr>
      <w:r>
        <w:t>1. Executive decision</w:t>
      </w:r>
    </w:p>
    <w:p>
      <w:r>
        <w:t>Phase 2 supports a layered corpus design, but the resources must remain physically and analytically separate: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4"/>
              </w:rPr>
              <w:t>Corpus</w:t>
            </w:r>
          </w:p>
        </w:tc>
        <w:tc>
          <w:tcPr>
            <w:tcW w:type="dxa" w:w="3389"/>
            <w:shd w:fill="D9EAF7"/>
          </w:tcPr>
          <w:p>
            <w:r>
              <w:rPr>
                <w:b/>
                <w:sz w:val="14"/>
              </w:rPr>
              <w:t>Role</w:t>
            </w:r>
          </w:p>
        </w:tc>
        <w:tc>
          <w:tcPr>
            <w:tcW w:type="dxa" w:w="3389"/>
            <w:shd w:fill="D9EAF7"/>
          </w:tcPr>
          <w:p>
            <w:r>
              <w:rPr>
                <w:b/>
                <w:sz w:val="14"/>
              </w:rPr>
              <w:t>Do not do</w:t>
            </w:r>
          </w:p>
        </w:tc>
      </w:tr>
      <w:tr>
        <w:tc>
          <w:tcPr>
            <w:tcW w:type="dxa" w:w="3389"/>
            <w:vAlign w:val="top"/>
          </w:tcPr>
          <w:p>
            <w:pPr>
              <w:spacing w:after="0"/>
            </w:pPr>
            <w:r>
              <w:rPr>
                <w:sz w:val="14"/>
              </w:rPr>
              <w:t>A — Published external validation</w:t>
            </w:r>
          </w:p>
        </w:tc>
        <w:tc>
          <w:tcPr>
            <w:tcW w:type="dxa" w:w="3389"/>
            <w:vAlign w:val="top"/>
          </w:tcPr>
          <w:p>
            <w:pPr>
              <w:spacing w:after="0"/>
            </w:pPr>
            <w:r>
              <w:rPr>
                <w:sz w:val="14"/>
              </w:rPr>
              <w:t>Use public/de-identified published resources with their original labels and documented splits.</w:t>
            </w:r>
          </w:p>
        </w:tc>
        <w:tc>
          <w:tcPr>
            <w:tcW w:type="dxa" w:w="3389"/>
            <w:vAlign w:val="top"/>
          </w:tcPr>
          <w:p>
            <w:pPr>
              <w:spacing w:after="0"/>
            </w:pPr>
            <w:r>
              <w:rPr>
                <w:sz w:val="14"/>
              </w:rPr>
              <w:t>Do not relabel the source corpus in place or call it MedAI-generated truth.</w:t>
            </w:r>
          </w:p>
        </w:tc>
      </w:tr>
      <w:tr>
        <w:tc>
          <w:tcPr>
            <w:tcW w:type="dxa" w:w="3389"/>
            <w:vAlign w:val="top"/>
          </w:tcPr>
          <w:p>
            <w:pPr>
              <w:spacing w:after="0"/>
            </w:pPr>
            <w:r>
              <w:rPr>
                <w:sz w:val="14"/>
              </w:rPr>
              <w:t>B — MedAI-EpiSynth</w:t>
            </w:r>
          </w:p>
        </w:tc>
        <w:tc>
          <w:tcPr>
            <w:tcW w:type="dxa" w:w="3389"/>
            <w:vAlign w:val="top"/>
          </w:tcPr>
          <w:p>
            <w:pPr>
              <w:spacing w:after="0"/>
            </w:pPr>
            <w:r>
              <w:rPr>
                <w:sz w:val="14"/>
              </w:rPr>
              <w:t>Generate new patients from standards-backed latent truth, then render documents with multiple independent generators.</w:t>
            </w:r>
          </w:p>
        </w:tc>
        <w:tc>
          <w:tcPr>
            <w:tcW w:type="dxa" w:w="3389"/>
            <w:vAlign w:val="top"/>
          </w:tcPr>
          <w:p>
            <w:pPr>
              <w:spacing w:after="0"/>
            </w:pPr>
            <w:r>
              <w:rPr>
                <w:sz w:val="14"/>
              </w:rPr>
              <w:t>Do not let an LLM invent the latent clinical truth.</w:t>
            </w:r>
          </w:p>
        </w:tc>
      </w:tr>
      <w:tr>
        <w:tc>
          <w:tcPr>
            <w:tcW w:type="dxa" w:w="3389"/>
            <w:vAlign w:val="top"/>
          </w:tcPr>
          <w:p>
            <w:pPr>
              <w:spacing w:after="0"/>
            </w:pPr>
            <w:r>
              <w:rPr>
                <w:sz w:val="14"/>
              </w:rPr>
              <w:t>C — Clinician validation subset</w:t>
            </w:r>
          </w:p>
        </w:tc>
        <w:tc>
          <w:tcPr>
            <w:tcW w:type="dxa" w:w="3389"/>
            <w:vAlign w:val="top"/>
          </w:tcPr>
          <w:p>
            <w:pPr>
              <w:spacing w:after="0"/>
            </w:pPr>
            <w:r>
              <w:rPr>
                <w:sz w:val="14"/>
              </w:rPr>
              <w:t>Blind independent annotation of a stratified subset of MedAI-EpiSynth, followed by adjudication.</w:t>
            </w:r>
          </w:p>
        </w:tc>
        <w:tc>
          <w:tcPr>
            <w:tcW w:type="dxa" w:w="3389"/>
            <w:vAlign w:val="top"/>
          </w:tcPr>
          <w:p>
            <w:pPr>
              <w:spacing w:after="0"/>
            </w:pPr>
            <w:r>
              <w:rPr>
                <w:sz w:val="14"/>
              </w:rPr>
              <w:t>Do not call automatically projected latent labels 'clinician-validated gold'.</w:t>
            </w:r>
          </w:p>
        </w:tc>
      </w:tr>
    </w:tbl>
    <w:p/>
    <w:tbl>
      <w:tblPr>
        <w:tblStyle w:val="TableGrid"/>
        <w:tblW w:type="auto" w:w="0"/>
        <w:tblLook w:firstColumn="1" w:firstRow="1" w:lastColumn="0" w:lastRow="0" w:noHBand="0" w:noVBand="1" w:val="04A0"/>
      </w:tblPr>
      <w:tblGrid>
        <w:gridCol w:w="10166"/>
      </w:tblGrid>
      <w:tr>
        <w:tc>
          <w:tcPr>
            <w:tcW w:type="dxa" w:w="10166"/>
            <w:shd w:fill="FFF2CC"/>
          </w:tcPr>
          <w:p>
            <w:r>
              <w:rPr>
                <w:b/>
                <w:color w:val="17365D"/>
              </w:rPr>
              <w:t>Canonical taxonomy decision</w:t>
              <w:br/>
            </w:r>
            <w:r>
              <w:t>New MedAI synthetic truth should target the current ILAE 2025 seizure framework. Older published corpora and annotation systems retain their original terminology; compatibility is handled by a versioned 2017↔2025 mapping layer, never by silently rewriting source labels.</w:t>
            </w:r>
          </w:p>
        </w:tc>
      </w:tr>
    </w:tbl>
    <w:p/>
    <w:p>
      <w:pPr>
        <w:pStyle w:val="Heading1"/>
      </w:pPr>
      <w:r>
        <w:t>2. Audit method and evidence classes</w:t>
      </w:r>
    </w:p>
    <w:p>
      <w:pPr>
        <w:pStyle w:val="ListBullet"/>
      </w:pPr>
      <w:r>
        <w:t>Primary claims were checked against peer-reviewed articles, official dataset/project pages, or repository/data-availability statements.</w:t>
      </w:r>
    </w:p>
    <w:p>
      <w:pPr>
        <w:pStyle w:val="ListBullet"/>
      </w:pPr>
      <w:r>
        <w:t>A resource was not classified as a public benchmark merely because its paper is open access.</w:t>
      </w:r>
    </w:p>
    <w:p>
      <w:pPr>
        <w:pStyle w:val="ListBullet"/>
      </w:pPr>
      <w:r>
        <w:t>Dataset accessibility, report availability, annotation granularity and redistribution are separate questions.</w:t>
      </w:r>
    </w:p>
    <w:p>
      <w:pPr>
        <w:pStyle w:val="ListBullet"/>
      </w:pPr>
      <w:r>
        <w:t>Where artifact-level licensing could not be verified, the status remains pending rather than inferred.</w:t>
      </w:r>
    </w:p>
    <w:p>
      <w:pPr>
        <w:pStyle w:val="ListBullet"/>
      </w:pPr>
      <w:r>
        <w:t>Phase 2 does not yet import or redistribute any third-party corpus.</w:t>
      </w:r>
    </w:p>
    <w:p>
      <w:pPr>
        <w:pStyle w:val="Heading1"/>
      </w:pPr>
      <w:r>
        <w:t>3. Resource audit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sz w:val="14"/>
              </w:rPr>
              <w:t>ID</w:t>
            </w:r>
          </w:p>
        </w:tc>
        <w:tc>
          <w:tcPr>
            <w:tcW w:type="dxa" w:w="2541"/>
            <w:shd w:fill="D9EAF7"/>
          </w:tcPr>
          <w:p>
            <w:r>
              <w:rPr>
                <w:b/>
                <w:sz w:val="14"/>
              </w:rPr>
              <w:t>Resource</w:t>
            </w:r>
          </w:p>
        </w:tc>
        <w:tc>
          <w:tcPr>
            <w:tcW w:type="dxa" w:w="2541"/>
            <w:shd w:fill="D9EAF7"/>
          </w:tcPr>
          <w:p>
            <w:r>
              <w:rPr>
                <w:b/>
                <w:sz w:val="14"/>
              </w:rPr>
              <w:t>Evidence type</w:t>
            </w:r>
          </w:p>
        </w:tc>
        <w:tc>
          <w:tcPr>
            <w:tcW w:type="dxa" w:w="2541"/>
            <w:shd w:fill="D9EAF7"/>
          </w:tcPr>
          <w:p>
            <w:r>
              <w:rPr>
                <w:b/>
                <w:sz w:val="14"/>
              </w:rPr>
              <w:t>Decision</w:t>
            </w:r>
          </w:p>
        </w:tc>
      </w:tr>
      <w:tr>
        <w:tc>
          <w:tcPr>
            <w:tcW w:type="dxa" w:w="2541"/>
            <w:vAlign w:val="top"/>
          </w:tcPr>
          <w:p>
            <w:pPr>
              <w:spacing w:after="0"/>
            </w:pPr>
            <w:r>
              <w:rPr>
                <w:sz w:val="13"/>
              </w:rPr>
              <w:t>P2-R01</w:t>
            </w:r>
          </w:p>
        </w:tc>
        <w:tc>
          <w:tcPr>
            <w:tcW w:type="dxa" w:w="2541"/>
            <w:vAlign w:val="top"/>
          </w:tcPr>
          <w:p>
            <w:pPr>
              <w:spacing w:after="0"/>
            </w:pPr>
            <w:r>
              <w:rPr>
                <w:sz w:val="13"/>
              </w:rPr>
              <w:t>Fonferko-Shadrach et al. 2024 / ExECTv2 synthetic epilepsy clinic-letter resource</w:t>
            </w:r>
          </w:p>
        </w:tc>
        <w:tc>
          <w:tcPr>
            <w:tcW w:type="dxa" w:w="2541"/>
            <w:vAlign w:val="top"/>
          </w:tcPr>
          <w:p>
            <w:pPr>
              <w:spacing w:after="0"/>
            </w:pPr>
            <w:r>
              <w:rPr>
                <w:sz w:val="13"/>
              </w:rPr>
              <w:t>Published synthetic clinical text + annotation guidelines + adjudicated gold annotations</w:t>
            </w:r>
          </w:p>
        </w:tc>
        <w:tc>
          <w:tcPr>
            <w:tcW w:type="dxa" w:w="2541"/>
            <w:vAlign w:val="top"/>
          </w:tcPr>
          <w:p>
            <w:pPr>
              <w:spacing w:after="0"/>
            </w:pPr>
            <w:r>
              <w:rPr>
                <w:sz w:val="13"/>
              </w:rPr>
              <w:t>INCLUDE — core Phase 2 resource</w:t>
            </w:r>
          </w:p>
        </w:tc>
      </w:tr>
      <w:tr>
        <w:tc>
          <w:tcPr>
            <w:tcW w:type="dxa" w:w="2541"/>
            <w:vAlign w:val="top"/>
          </w:tcPr>
          <w:p>
            <w:pPr>
              <w:spacing w:after="0"/>
            </w:pPr>
            <w:r>
              <w:rPr>
                <w:sz w:val="13"/>
              </w:rPr>
              <w:t>P2-R02</w:t>
            </w:r>
          </w:p>
        </w:tc>
        <w:tc>
          <w:tcPr>
            <w:tcW w:type="dxa" w:w="2541"/>
            <w:vAlign w:val="top"/>
          </w:tcPr>
          <w:p>
            <w:pPr>
              <w:spacing w:after="0"/>
            </w:pPr>
            <w:r>
              <w:rPr>
                <w:sz w:val="13"/>
              </w:rPr>
              <w:t>Fonferko-Shadrach et al. 2019 ExECT</w:t>
            </w:r>
          </w:p>
        </w:tc>
        <w:tc>
          <w:tcPr>
            <w:tcW w:type="dxa" w:w="2541"/>
            <w:vAlign w:val="top"/>
          </w:tcPr>
          <w:p>
            <w:pPr>
              <w:spacing w:after="0"/>
            </w:pPr>
            <w:r>
              <w:rPr>
                <w:sz w:val="13"/>
              </w:rPr>
              <w:t>Real de-identified/pseudonymised epilepsy clinic letters + clinician manual review</w:t>
            </w:r>
          </w:p>
        </w:tc>
        <w:tc>
          <w:tcPr>
            <w:tcW w:type="dxa" w:w="2541"/>
            <w:vAlign w:val="top"/>
          </w:tcPr>
          <w:p>
            <w:pPr>
              <w:spacing w:after="0"/>
            </w:pPr>
            <w:r>
              <w:rPr>
                <w:sz w:val="13"/>
              </w:rPr>
              <w:t>INCLUDE AS METHOD; EXCLUDE AS PUBLIC CORPUS FOR NOW</w:t>
            </w:r>
          </w:p>
        </w:tc>
      </w:tr>
      <w:tr>
        <w:tc>
          <w:tcPr>
            <w:tcW w:type="dxa" w:w="2541"/>
            <w:vAlign w:val="top"/>
          </w:tcPr>
          <w:p>
            <w:pPr>
              <w:spacing w:after="0"/>
            </w:pPr>
            <w:r>
              <w:rPr>
                <w:sz w:val="13"/>
              </w:rPr>
              <w:t>P2-R03</w:t>
            </w:r>
          </w:p>
        </w:tc>
        <w:tc>
          <w:tcPr>
            <w:tcW w:type="dxa" w:w="2541"/>
            <w:vAlign w:val="top"/>
          </w:tcPr>
          <w:p>
            <w:pPr>
              <w:spacing w:after="0"/>
            </w:pPr>
            <w:r>
              <w:rPr>
                <w:sz w:val="13"/>
              </w:rPr>
              <w:t>Abeysinghe et al. 2025 / SZFreqExtract</w:t>
            </w:r>
          </w:p>
        </w:tc>
        <w:tc>
          <w:tcPr>
            <w:tcW w:type="dxa" w:w="2541"/>
            <w:vAlign w:val="top"/>
          </w:tcPr>
          <w:p>
            <w:pPr>
              <w:spacing w:after="0"/>
            </w:pPr>
            <w:r>
              <w:rPr>
                <w:sz w:val="13"/>
              </w:rPr>
              <w:t>Real de-identified clinical text segments + manual annotations + public code/data</w:t>
            </w:r>
          </w:p>
        </w:tc>
        <w:tc>
          <w:tcPr>
            <w:tcW w:type="dxa" w:w="2541"/>
            <w:vAlign w:val="top"/>
          </w:tcPr>
          <w:p>
            <w:pPr>
              <w:spacing w:after="0"/>
            </w:pPr>
            <w:r>
              <w:rPr>
                <w:sz w:val="13"/>
              </w:rPr>
              <w:t>INCLUDE — field-specific real-data anchor</w:t>
            </w:r>
          </w:p>
        </w:tc>
      </w:tr>
      <w:tr>
        <w:tc>
          <w:tcPr>
            <w:tcW w:type="dxa" w:w="2541"/>
            <w:vAlign w:val="top"/>
          </w:tcPr>
          <w:p>
            <w:pPr>
              <w:spacing w:after="0"/>
            </w:pPr>
            <w:r>
              <w:rPr>
                <w:sz w:val="13"/>
              </w:rPr>
              <w:t>P2-R04</w:t>
            </w:r>
          </w:p>
        </w:tc>
        <w:tc>
          <w:tcPr>
            <w:tcW w:type="dxa" w:w="2541"/>
            <w:vAlign w:val="top"/>
          </w:tcPr>
          <w:p>
            <w:pPr>
              <w:spacing w:after="0"/>
            </w:pPr>
            <w:r>
              <w:rPr>
                <w:sz w:val="13"/>
              </w:rPr>
              <w:t>EpiDEA / EpSO discharge-summary evaluation (Sahoo et al. 2013)</w:t>
            </w:r>
          </w:p>
        </w:tc>
        <w:tc>
          <w:tcPr>
            <w:tcW w:type="dxa" w:w="2541"/>
            <w:vAlign w:val="top"/>
          </w:tcPr>
          <w:p>
            <w:pPr>
              <w:spacing w:after="0"/>
            </w:pPr>
            <w:r>
              <w:rPr>
                <w:sz w:val="13"/>
              </w:rPr>
              <w:t>Real EMU discharge summaries + clinician-created gold standard; ontology-driven NLP</w:t>
            </w:r>
          </w:p>
        </w:tc>
        <w:tc>
          <w:tcPr>
            <w:tcW w:type="dxa" w:w="2541"/>
            <w:vAlign w:val="top"/>
          </w:tcPr>
          <w:p>
            <w:pPr>
              <w:spacing w:after="0"/>
            </w:pPr>
            <w:r>
              <w:rPr>
                <w:sz w:val="13"/>
              </w:rPr>
              <w:t>INCLUDE AS METHOD; NOT PUBLIC CORPUS</w:t>
            </w:r>
          </w:p>
        </w:tc>
      </w:tr>
      <w:tr>
        <w:tc>
          <w:tcPr>
            <w:tcW w:type="dxa" w:w="2541"/>
            <w:vAlign w:val="top"/>
          </w:tcPr>
          <w:p>
            <w:pPr>
              <w:spacing w:after="0"/>
            </w:pPr>
            <w:r>
              <w:rPr>
                <w:sz w:val="13"/>
              </w:rPr>
              <w:t>P2-R05</w:t>
            </w:r>
          </w:p>
        </w:tc>
        <w:tc>
          <w:tcPr>
            <w:tcW w:type="dxa" w:w="2541"/>
            <w:vAlign w:val="top"/>
          </w:tcPr>
          <w:p>
            <w:pPr>
              <w:spacing w:after="0"/>
            </w:pPr>
            <w:r>
              <w:rPr>
                <w:sz w:val="13"/>
              </w:rPr>
              <w:t>Temple University Hospital EEG Corpus family (TUEG/TUSZ/TUAB)</w:t>
            </w:r>
          </w:p>
        </w:tc>
        <w:tc>
          <w:tcPr>
            <w:tcW w:type="dxa" w:w="2541"/>
            <w:vAlign w:val="top"/>
          </w:tcPr>
          <w:p>
            <w:pPr>
              <w:spacing w:after="0"/>
            </w:pPr>
            <w:r>
              <w:rPr>
                <w:sz w:val="13"/>
              </w:rPr>
              <w:t>Clinical EEG signals + annotations; historically paired clinician reports</w:t>
            </w:r>
          </w:p>
        </w:tc>
        <w:tc>
          <w:tcPr>
            <w:tcW w:type="dxa" w:w="2541"/>
            <w:vAlign w:val="top"/>
          </w:tcPr>
          <w:p>
            <w:pPr>
              <w:spacing w:after="0"/>
            </w:pPr>
            <w:r>
              <w:rPr>
                <w:sz w:val="13"/>
              </w:rPr>
              <w:t>CONDITIONAL — EEG module only; exclude report text from current corpus plan</w:t>
            </w:r>
          </w:p>
        </w:tc>
      </w:tr>
      <w:tr>
        <w:tc>
          <w:tcPr>
            <w:tcW w:type="dxa" w:w="2541"/>
            <w:vAlign w:val="top"/>
          </w:tcPr>
          <w:p>
            <w:pPr>
              <w:spacing w:after="0"/>
            </w:pPr>
            <w:r>
              <w:rPr>
                <w:sz w:val="13"/>
              </w:rPr>
              <w:t>P2-R06</w:t>
            </w:r>
          </w:p>
        </w:tc>
        <w:tc>
          <w:tcPr>
            <w:tcW w:type="dxa" w:w="2541"/>
            <w:vAlign w:val="top"/>
          </w:tcPr>
          <w:p>
            <w:pPr>
              <w:spacing w:after="0"/>
            </w:pPr>
            <w:r>
              <w:rPr>
                <w:sz w:val="13"/>
              </w:rPr>
              <w:t>Synthetic clinical-note utility precedent (Wang et al. 2021)</w:t>
            </w:r>
          </w:p>
        </w:tc>
        <w:tc>
          <w:tcPr>
            <w:tcW w:type="dxa" w:w="2541"/>
            <w:vAlign w:val="top"/>
          </w:tcPr>
          <w:p>
            <w:pPr>
              <w:spacing w:after="0"/>
            </w:pPr>
            <w:r>
              <w:rPr>
                <w:sz w:val="13"/>
              </w:rPr>
              <w:t>Synthetic clinical text methodology precedent outside epilepsy</w:t>
            </w:r>
          </w:p>
        </w:tc>
        <w:tc>
          <w:tcPr>
            <w:tcW w:type="dxa" w:w="2541"/>
            <w:vAlign w:val="top"/>
          </w:tcPr>
          <w:p>
            <w:pPr>
              <w:spacing w:after="0"/>
            </w:pPr>
            <w:r>
              <w:rPr>
                <w:sz w:val="13"/>
              </w:rPr>
              <w:t>INCLUDE AS METHODOLOGY PRECEDENT</w:t>
            </w:r>
          </w:p>
        </w:tc>
      </w:tr>
    </w:tbl>
    <w:p/>
    <w:p>
      <w:pPr>
        <w:pStyle w:val="Heading2"/>
      </w:pPr>
      <w:r>
        <w:t>P2-R01 — Fonferko-Shadrach et al. 2024 / ExECTv2 synthetic epilepsy clinic-letter resource</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5"/>
              </w:rPr>
              <w:t>Audit field</w:t>
            </w:r>
          </w:p>
        </w:tc>
        <w:tc>
          <w:tcPr>
            <w:tcW w:type="dxa" w:w="5083"/>
            <w:shd w:fill="D9EAF7"/>
          </w:tcPr>
          <w:p>
            <w:r>
              <w:rPr>
                <w:b/>
                <w:sz w:val="15"/>
              </w:rPr>
              <w:t>Finding</w:t>
            </w:r>
          </w:p>
        </w:tc>
      </w:tr>
      <w:tr>
        <w:tc>
          <w:tcPr>
            <w:tcW w:type="dxa" w:w="5083"/>
            <w:vAlign w:val="top"/>
          </w:tcPr>
          <w:p>
            <w:pPr>
              <w:spacing w:after="0"/>
            </w:pPr>
            <w:r>
              <w:rPr>
                <w:sz w:val="14"/>
              </w:rPr>
              <w:t>Population / documents</w:t>
            </w:r>
          </w:p>
        </w:tc>
        <w:tc>
          <w:tcPr>
            <w:tcW w:type="dxa" w:w="5083"/>
            <w:vAlign w:val="top"/>
          </w:tcPr>
          <w:p>
            <w:pPr>
              <w:spacing w:after="0"/>
            </w:pPr>
            <w:r>
              <w:rPr>
                <w:sz w:val="14"/>
              </w:rPr>
              <w:t>200 synthetic outpatient epilepsy clinic letters, written to represent specialist consultations</w:t>
            </w:r>
          </w:p>
        </w:tc>
      </w:tr>
      <w:tr>
        <w:tc>
          <w:tcPr>
            <w:tcW w:type="dxa" w:w="5083"/>
            <w:vAlign w:val="top"/>
          </w:tcPr>
          <w:p>
            <w:pPr>
              <w:spacing w:after="0"/>
            </w:pPr>
            <w:r>
              <w:rPr>
                <w:sz w:val="14"/>
              </w:rPr>
              <w:t>Annotation process</w:t>
            </w:r>
          </w:p>
        </w:tc>
        <w:tc>
          <w:tcPr>
            <w:tcW w:type="dxa" w:w="5083"/>
            <w:vAlign w:val="top"/>
          </w:tcPr>
          <w:p>
            <w:pPr>
              <w:spacing w:after="0"/>
            </w:pPr>
            <w:r>
              <w:rPr>
                <w:sz w:val="14"/>
              </w:rPr>
              <w:t>Double annotation by trained researchers/clinicians under agreed guidelines; all annotations reviewed and final gold agreed by research team. UMLS-based concept list used in Markup.</w:t>
            </w:r>
          </w:p>
        </w:tc>
      </w:tr>
      <w:tr>
        <w:tc>
          <w:tcPr>
            <w:tcW w:type="dxa" w:w="5083"/>
            <w:vAlign w:val="top"/>
          </w:tcPr>
          <w:p>
            <w:pPr>
              <w:spacing w:after="0"/>
            </w:pPr>
            <w:r>
              <w:rPr>
                <w:sz w:val="14"/>
              </w:rPr>
              <w:t>Phenotype coverage</w:t>
            </w:r>
          </w:p>
        </w:tc>
        <w:tc>
          <w:tcPr>
            <w:tcW w:type="dxa" w:w="5083"/>
            <w:vAlign w:val="top"/>
          </w:tcPr>
          <w:p>
            <w:pPr>
              <w:spacing w:after="0"/>
            </w:pPr>
            <w:r>
              <w:rPr>
                <w:sz w:val="14"/>
              </w:rPr>
              <w:t>Diagnosis; seizure frequency; prescriptions; investigations; patient history; epilepsy cause; onset; when diagnosed; birth history; plus annotation attributes described in guidelines.</w:t>
            </w:r>
          </w:p>
        </w:tc>
      </w:tr>
      <w:tr>
        <w:tc>
          <w:tcPr>
            <w:tcW w:type="dxa" w:w="5083"/>
            <w:vAlign w:val="top"/>
          </w:tcPr>
          <w:p>
            <w:pPr>
              <w:spacing w:after="0"/>
            </w:pPr>
            <w:r>
              <w:rPr>
                <w:sz w:val="14"/>
              </w:rPr>
              <w:t>Published metrics</w:t>
            </w:r>
          </w:p>
        </w:tc>
        <w:tc>
          <w:tcPr>
            <w:tcW w:type="dxa" w:w="5083"/>
            <w:vAlign w:val="top"/>
          </w:tcPr>
          <w:p>
            <w:pPr>
              <w:spacing w:after="0"/>
            </w:pPr>
            <w:r>
              <w:rPr>
                <w:sz w:val="14"/>
              </w:rPr>
              <w:t>Human inter-annotator overall F1 0.73. ExECTv2 vs gold: per-item F1 0.87; per-letter F1 0.90. Seizure Frequency was among the hardest entities.</w:t>
            </w:r>
          </w:p>
        </w:tc>
      </w:tr>
      <w:tr>
        <w:tc>
          <w:tcPr>
            <w:tcW w:type="dxa" w:w="5083"/>
            <w:vAlign w:val="top"/>
          </w:tcPr>
          <w:p>
            <w:pPr>
              <w:spacing w:after="0"/>
            </w:pPr>
            <w:r>
              <w:rPr>
                <w:sz w:val="14"/>
              </w:rPr>
              <w:t>Availability</w:t>
            </w:r>
          </w:p>
        </w:tc>
        <w:tc>
          <w:tcPr>
            <w:tcW w:type="dxa" w:w="5083"/>
            <w:vAlign w:val="top"/>
          </w:tcPr>
          <w:p>
            <w:pPr>
              <w:spacing w:after="0"/>
            </w:pPr>
            <w:r>
              <w:rPr>
                <w:sz w:val="14"/>
              </w:rPr>
              <w:t>Letters: Zenodo 8381080; gold JSON: 8356494; guidelines: 8382589; human markup CSV: 12520180.</w:t>
            </w:r>
          </w:p>
        </w:tc>
      </w:tr>
      <w:tr>
        <w:tc>
          <w:tcPr>
            <w:tcW w:type="dxa" w:w="5083"/>
            <w:vAlign w:val="top"/>
          </w:tcPr>
          <w:p>
            <w:pPr>
              <w:spacing w:after="0"/>
            </w:pPr>
            <w:r>
              <w:rPr>
                <w:sz w:val="14"/>
              </w:rPr>
              <w:t>License/access conclusion</w:t>
            </w:r>
          </w:p>
        </w:tc>
        <w:tc>
          <w:tcPr>
            <w:tcW w:type="dxa" w:w="5083"/>
            <w:vAlign w:val="top"/>
          </w:tcPr>
          <w:p>
            <w:pPr>
              <w:spacing w:after="0"/>
            </w:pPr>
            <w:r>
              <w:rPr>
                <w:sz w:val="14"/>
              </w:rPr>
              <w:t>Article is open access. Dataset/guideline artifact-level license must be recorded directly from each Zenodo record before redistribution; do not infer one license for all artifacts.</w:t>
            </w:r>
          </w:p>
        </w:tc>
      </w:tr>
      <w:tr>
        <w:tc>
          <w:tcPr>
            <w:tcW w:type="dxa" w:w="5083"/>
            <w:vAlign w:val="top"/>
          </w:tcPr>
          <w:p>
            <w:pPr>
              <w:spacing w:after="0"/>
            </w:pPr>
            <w:r>
              <w:rPr>
                <w:sz w:val="14"/>
              </w:rPr>
              <w:t>MedAI role</w:t>
            </w:r>
          </w:p>
        </w:tc>
        <w:tc>
          <w:tcPr>
            <w:tcW w:type="dxa" w:w="5083"/>
            <w:vAlign w:val="top"/>
          </w:tcPr>
          <w:p>
            <w:pPr>
              <w:spacing w:after="0"/>
            </w:pPr>
            <w:r>
              <w:rPr>
                <w:sz w:val="14"/>
              </w:rPr>
              <w:t>PRIMARY annotation-methodology parent; external synthetic benchmark; source for span/negation/certainty/adjudication practices after manual-level extraction.</w:t>
            </w:r>
          </w:p>
        </w:tc>
      </w:tr>
      <w:tr>
        <w:tc>
          <w:tcPr>
            <w:tcW w:type="dxa" w:w="5083"/>
            <w:vAlign w:val="top"/>
          </w:tcPr>
          <w:p>
            <w:pPr>
              <w:spacing w:after="0"/>
            </w:pPr>
            <w:r>
              <w:rPr>
                <w:sz w:val="14"/>
              </w:rPr>
              <w:t>Decision</w:t>
            </w:r>
          </w:p>
        </w:tc>
        <w:tc>
          <w:tcPr>
            <w:tcW w:type="dxa" w:w="5083"/>
            <w:vAlign w:val="top"/>
          </w:tcPr>
          <w:p>
            <w:pPr>
              <w:spacing w:after="0"/>
            </w:pPr>
            <w:r>
              <w:rPr>
                <w:sz w:val="14"/>
              </w:rPr>
              <w:t>INCLUDE — core Phase 2 resource</w:t>
            </w:r>
          </w:p>
        </w:tc>
      </w:tr>
    </w:tbl>
    <w:p/>
    <w:p>
      <w:pPr>
        <w:pStyle w:val="Heading2"/>
      </w:pPr>
      <w:r>
        <w:t>P2-R02 — Fonferko-Shadrach et al. 2019 ExECT</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5"/>
              </w:rPr>
              <w:t>Audit field</w:t>
            </w:r>
          </w:p>
        </w:tc>
        <w:tc>
          <w:tcPr>
            <w:tcW w:type="dxa" w:w="5083"/>
            <w:shd w:fill="D9EAF7"/>
          </w:tcPr>
          <w:p>
            <w:r>
              <w:rPr>
                <w:b/>
                <w:sz w:val="15"/>
              </w:rPr>
              <w:t>Finding</w:t>
            </w:r>
          </w:p>
        </w:tc>
      </w:tr>
      <w:tr>
        <w:tc>
          <w:tcPr>
            <w:tcW w:type="dxa" w:w="5083"/>
            <w:vAlign w:val="top"/>
          </w:tcPr>
          <w:p>
            <w:pPr>
              <w:spacing w:after="0"/>
            </w:pPr>
            <w:r>
              <w:rPr>
                <w:sz w:val="14"/>
              </w:rPr>
              <w:t>Population / documents</w:t>
            </w:r>
          </w:p>
        </w:tc>
        <w:tc>
          <w:tcPr>
            <w:tcW w:type="dxa" w:w="5083"/>
            <w:vAlign w:val="top"/>
          </w:tcPr>
          <w:p>
            <w:pPr>
              <w:spacing w:after="0"/>
            </w:pPr>
            <w:r>
              <w:rPr>
                <w:sz w:val="14"/>
              </w:rPr>
              <w:t>200 clinic letters from a Welsh health board epilepsy service</w:t>
            </w:r>
          </w:p>
        </w:tc>
      </w:tr>
      <w:tr>
        <w:tc>
          <w:tcPr>
            <w:tcW w:type="dxa" w:w="5083"/>
            <w:vAlign w:val="top"/>
          </w:tcPr>
          <w:p>
            <w:pPr>
              <w:spacing w:after="0"/>
            </w:pPr>
            <w:r>
              <w:rPr>
                <w:sz w:val="14"/>
              </w:rPr>
              <w:t>Annotation process</w:t>
            </w:r>
          </w:p>
        </w:tc>
        <w:tc>
          <w:tcPr>
            <w:tcW w:type="dxa" w:w="5083"/>
            <w:vAlign w:val="top"/>
          </w:tcPr>
          <w:p>
            <w:pPr>
              <w:spacing w:after="0"/>
            </w:pPr>
            <w:r>
              <w:rPr>
                <w:sz w:val="14"/>
              </w:rPr>
              <w:t>Manual clinician review used as reference for nine categories plus clinic date/date of birth; original ExECT combines rule-based/statistical NLP.</w:t>
            </w:r>
          </w:p>
        </w:tc>
      </w:tr>
      <w:tr>
        <w:tc>
          <w:tcPr>
            <w:tcW w:type="dxa" w:w="5083"/>
            <w:vAlign w:val="top"/>
          </w:tcPr>
          <w:p>
            <w:pPr>
              <w:spacing w:after="0"/>
            </w:pPr>
            <w:r>
              <w:rPr>
                <w:sz w:val="14"/>
              </w:rPr>
              <w:t>Phenotype coverage</w:t>
            </w:r>
          </w:p>
        </w:tc>
        <w:tc>
          <w:tcPr>
            <w:tcW w:type="dxa" w:w="5083"/>
            <w:vAlign w:val="top"/>
          </w:tcPr>
          <w:p>
            <w:pPr>
              <w:spacing w:after="0"/>
            </w:pPr>
            <w:r>
              <w:rPr>
                <w:sz w:val="14"/>
              </w:rPr>
              <w:t>Epilepsy-specific structured information from clinic letters; useful historical predecessor for ExECTv2 and real-text performance.</w:t>
            </w:r>
          </w:p>
        </w:tc>
      </w:tr>
      <w:tr>
        <w:tc>
          <w:tcPr>
            <w:tcW w:type="dxa" w:w="5083"/>
            <w:vAlign w:val="top"/>
          </w:tcPr>
          <w:p>
            <w:pPr>
              <w:spacing w:after="0"/>
            </w:pPr>
            <w:r>
              <w:rPr>
                <w:sz w:val="14"/>
              </w:rPr>
              <w:t>Published metrics</w:t>
            </w:r>
          </w:p>
        </w:tc>
        <w:tc>
          <w:tcPr>
            <w:tcW w:type="dxa" w:w="5083"/>
            <w:vAlign w:val="top"/>
          </w:tcPr>
          <w:p>
            <w:pPr>
              <w:spacing w:after="0"/>
            </w:pPr>
            <w:r>
              <w:rPr>
                <w:sz w:val="14"/>
              </w:rPr>
              <w:t>1,925 information items; overall precision 91.4%, recall 81.4%, F1 86.1%.</w:t>
            </w:r>
          </w:p>
        </w:tc>
      </w:tr>
      <w:tr>
        <w:tc>
          <w:tcPr>
            <w:tcW w:type="dxa" w:w="5083"/>
            <w:vAlign w:val="top"/>
          </w:tcPr>
          <w:p>
            <w:pPr>
              <w:spacing w:after="0"/>
            </w:pPr>
            <w:r>
              <w:rPr>
                <w:sz w:val="14"/>
              </w:rPr>
              <w:t>Availability</w:t>
            </w:r>
          </w:p>
        </w:tc>
        <w:tc>
          <w:tcPr>
            <w:tcW w:type="dxa" w:w="5083"/>
            <w:vAlign w:val="top"/>
          </w:tcPr>
          <w:p>
            <w:pPr>
              <w:spacing w:after="0"/>
            </w:pPr>
            <w:r>
              <w:rPr>
                <w:sz w:val="14"/>
              </w:rPr>
              <w:t>Paper is public; underlying real letters are not identified here as an open redistributable corpus.</w:t>
            </w:r>
          </w:p>
        </w:tc>
      </w:tr>
      <w:tr>
        <w:tc>
          <w:tcPr>
            <w:tcW w:type="dxa" w:w="5083"/>
            <w:vAlign w:val="top"/>
          </w:tcPr>
          <w:p>
            <w:pPr>
              <w:spacing w:after="0"/>
            </w:pPr>
            <w:r>
              <w:rPr>
                <w:sz w:val="14"/>
              </w:rPr>
              <w:t>License/access conclusion</w:t>
            </w:r>
          </w:p>
        </w:tc>
        <w:tc>
          <w:tcPr>
            <w:tcW w:type="dxa" w:w="5083"/>
            <w:vAlign w:val="top"/>
          </w:tcPr>
          <w:p>
            <w:pPr>
              <w:spacing w:after="0"/>
            </w:pPr>
            <w:r>
              <w:rPr>
                <w:sz w:val="14"/>
              </w:rPr>
              <w:t>Do not treat source letters as public data without a separate data-access statement/license.</w:t>
            </w:r>
          </w:p>
        </w:tc>
      </w:tr>
      <w:tr>
        <w:tc>
          <w:tcPr>
            <w:tcW w:type="dxa" w:w="5083"/>
            <w:vAlign w:val="top"/>
          </w:tcPr>
          <w:p>
            <w:pPr>
              <w:spacing w:after="0"/>
            </w:pPr>
            <w:r>
              <w:rPr>
                <w:sz w:val="14"/>
              </w:rPr>
              <w:t>MedAI role</w:t>
            </w:r>
          </w:p>
        </w:tc>
        <w:tc>
          <w:tcPr>
            <w:tcW w:type="dxa" w:w="5083"/>
            <w:vAlign w:val="top"/>
          </w:tcPr>
          <w:p>
            <w:pPr>
              <w:spacing w:after="0"/>
            </w:pPr>
            <w:r>
              <w:rPr>
                <w:sz w:val="14"/>
              </w:rPr>
              <w:t>METHODOLOGY/REALISM precedent, not a downloadable external benchmark unless access is separately established.</w:t>
            </w:r>
          </w:p>
        </w:tc>
      </w:tr>
      <w:tr>
        <w:tc>
          <w:tcPr>
            <w:tcW w:type="dxa" w:w="5083"/>
            <w:vAlign w:val="top"/>
          </w:tcPr>
          <w:p>
            <w:pPr>
              <w:spacing w:after="0"/>
            </w:pPr>
            <w:r>
              <w:rPr>
                <w:sz w:val="14"/>
              </w:rPr>
              <w:t>Decision</w:t>
            </w:r>
          </w:p>
        </w:tc>
        <w:tc>
          <w:tcPr>
            <w:tcW w:type="dxa" w:w="5083"/>
            <w:vAlign w:val="top"/>
          </w:tcPr>
          <w:p>
            <w:pPr>
              <w:spacing w:after="0"/>
            </w:pPr>
            <w:r>
              <w:rPr>
                <w:sz w:val="14"/>
              </w:rPr>
              <w:t>INCLUDE AS METHOD; EXCLUDE AS PUBLIC CORPUS FOR NOW</w:t>
            </w:r>
          </w:p>
        </w:tc>
      </w:tr>
    </w:tbl>
    <w:p/>
    <w:p>
      <w:pPr>
        <w:pStyle w:val="Heading2"/>
      </w:pPr>
      <w:r>
        <w:t>P2-R03 — Abeysinghe et al. 2025 / SZFreqExtract</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5"/>
              </w:rPr>
              <w:t>Audit field</w:t>
            </w:r>
          </w:p>
        </w:tc>
        <w:tc>
          <w:tcPr>
            <w:tcW w:type="dxa" w:w="5083"/>
            <w:shd w:fill="D9EAF7"/>
          </w:tcPr>
          <w:p>
            <w:r>
              <w:rPr>
                <w:b/>
                <w:sz w:val="15"/>
              </w:rPr>
              <w:t>Finding</w:t>
            </w:r>
          </w:p>
        </w:tc>
      </w:tr>
      <w:tr>
        <w:tc>
          <w:tcPr>
            <w:tcW w:type="dxa" w:w="5083"/>
            <w:vAlign w:val="top"/>
          </w:tcPr>
          <w:p>
            <w:pPr>
              <w:spacing w:after="0"/>
            </w:pPr>
            <w:r>
              <w:rPr>
                <w:sz w:val="14"/>
              </w:rPr>
              <w:t>Population / documents</w:t>
            </w:r>
          </w:p>
        </w:tc>
        <w:tc>
          <w:tcPr>
            <w:tcW w:type="dxa" w:w="5083"/>
            <w:vAlign w:val="top"/>
          </w:tcPr>
          <w:p>
            <w:pPr>
              <w:spacing w:after="0"/>
            </w:pPr>
            <w:r>
              <w:rPr>
                <w:sz w:val="14"/>
              </w:rPr>
              <w:t>800 manually annotated free-text segments sampled from EMU evaluation-report seizure-frequency sections across six institutions; 381 had no explicit frequency.</w:t>
            </w:r>
          </w:p>
        </w:tc>
      </w:tr>
      <w:tr>
        <w:tc>
          <w:tcPr>
            <w:tcW w:type="dxa" w:w="5083"/>
            <w:vAlign w:val="top"/>
          </w:tcPr>
          <w:p>
            <w:pPr>
              <w:spacing w:after="0"/>
            </w:pPr>
            <w:r>
              <w:rPr>
                <w:sz w:val="14"/>
              </w:rPr>
              <w:t>Annotation process</w:t>
            </w:r>
          </w:p>
        </w:tc>
        <w:tc>
          <w:tcPr>
            <w:tcW w:type="dxa" w:w="5083"/>
            <w:vAlign w:val="top"/>
          </w:tcPr>
          <w:p>
            <w:pPr>
              <w:spacing w:after="0"/>
            </w:pPr>
            <w:r>
              <w:rPr>
                <w:sz w:val="14"/>
              </w:rPr>
              <w:t>Two authors with biomedical information-extraction experience annotated seizure-frequency phrases and detailed attributes in Doccano.</w:t>
            </w:r>
          </w:p>
        </w:tc>
      </w:tr>
      <w:tr>
        <w:tc>
          <w:tcPr>
            <w:tcW w:type="dxa" w:w="5083"/>
            <w:vAlign w:val="top"/>
          </w:tcPr>
          <w:p>
            <w:pPr>
              <w:spacing w:after="0"/>
            </w:pPr>
            <w:r>
              <w:rPr>
                <w:sz w:val="14"/>
              </w:rPr>
              <w:t>Phenotype coverage</w:t>
            </w:r>
          </w:p>
        </w:tc>
        <w:tc>
          <w:tcPr>
            <w:tcW w:type="dxa" w:w="5083"/>
            <w:vAlign w:val="top"/>
          </w:tcPr>
          <w:p>
            <w:pPr>
              <w:spacing w:after="0"/>
            </w:pPr>
            <w:r>
              <w:rPr>
                <w:sz w:val="14"/>
              </w:rPr>
              <w:t>Seizure event; quantity; duration; temporal unit and additional temporal attributes; 17 attribute types reported in the paper.</w:t>
            </w:r>
          </w:p>
        </w:tc>
      </w:tr>
      <w:tr>
        <w:tc>
          <w:tcPr>
            <w:tcW w:type="dxa" w:w="5083"/>
            <w:vAlign w:val="top"/>
          </w:tcPr>
          <w:p>
            <w:pPr>
              <w:spacing w:after="0"/>
            </w:pPr>
            <w:r>
              <w:rPr>
                <w:sz w:val="14"/>
              </w:rPr>
              <w:t>Published metrics</w:t>
            </w:r>
          </w:p>
        </w:tc>
        <w:tc>
          <w:tcPr>
            <w:tcW w:type="dxa" w:w="5083"/>
            <w:vAlign w:val="top"/>
          </w:tcPr>
          <w:p>
            <w:pPr>
              <w:spacing w:after="0"/>
            </w:pPr>
            <w:r>
              <w:rPr>
                <w:sz w:val="14"/>
              </w:rPr>
              <w:t>Dataset split 400 train / 200 validation / 200 test. Best structured extraction reported F1 85.82% for GPT-4-based pipeline.</w:t>
            </w:r>
          </w:p>
        </w:tc>
      </w:tr>
      <w:tr>
        <w:tc>
          <w:tcPr>
            <w:tcW w:type="dxa" w:w="5083"/>
            <w:vAlign w:val="top"/>
          </w:tcPr>
          <w:p>
            <w:pPr>
              <w:spacing w:after="0"/>
            </w:pPr>
            <w:r>
              <w:rPr>
                <w:sz w:val="14"/>
              </w:rPr>
              <w:t>Availability</w:t>
            </w:r>
          </w:p>
        </w:tc>
        <w:tc>
          <w:tcPr>
            <w:tcW w:type="dxa" w:w="5083"/>
            <w:vAlign w:val="top"/>
          </w:tcPr>
          <w:p>
            <w:pPr>
              <w:spacing w:after="0"/>
            </w:pPr>
            <w:r>
              <w:rPr>
                <w:sz w:val="14"/>
              </w:rPr>
              <w:t>De-identified text segments and code reported available in official GitHub repository rashmie/SZFreqExtract.</w:t>
            </w:r>
          </w:p>
        </w:tc>
      </w:tr>
      <w:tr>
        <w:tc>
          <w:tcPr>
            <w:tcW w:type="dxa" w:w="5083"/>
            <w:vAlign w:val="top"/>
          </w:tcPr>
          <w:p>
            <w:pPr>
              <w:spacing w:after="0"/>
            </w:pPr>
            <w:r>
              <w:rPr>
                <w:sz w:val="14"/>
              </w:rPr>
              <w:t>License/access conclusion</w:t>
            </w:r>
          </w:p>
        </w:tc>
        <w:tc>
          <w:tcPr>
            <w:tcW w:type="dxa" w:w="5083"/>
            <w:vAlign w:val="top"/>
          </w:tcPr>
          <w:p>
            <w:pPr>
              <w:spacing w:after="0"/>
            </w:pPr>
            <w:r>
              <w:rPr>
                <w:sz w:val="14"/>
              </w:rPr>
              <w:t>Paper is CC BY 4.0. Repository/data license must be verified from the repository itself before redistribution or derivative packaging.</w:t>
            </w:r>
          </w:p>
        </w:tc>
      </w:tr>
      <w:tr>
        <w:tc>
          <w:tcPr>
            <w:tcW w:type="dxa" w:w="5083"/>
            <w:vAlign w:val="top"/>
          </w:tcPr>
          <w:p>
            <w:pPr>
              <w:spacing w:after="0"/>
            </w:pPr>
            <w:r>
              <w:rPr>
                <w:sz w:val="14"/>
              </w:rPr>
              <w:t>MedAI role</w:t>
            </w:r>
          </w:p>
        </w:tc>
        <w:tc>
          <w:tcPr>
            <w:tcW w:type="dxa" w:w="5083"/>
            <w:vAlign w:val="top"/>
          </w:tcPr>
          <w:p>
            <w:pPr>
              <w:spacing w:after="0"/>
            </w:pPr>
            <w:r>
              <w:rPr>
                <w:sz w:val="14"/>
              </w:rPr>
              <w:t>PRIMARY real-text external benchmark for seizure-frequency module; useful for temporal annotation design.</w:t>
            </w:r>
          </w:p>
        </w:tc>
      </w:tr>
      <w:tr>
        <w:tc>
          <w:tcPr>
            <w:tcW w:type="dxa" w:w="5083"/>
            <w:vAlign w:val="top"/>
          </w:tcPr>
          <w:p>
            <w:pPr>
              <w:spacing w:after="0"/>
            </w:pPr>
            <w:r>
              <w:rPr>
                <w:sz w:val="14"/>
              </w:rPr>
              <w:t>Decision</w:t>
            </w:r>
          </w:p>
        </w:tc>
        <w:tc>
          <w:tcPr>
            <w:tcW w:type="dxa" w:w="5083"/>
            <w:vAlign w:val="top"/>
          </w:tcPr>
          <w:p>
            <w:pPr>
              <w:spacing w:after="0"/>
            </w:pPr>
            <w:r>
              <w:rPr>
                <w:sz w:val="14"/>
              </w:rPr>
              <w:t>INCLUDE — field-specific real-data anchor</w:t>
            </w:r>
          </w:p>
        </w:tc>
      </w:tr>
    </w:tbl>
    <w:p/>
    <w:p>
      <w:pPr>
        <w:pStyle w:val="Heading2"/>
      </w:pPr>
      <w:r>
        <w:t>P2-R04 — EpiDEA / EpSO discharge-summary evaluation (Sahoo et al. 2013)</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5"/>
              </w:rPr>
              <w:t>Audit field</w:t>
            </w:r>
          </w:p>
        </w:tc>
        <w:tc>
          <w:tcPr>
            <w:tcW w:type="dxa" w:w="5083"/>
            <w:shd w:fill="D9EAF7"/>
          </w:tcPr>
          <w:p>
            <w:r>
              <w:rPr>
                <w:b/>
                <w:sz w:val="15"/>
              </w:rPr>
              <w:t>Finding</w:t>
            </w:r>
          </w:p>
        </w:tc>
      </w:tr>
      <w:tr>
        <w:tc>
          <w:tcPr>
            <w:tcW w:type="dxa" w:w="5083"/>
            <w:vAlign w:val="top"/>
          </w:tcPr>
          <w:p>
            <w:pPr>
              <w:spacing w:after="0"/>
            </w:pPr>
            <w:r>
              <w:rPr>
                <w:sz w:val="14"/>
              </w:rPr>
              <w:t>Population / documents</w:t>
            </w:r>
          </w:p>
        </w:tc>
        <w:tc>
          <w:tcPr>
            <w:tcW w:type="dxa" w:w="5083"/>
            <w:vAlign w:val="top"/>
          </w:tcPr>
          <w:p>
            <w:pPr>
              <w:spacing w:after="0"/>
            </w:pPr>
            <w:r>
              <w:rPr>
                <w:sz w:val="14"/>
              </w:rPr>
              <w:t>104 EMU discharge summaries at University Hospitals Case Medical Center</w:t>
            </w:r>
          </w:p>
        </w:tc>
      </w:tr>
      <w:tr>
        <w:tc>
          <w:tcPr>
            <w:tcW w:type="dxa" w:w="5083"/>
            <w:vAlign w:val="top"/>
          </w:tcPr>
          <w:p>
            <w:pPr>
              <w:spacing w:after="0"/>
            </w:pPr>
            <w:r>
              <w:rPr>
                <w:sz w:val="14"/>
              </w:rPr>
              <w:t>Annotation process</w:t>
            </w:r>
          </w:p>
        </w:tc>
        <w:tc>
          <w:tcPr>
            <w:tcW w:type="dxa" w:w="5083"/>
            <w:vAlign w:val="top"/>
          </w:tcPr>
          <w:p>
            <w:pPr>
              <w:spacing w:after="0"/>
            </w:pPr>
            <w:r>
              <w:rPr>
                <w:sz w:val="14"/>
              </w:rPr>
              <w:t>Two clinicians annotated reports according to a cohort-identification template; disagreement was discussed with an additional epileptologist.</w:t>
            </w:r>
          </w:p>
        </w:tc>
      </w:tr>
      <w:tr>
        <w:tc>
          <w:tcPr>
            <w:tcW w:type="dxa" w:w="5083"/>
            <w:vAlign w:val="top"/>
          </w:tcPr>
          <w:p>
            <w:pPr>
              <w:spacing w:after="0"/>
            </w:pPr>
            <w:r>
              <w:rPr>
                <w:sz w:val="14"/>
              </w:rPr>
              <w:t>Phenotype coverage</w:t>
            </w:r>
          </w:p>
        </w:tc>
        <w:tc>
          <w:tcPr>
            <w:tcW w:type="dxa" w:w="5083"/>
            <w:vAlign w:val="top"/>
          </w:tcPr>
          <w:p>
            <w:pPr>
              <w:spacing w:after="0"/>
            </w:pPr>
            <w:r>
              <w:rPr>
                <w:sz w:val="14"/>
              </w:rPr>
              <w:t>Seizure/semiology, EEG/MRI patterns, antiepileptic medications and EpSO-mapped epilepsy concepts; gold standard is template-level rather than a public span corpus.</w:t>
            </w:r>
          </w:p>
        </w:tc>
      </w:tr>
      <w:tr>
        <w:tc>
          <w:tcPr>
            <w:tcW w:type="dxa" w:w="5083"/>
            <w:vAlign w:val="top"/>
          </w:tcPr>
          <w:p>
            <w:pPr>
              <w:spacing w:after="0"/>
            </w:pPr>
            <w:r>
              <w:rPr>
                <w:sz w:val="14"/>
              </w:rPr>
              <w:t>Published metrics</w:t>
            </w:r>
          </w:p>
        </w:tc>
        <w:tc>
          <w:tcPr>
            <w:tcW w:type="dxa" w:w="5083"/>
            <w:vAlign w:val="top"/>
          </w:tcPr>
          <w:p>
            <w:pPr>
              <w:spacing w:after="0"/>
            </w:pPr>
            <w:r>
              <w:rPr>
                <w:sz w:val="14"/>
              </w:rPr>
              <w:t>Overall precision 93.59%, recall 84.01%, F1 88.53%. Published disagreement example demonstrates ontology-depth ambiguity in EEG terminology.</w:t>
            </w:r>
          </w:p>
        </w:tc>
      </w:tr>
      <w:tr>
        <w:tc>
          <w:tcPr>
            <w:tcW w:type="dxa" w:w="5083"/>
            <w:vAlign w:val="top"/>
          </w:tcPr>
          <w:p>
            <w:pPr>
              <w:spacing w:after="0"/>
            </w:pPr>
            <w:r>
              <w:rPr>
                <w:sz w:val="14"/>
              </w:rPr>
              <w:t>Availability</w:t>
            </w:r>
          </w:p>
        </w:tc>
        <w:tc>
          <w:tcPr>
            <w:tcW w:type="dxa" w:w="5083"/>
            <w:vAlign w:val="top"/>
          </w:tcPr>
          <w:p>
            <w:pPr>
              <w:spacing w:after="0"/>
            </w:pPr>
            <w:r>
              <w:rPr>
                <w:sz w:val="14"/>
              </w:rPr>
              <w:t>Paper public. No evidence in the audited source that the 104 discharge summaries/gold labels are publicly downloadable.</w:t>
            </w:r>
          </w:p>
        </w:tc>
      </w:tr>
      <w:tr>
        <w:tc>
          <w:tcPr>
            <w:tcW w:type="dxa" w:w="5083"/>
            <w:vAlign w:val="top"/>
          </w:tcPr>
          <w:p>
            <w:pPr>
              <w:spacing w:after="0"/>
            </w:pPr>
            <w:r>
              <w:rPr>
                <w:sz w:val="14"/>
              </w:rPr>
              <w:t>License/access conclusion</w:t>
            </w:r>
          </w:p>
        </w:tc>
        <w:tc>
          <w:tcPr>
            <w:tcW w:type="dxa" w:w="5083"/>
            <w:vAlign w:val="top"/>
          </w:tcPr>
          <w:p>
            <w:pPr>
              <w:spacing w:after="0"/>
            </w:pPr>
            <w:r>
              <w:rPr>
                <w:sz w:val="14"/>
              </w:rPr>
              <w:t>Do not treat patient discharge summaries as public or redistributable.</w:t>
            </w:r>
          </w:p>
        </w:tc>
      </w:tr>
      <w:tr>
        <w:tc>
          <w:tcPr>
            <w:tcW w:type="dxa" w:w="5083"/>
            <w:vAlign w:val="top"/>
          </w:tcPr>
          <w:p>
            <w:pPr>
              <w:spacing w:after="0"/>
            </w:pPr>
            <w:r>
              <w:rPr>
                <w:sz w:val="14"/>
              </w:rPr>
              <w:t>MedAI role</w:t>
            </w:r>
          </w:p>
        </w:tc>
        <w:tc>
          <w:tcPr>
            <w:tcW w:type="dxa" w:w="5083"/>
            <w:vAlign w:val="top"/>
          </w:tcPr>
          <w:p>
            <w:pPr>
              <w:spacing w:after="0"/>
            </w:pPr>
            <w:r>
              <w:rPr>
                <w:sz w:val="14"/>
              </w:rPr>
              <w:t>Strong ontology/annotation/adjudication precedent; informs hierarchy-aware evaluation and clinician disagreement handling.</w:t>
            </w:r>
          </w:p>
        </w:tc>
      </w:tr>
      <w:tr>
        <w:tc>
          <w:tcPr>
            <w:tcW w:type="dxa" w:w="5083"/>
            <w:vAlign w:val="top"/>
          </w:tcPr>
          <w:p>
            <w:pPr>
              <w:spacing w:after="0"/>
            </w:pPr>
            <w:r>
              <w:rPr>
                <w:sz w:val="14"/>
              </w:rPr>
              <w:t>Decision</w:t>
            </w:r>
          </w:p>
        </w:tc>
        <w:tc>
          <w:tcPr>
            <w:tcW w:type="dxa" w:w="5083"/>
            <w:vAlign w:val="top"/>
          </w:tcPr>
          <w:p>
            <w:pPr>
              <w:spacing w:after="0"/>
            </w:pPr>
            <w:r>
              <w:rPr>
                <w:sz w:val="14"/>
              </w:rPr>
              <w:t>INCLUDE AS METHOD; NOT PUBLIC CORPUS</w:t>
            </w:r>
          </w:p>
        </w:tc>
      </w:tr>
    </w:tbl>
    <w:p/>
    <w:p>
      <w:pPr>
        <w:pStyle w:val="Heading2"/>
      </w:pPr>
      <w:r>
        <w:t>P2-R05 — Temple University Hospital EEG Corpus family (TUEG/TUSZ/TUAB)</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5"/>
              </w:rPr>
              <w:t>Audit field</w:t>
            </w:r>
          </w:p>
        </w:tc>
        <w:tc>
          <w:tcPr>
            <w:tcW w:type="dxa" w:w="5083"/>
            <w:shd w:fill="D9EAF7"/>
          </w:tcPr>
          <w:p>
            <w:r>
              <w:rPr>
                <w:b/>
                <w:sz w:val="15"/>
              </w:rPr>
              <w:t>Finding</w:t>
            </w:r>
          </w:p>
        </w:tc>
      </w:tr>
      <w:tr>
        <w:tc>
          <w:tcPr>
            <w:tcW w:type="dxa" w:w="5083"/>
            <w:vAlign w:val="top"/>
          </w:tcPr>
          <w:p>
            <w:pPr>
              <w:spacing w:after="0"/>
            </w:pPr>
            <w:r>
              <w:rPr>
                <w:sz w:val="14"/>
              </w:rPr>
              <w:t>Population / documents</w:t>
            </w:r>
          </w:p>
        </w:tc>
        <w:tc>
          <w:tcPr>
            <w:tcW w:type="dxa" w:w="5083"/>
            <w:vAlign w:val="top"/>
          </w:tcPr>
          <w:p>
            <w:pPr>
              <w:spacing w:after="0"/>
            </w:pPr>
            <w:r>
              <w:rPr>
                <w:sz w:val="14"/>
              </w:rPr>
              <w:t>Current TUEG download page lists 26,846 clinical EEG recordings for v2.0.2; TUSZ has seizure event annotations; TUAB normal/abnormal labels.</w:t>
            </w:r>
          </w:p>
        </w:tc>
      </w:tr>
      <w:tr>
        <w:tc>
          <w:tcPr>
            <w:tcW w:type="dxa" w:w="5083"/>
            <w:vAlign w:val="top"/>
          </w:tcPr>
          <w:p>
            <w:pPr>
              <w:spacing w:after="0"/>
            </w:pPr>
            <w:r>
              <w:rPr>
                <w:sz w:val="14"/>
              </w:rPr>
              <w:t>Annotation process</w:t>
            </w:r>
          </w:p>
        </w:tc>
        <w:tc>
          <w:tcPr>
            <w:tcW w:type="dxa" w:w="5083"/>
            <w:vAlign w:val="top"/>
          </w:tcPr>
          <w:p>
            <w:pPr>
              <w:spacing w:after="0"/>
            </w:pPr>
            <w:r>
              <w:rPr>
                <w:sz w:val="14"/>
              </w:rPr>
              <w:t>TUSZ annotations encode start/stop times, seizure/event types and probabilities in documented formats. TUH also publishes annotation guidelines/file-format documentation.</w:t>
            </w:r>
          </w:p>
        </w:tc>
      </w:tr>
      <w:tr>
        <w:tc>
          <w:tcPr>
            <w:tcW w:type="dxa" w:w="5083"/>
            <w:vAlign w:val="top"/>
          </w:tcPr>
          <w:p>
            <w:pPr>
              <w:spacing w:after="0"/>
            </w:pPr>
            <w:r>
              <w:rPr>
                <w:sz w:val="14"/>
              </w:rPr>
              <w:t>Phenotype coverage</w:t>
            </w:r>
          </w:p>
        </w:tc>
        <w:tc>
          <w:tcPr>
            <w:tcW w:type="dxa" w:w="5083"/>
            <w:vAlign w:val="top"/>
          </w:tcPr>
          <w:p>
            <w:pPr>
              <w:spacing w:after="0"/>
            </w:pPr>
            <w:r>
              <w:rPr>
                <w:sz w:val="14"/>
              </w:rPr>
              <w:t>EEG signal/event benchmark; normal/abnormal and seizure-event labels depending on subset. Not equivalent to MedAI text-phenotype gold labels.</w:t>
            </w:r>
          </w:p>
        </w:tc>
      </w:tr>
      <w:tr>
        <w:tc>
          <w:tcPr>
            <w:tcW w:type="dxa" w:w="5083"/>
            <w:vAlign w:val="top"/>
          </w:tcPr>
          <w:p>
            <w:pPr>
              <w:spacing w:after="0"/>
            </w:pPr>
            <w:r>
              <w:rPr>
                <w:sz w:val="14"/>
              </w:rPr>
              <w:t>Published metrics</w:t>
            </w:r>
          </w:p>
        </w:tc>
        <w:tc>
          <w:tcPr>
            <w:tcW w:type="dxa" w:w="5083"/>
            <w:vAlign w:val="top"/>
          </w:tcPr>
          <w:p>
            <w:pPr>
              <w:spacing w:after="0"/>
            </w:pPr>
            <w:r>
              <w:rPr>
                <w:sz w:val="14"/>
              </w:rPr>
              <w:t>Not summarized here because multiple corpus versions/subsets/tasks exist.</w:t>
            </w:r>
          </w:p>
        </w:tc>
      </w:tr>
      <w:tr>
        <w:tc>
          <w:tcPr>
            <w:tcW w:type="dxa" w:w="5083"/>
            <w:vAlign w:val="top"/>
          </w:tcPr>
          <w:p>
            <w:pPr>
              <w:spacing w:after="0"/>
            </w:pPr>
            <w:r>
              <w:rPr>
                <w:sz w:val="14"/>
              </w:rPr>
              <w:t>Availability</w:t>
            </w:r>
          </w:p>
        </w:tc>
        <w:tc>
          <w:tcPr>
            <w:tcW w:type="dxa" w:w="5083"/>
            <w:vAlign w:val="top"/>
          </w:tcPr>
          <w:p>
            <w:pPr>
              <w:spacing w:after="0"/>
            </w:pPr>
            <w:r>
              <w:rPr>
                <w:sz w:val="14"/>
              </w:rPr>
              <w:t>Registration/approved access required. As of the current TUH download page, reports are no longer distributed; users may submit simple scripts for keyword searches over anonymized reports.</w:t>
            </w:r>
          </w:p>
        </w:tc>
      </w:tr>
      <w:tr>
        <w:tc>
          <w:tcPr>
            <w:tcW w:type="dxa" w:w="5083"/>
            <w:vAlign w:val="top"/>
          </w:tcPr>
          <w:p>
            <w:pPr>
              <w:spacing w:after="0"/>
            </w:pPr>
            <w:r>
              <w:rPr>
                <w:sz w:val="14"/>
              </w:rPr>
              <w:t>License/access conclusion</w:t>
            </w:r>
          </w:p>
        </w:tc>
        <w:tc>
          <w:tcPr>
            <w:tcW w:type="dxa" w:w="5083"/>
            <w:vAlign w:val="top"/>
          </w:tcPr>
          <w:p>
            <w:pPr>
              <w:spacing w:after="0"/>
            </w:pPr>
            <w:r>
              <w:rPr>
                <w:sz w:val="14"/>
              </w:rPr>
              <w:t>Access is governed by TUH registration/data-use terms. Do not redistribute underlying TUH data inside MedAI-EpiSynth.</w:t>
            </w:r>
          </w:p>
        </w:tc>
      </w:tr>
      <w:tr>
        <w:tc>
          <w:tcPr>
            <w:tcW w:type="dxa" w:w="5083"/>
            <w:vAlign w:val="top"/>
          </w:tcPr>
          <w:p>
            <w:pPr>
              <w:spacing w:after="0"/>
            </w:pPr>
            <w:r>
              <w:rPr>
                <w:sz w:val="14"/>
              </w:rPr>
              <w:t>MedAI role</w:t>
            </w:r>
          </w:p>
        </w:tc>
        <w:tc>
          <w:tcPr>
            <w:tcW w:type="dxa" w:w="5083"/>
            <w:vAlign w:val="top"/>
          </w:tcPr>
          <w:p>
            <w:pPr>
              <w:spacing w:after="0"/>
            </w:pPr>
            <w:r>
              <w:rPr>
                <w:sz w:val="14"/>
              </w:rPr>
              <w:t>Potential EEG-signal external benchmark and terminology/annotation-method precedent; NOT currently a public report-text benchmark for MedAI NLP.</w:t>
            </w:r>
          </w:p>
        </w:tc>
      </w:tr>
      <w:tr>
        <w:tc>
          <w:tcPr>
            <w:tcW w:type="dxa" w:w="5083"/>
            <w:vAlign w:val="top"/>
          </w:tcPr>
          <w:p>
            <w:pPr>
              <w:spacing w:after="0"/>
            </w:pPr>
            <w:r>
              <w:rPr>
                <w:sz w:val="14"/>
              </w:rPr>
              <w:t>Decision</w:t>
            </w:r>
          </w:p>
        </w:tc>
        <w:tc>
          <w:tcPr>
            <w:tcW w:type="dxa" w:w="5083"/>
            <w:vAlign w:val="top"/>
          </w:tcPr>
          <w:p>
            <w:pPr>
              <w:spacing w:after="0"/>
            </w:pPr>
            <w:r>
              <w:rPr>
                <w:sz w:val="14"/>
              </w:rPr>
              <w:t>CONDITIONAL — EEG module only; exclude report text from current corpus plan</w:t>
            </w:r>
          </w:p>
        </w:tc>
      </w:tr>
    </w:tbl>
    <w:p/>
    <w:p>
      <w:pPr>
        <w:pStyle w:val="Heading2"/>
      </w:pPr>
      <w:r>
        <w:t>P2-R06 — Synthetic clinical-note utility precedent (Wang et al. 2021)</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5"/>
              </w:rPr>
              <w:t>Audit field</w:t>
            </w:r>
          </w:p>
        </w:tc>
        <w:tc>
          <w:tcPr>
            <w:tcW w:type="dxa" w:w="5083"/>
            <w:shd w:fill="D9EAF7"/>
          </w:tcPr>
          <w:p>
            <w:r>
              <w:rPr>
                <w:b/>
                <w:sz w:val="15"/>
              </w:rPr>
              <w:t>Finding</w:t>
            </w:r>
          </w:p>
        </w:tc>
      </w:tr>
      <w:tr>
        <w:tc>
          <w:tcPr>
            <w:tcW w:type="dxa" w:w="5083"/>
            <w:vAlign w:val="top"/>
          </w:tcPr>
          <w:p>
            <w:pPr>
              <w:spacing w:after="0"/>
            </w:pPr>
            <w:r>
              <w:rPr>
                <w:sz w:val="14"/>
              </w:rPr>
              <w:t>Population / documents</w:t>
            </w:r>
          </w:p>
        </w:tc>
        <w:tc>
          <w:tcPr>
            <w:tcW w:type="dxa" w:w="5083"/>
            <w:vAlign w:val="top"/>
          </w:tcPr>
          <w:p>
            <w:pPr>
              <w:spacing w:after="0"/>
            </w:pPr>
            <w:r>
              <w:rPr>
                <w:sz w:val="14"/>
              </w:rPr>
              <w:t>Synthetic History and Present Illness notes; 500 generated HPI notes manually annotated for clinical entities.</w:t>
            </w:r>
          </w:p>
        </w:tc>
      </w:tr>
      <w:tr>
        <w:tc>
          <w:tcPr>
            <w:tcW w:type="dxa" w:w="5083"/>
            <w:vAlign w:val="top"/>
          </w:tcPr>
          <w:p>
            <w:pPr>
              <w:spacing w:after="0"/>
            </w:pPr>
            <w:r>
              <w:rPr>
                <w:sz w:val="14"/>
              </w:rPr>
              <w:t>Annotation process</w:t>
            </w:r>
          </w:p>
        </w:tc>
        <w:tc>
          <w:tcPr>
            <w:tcW w:type="dxa" w:w="5083"/>
            <w:vAlign w:val="top"/>
          </w:tcPr>
          <w:p>
            <w:pPr>
              <w:spacing w:after="0"/>
            </w:pPr>
            <w:r>
              <w:rPr>
                <w:sz w:val="14"/>
              </w:rPr>
              <w:t>Manual entity annotation on synthetic notes; models trained on synthetic/natural corpora and evaluated on independent natural corpora.</w:t>
            </w:r>
          </w:p>
        </w:tc>
      </w:tr>
      <w:tr>
        <w:tc>
          <w:tcPr>
            <w:tcW w:type="dxa" w:w="5083"/>
            <w:vAlign w:val="top"/>
          </w:tcPr>
          <w:p>
            <w:pPr>
              <w:spacing w:after="0"/>
            </w:pPr>
            <w:r>
              <w:rPr>
                <w:sz w:val="14"/>
              </w:rPr>
              <w:t>Phenotype coverage</w:t>
            </w:r>
          </w:p>
        </w:tc>
        <w:tc>
          <w:tcPr>
            <w:tcW w:type="dxa" w:w="5083"/>
            <w:vAlign w:val="top"/>
          </w:tcPr>
          <w:p>
            <w:pPr>
              <w:spacing w:after="0"/>
            </w:pPr>
            <w:r>
              <w:rPr>
                <w:sz w:val="14"/>
              </w:rPr>
              <w:t>General clinical NER methodology, not epilepsy-specific semantics.</w:t>
            </w:r>
          </w:p>
        </w:tc>
      </w:tr>
      <w:tr>
        <w:tc>
          <w:tcPr>
            <w:tcW w:type="dxa" w:w="5083"/>
            <w:vAlign w:val="top"/>
          </w:tcPr>
          <w:p>
            <w:pPr>
              <w:spacing w:after="0"/>
            </w:pPr>
            <w:r>
              <w:rPr>
                <w:sz w:val="14"/>
              </w:rPr>
              <w:t>Published metrics</w:t>
            </w:r>
          </w:p>
        </w:tc>
        <w:tc>
          <w:tcPr>
            <w:tcW w:type="dxa" w:w="5083"/>
            <w:vAlign w:val="top"/>
          </w:tcPr>
          <w:p>
            <w:pPr>
              <w:spacing w:after="0"/>
            </w:pPr>
            <w:r>
              <w:rPr>
                <w:sz w:val="14"/>
              </w:rPr>
              <w:t>Study reported synthetic-trained NER performance comparable to natural-trained models on two independent natural corpora.</w:t>
            </w:r>
          </w:p>
        </w:tc>
      </w:tr>
      <w:tr>
        <w:tc>
          <w:tcPr>
            <w:tcW w:type="dxa" w:w="5083"/>
            <w:vAlign w:val="top"/>
          </w:tcPr>
          <w:p>
            <w:pPr>
              <w:spacing w:after="0"/>
            </w:pPr>
            <w:r>
              <w:rPr>
                <w:sz w:val="14"/>
              </w:rPr>
              <w:t>Availability</w:t>
            </w:r>
          </w:p>
        </w:tc>
        <w:tc>
          <w:tcPr>
            <w:tcW w:type="dxa" w:w="5083"/>
            <w:vAlign w:val="top"/>
          </w:tcPr>
          <w:p>
            <w:pPr>
              <w:spacing w:after="0"/>
            </w:pPr>
            <w:r>
              <w:rPr>
                <w:sz w:val="14"/>
              </w:rPr>
              <w:t>Open-access article; dataset/code availability requires separate artifact review if used.</w:t>
            </w:r>
          </w:p>
        </w:tc>
      </w:tr>
      <w:tr>
        <w:tc>
          <w:tcPr>
            <w:tcW w:type="dxa" w:w="5083"/>
            <w:vAlign w:val="top"/>
          </w:tcPr>
          <w:p>
            <w:pPr>
              <w:spacing w:after="0"/>
            </w:pPr>
            <w:r>
              <w:rPr>
                <w:sz w:val="14"/>
              </w:rPr>
              <w:t>License/access conclusion</w:t>
            </w:r>
          </w:p>
        </w:tc>
        <w:tc>
          <w:tcPr>
            <w:tcW w:type="dxa" w:w="5083"/>
            <w:vAlign w:val="top"/>
          </w:tcPr>
          <w:p>
            <w:pPr>
              <w:spacing w:after="0"/>
            </w:pPr>
            <w:r>
              <w:rPr>
                <w:sz w:val="14"/>
              </w:rPr>
              <w:t>Not audited for corpus redistribution in this Phase 2 document.</w:t>
            </w:r>
          </w:p>
        </w:tc>
      </w:tr>
      <w:tr>
        <w:tc>
          <w:tcPr>
            <w:tcW w:type="dxa" w:w="5083"/>
            <w:vAlign w:val="top"/>
          </w:tcPr>
          <w:p>
            <w:pPr>
              <w:spacing w:after="0"/>
            </w:pPr>
            <w:r>
              <w:rPr>
                <w:sz w:val="14"/>
              </w:rPr>
              <w:t>MedAI role</w:t>
            </w:r>
          </w:p>
        </w:tc>
        <w:tc>
          <w:tcPr>
            <w:tcW w:type="dxa" w:w="5083"/>
            <w:vAlign w:val="top"/>
          </w:tcPr>
          <w:p>
            <w:pPr>
              <w:spacing w:after="0"/>
            </w:pPr>
            <w:r>
              <w:rPr>
                <w:sz w:val="14"/>
              </w:rPr>
              <w:t>Supports methodological principle that synthetic utility should be tested on independent real data.</w:t>
            </w:r>
          </w:p>
        </w:tc>
      </w:tr>
      <w:tr>
        <w:tc>
          <w:tcPr>
            <w:tcW w:type="dxa" w:w="5083"/>
            <w:vAlign w:val="top"/>
          </w:tcPr>
          <w:p>
            <w:pPr>
              <w:spacing w:after="0"/>
            </w:pPr>
            <w:r>
              <w:rPr>
                <w:sz w:val="14"/>
              </w:rPr>
              <w:t>Decision</w:t>
            </w:r>
          </w:p>
        </w:tc>
        <w:tc>
          <w:tcPr>
            <w:tcW w:type="dxa" w:w="5083"/>
            <w:vAlign w:val="top"/>
          </w:tcPr>
          <w:p>
            <w:pPr>
              <w:spacing w:after="0"/>
            </w:pPr>
            <w:r>
              <w:rPr>
                <w:sz w:val="14"/>
              </w:rPr>
              <w:t>INCLUDE AS METHODOLOGY PRECEDENT</w:t>
            </w:r>
          </w:p>
        </w:tc>
      </w:tr>
    </w:tbl>
    <w:p/>
    <w:p>
      <w:pPr>
        <w:pStyle w:val="Heading1"/>
      </w:pPr>
      <w:r>
        <w:t>4. What the ExECTv2 resource genuinely gives MedAI</w:t>
      </w:r>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rPr>
              <w:t>Strongest parent resource</w:t>
              <w:br/>
            </w:r>
            <w:r>
              <w:t>The 2024 Fonferko-Shadrach resource is the primary annotation-methodology parent because it publishes 200 synthetic epilepsy clinic letters, agreed annotation guidelines, double-annotation/adjudication methodology, gold JSON annotations and human annotation outputs. The gold-standard Zenodo record states that the letters were double annotated by trained researchers and clinicians according to agreed guidelines, used a UMLS-based concept list, and that all annotations were reviewed and agreed by the research team.</w:t>
            </w:r>
          </w:p>
        </w:tc>
      </w:tr>
    </w:tbl>
    <w:p/>
    <w:p>
      <w:r>
        <w:t>What can be inherited only after inspecting the actual guideline artifact:</w:t>
      </w:r>
    </w:p>
    <w:p>
      <w:pPr>
        <w:pStyle w:val="ListBullet"/>
      </w:pPr>
      <w:r>
        <w:t>span-selection conventions</w:t>
      </w:r>
    </w:p>
    <w:p>
      <w:pPr>
        <w:pStyle w:val="ListBullet"/>
      </w:pPr>
      <w:r>
        <w:t>negation and certainty conventions</w:t>
      </w:r>
    </w:p>
    <w:p>
      <w:pPr>
        <w:pStyle w:val="ListBullet"/>
      </w:pPr>
      <w:r>
        <w:t>annotation entity/attribute definitions</w:t>
      </w:r>
    </w:p>
    <w:p>
      <w:pPr>
        <w:pStyle w:val="ListBullet"/>
      </w:pPr>
      <w:r>
        <w:t>CUI/UMLS mapping workflow</w:t>
      </w:r>
    </w:p>
    <w:p>
      <w:pPr>
        <w:pStyle w:val="ListBullet"/>
      </w:pPr>
      <w:r>
        <w:t>annotator workflow and adjudication procedure</w:t>
      </w:r>
    </w:p>
    <w:p>
      <w:pPr>
        <w:pStyle w:val="ListBullet"/>
      </w:pPr>
      <w:r>
        <w:t>examples/counterexamples explicitly present in the manual</w:t>
      </w:r>
    </w:p>
    <w:p>
      <w:r>
        <w:t>What cannot be assumed from the article alone:</w:t>
      </w:r>
    </w:p>
    <w:p>
      <w:pPr>
        <w:pStyle w:val="ListBullet"/>
      </w:pPr>
      <w:r>
        <w:t>that every ExECTv2 label maps one-to-one to the MedAI v1.1 schema</w:t>
      </w:r>
    </w:p>
    <w:p>
      <w:pPr>
        <w:pStyle w:val="ListBullet"/>
      </w:pPr>
      <w:r>
        <w:t>that the annotation guideline uses current ILAE 2025 seizure terminology</w:t>
      </w:r>
    </w:p>
    <w:p>
      <w:pPr>
        <w:pStyle w:val="ListBullet"/>
      </w:pPr>
      <w:r>
        <w:t>that all linked Zenodo artifacts share the same redistribution license</w:t>
      </w:r>
    </w:p>
    <w:p>
      <w:pPr>
        <w:pStyle w:val="ListBullet"/>
      </w:pPr>
      <w:r>
        <w:t>that the manual covers MedAI's MRI lesion, EEG localization, DRE, longitudinal conflict and cross-modal concordance granularity</w:t>
      </w:r>
    </w:p>
    <w:p>
      <w:pPr>
        <w:pStyle w:val="Heading1"/>
      </w:pPr>
      <w:r>
        <w:t>5. Annotation-coverage crosswalk</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sz w:val="13"/>
              </w:rPr>
              <w:t>MedAI area</w:t>
            </w:r>
          </w:p>
        </w:tc>
        <w:tc>
          <w:tcPr>
            <w:tcW w:type="dxa" w:w="2541"/>
            <w:shd w:fill="D9EAF7"/>
          </w:tcPr>
          <w:p>
            <w:r>
              <w:rPr>
                <w:b/>
                <w:sz w:val="13"/>
              </w:rPr>
              <w:t>Published support</w:t>
            </w:r>
          </w:p>
        </w:tc>
        <w:tc>
          <w:tcPr>
            <w:tcW w:type="dxa" w:w="2541"/>
            <w:shd w:fill="D9EAF7"/>
          </w:tcPr>
          <w:p>
            <w:r>
              <w:rPr>
                <w:b/>
                <w:sz w:val="13"/>
              </w:rPr>
              <w:t>Action</w:t>
            </w:r>
          </w:p>
        </w:tc>
        <w:tc>
          <w:tcPr>
            <w:tcW w:type="dxa" w:w="2541"/>
            <w:shd w:fill="D9EAF7"/>
          </w:tcPr>
          <w:p>
            <w:r>
              <w:rPr>
                <w:b/>
                <w:sz w:val="13"/>
              </w:rPr>
              <w:t>Key limitation</w:t>
            </w:r>
          </w:p>
        </w:tc>
      </w:tr>
      <w:tr>
        <w:tc>
          <w:tcPr>
            <w:tcW w:type="dxa" w:w="2541"/>
            <w:vAlign w:val="top"/>
          </w:tcPr>
          <w:p>
            <w:pPr>
              <w:spacing w:after="0"/>
            </w:pPr>
            <w:r>
              <w:rPr>
                <w:sz w:val="12"/>
              </w:rPr>
              <w:t>diagnosis / epilepsy status</w:t>
            </w:r>
          </w:p>
        </w:tc>
        <w:tc>
          <w:tcPr>
            <w:tcW w:type="dxa" w:w="2541"/>
            <w:vAlign w:val="top"/>
          </w:tcPr>
          <w:p>
            <w:pPr>
              <w:spacing w:after="0"/>
            </w:pPr>
            <w:r>
              <w:rPr>
                <w:sz w:val="12"/>
              </w:rPr>
              <w:t>Directly represented at ExECTv2 granularity</w:t>
            </w:r>
          </w:p>
        </w:tc>
        <w:tc>
          <w:tcPr>
            <w:tcW w:type="dxa" w:w="2541"/>
            <w:vAlign w:val="top"/>
          </w:tcPr>
          <w:p>
            <w:pPr>
              <w:spacing w:after="0"/>
            </w:pPr>
            <w:r>
              <w:rPr>
                <w:sz w:val="12"/>
              </w:rPr>
              <w:t>ADAPT</w:t>
            </w:r>
          </w:p>
        </w:tc>
        <w:tc>
          <w:tcPr>
            <w:tcW w:type="dxa" w:w="2541"/>
            <w:vAlign w:val="top"/>
          </w:tcPr>
          <w:p>
            <w:pPr>
              <w:spacing w:after="0"/>
            </w:pPr>
            <w:r>
              <w:rPr>
                <w:sz w:val="12"/>
              </w:rPr>
              <w:t>Must remap to MedAI/ILAE semantic model; do not preserve old category semantics blindly.</w:t>
            </w:r>
          </w:p>
        </w:tc>
      </w:tr>
      <w:tr>
        <w:tc>
          <w:tcPr>
            <w:tcW w:type="dxa" w:w="2541"/>
            <w:vAlign w:val="top"/>
          </w:tcPr>
          <w:p>
            <w:pPr>
              <w:spacing w:after="0"/>
            </w:pPr>
            <w:r>
              <w:rPr>
                <w:sz w:val="12"/>
              </w:rPr>
              <w:t>seizure frequency</w:t>
            </w:r>
          </w:p>
        </w:tc>
        <w:tc>
          <w:tcPr>
            <w:tcW w:type="dxa" w:w="2541"/>
            <w:vAlign w:val="top"/>
          </w:tcPr>
          <w:p>
            <w:pPr>
              <w:spacing w:after="0"/>
            </w:pPr>
            <w:r>
              <w:rPr>
                <w:sz w:val="12"/>
              </w:rPr>
              <w:t>Strong published annotation support</w:t>
            </w:r>
          </w:p>
        </w:tc>
        <w:tc>
          <w:tcPr>
            <w:tcW w:type="dxa" w:w="2541"/>
            <w:vAlign w:val="top"/>
          </w:tcPr>
          <w:p>
            <w:pPr>
              <w:spacing w:after="0"/>
            </w:pPr>
            <w:r>
              <w:rPr>
                <w:sz w:val="12"/>
              </w:rPr>
              <w:t>ADOPT/ADAPT</w:t>
            </w:r>
          </w:p>
        </w:tc>
        <w:tc>
          <w:tcPr>
            <w:tcW w:type="dxa" w:w="2541"/>
            <w:vAlign w:val="top"/>
          </w:tcPr>
          <w:p>
            <w:pPr>
              <w:spacing w:after="0"/>
            </w:pPr>
            <w:r>
              <w:rPr>
                <w:sz w:val="12"/>
              </w:rPr>
              <w:t>SZFreqExtract supplies detailed temporal attributes; reconcile two schemes in semantic dictionary.</w:t>
            </w:r>
          </w:p>
        </w:tc>
      </w:tr>
      <w:tr>
        <w:tc>
          <w:tcPr>
            <w:tcW w:type="dxa" w:w="2541"/>
            <w:vAlign w:val="top"/>
          </w:tcPr>
          <w:p>
            <w:pPr>
              <w:spacing w:after="0"/>
            </w:pPr>
            <w:r>
              <w:rPr>
                <w:sz w:val="12"/>
              </w:rPr>
              <w:t>prescription / ASM exposure</w:t>
            </w:r>
          </w:p>
        </w:tc>
        <w:tc>
          <w:tcPr>
            <w:tcW w:type="dxa" w:w="2541"/>
            <w:vAlign w:val="top"/>
          </w:tcPr>
          <w:p>
            <w:pPr>
              <w:spacing w:after="0"/>
            </w:pPr>
            <w:r>
              <w:rPr>
                <w:sz w:val="12"/>
              </w:rPr>
              <w:t>Published span/attribute precedent</w:t>
            </w:r>
          </w:p>
        </w:tc>
        <w:tc>
          <w:tcPr>
            <w:tcW w:type="dxa" w:w="2541"/>
            <w:vAlign w:val="top"/>
          </w:tcPr>
          <w:p>
            <w:pPr>
              <w:spacing w:after="0"/>
            </w:pPr>
            <w:r>
              <w:rPr>
                <w:sz w:val="12"/>
              </w:rPr>
              <w:t>ADAPT</w:t>
            </w:r>
          </w:p>
        </w:tc>
        <w:tc>
          <w:tcPr>
            <w:tcW w:type="dxa" w:w="2541"/>
            <w:vAlign w:val="top"/>
          </w:tcPr>
          <w:p>
            <w:pPr>
              <w:spacing w:after="0"/>
            </w:pPr>
            <w:r>
              <w:rPr>
                <w:sz w:val="12"/>
              </w:rPr>
              <w:t>MedAI needs current/prior/failed trial state and RxNorm normalization beyond ExECTv2.</w:t>
            </w:r>
          </w:p>
        </w:tc>
      </w:tr>
      <w:tr>
        <w:tc>
          <w:tcPr>
            <w:tcW w:type="dxa" w:w="2541"/>
            <w:vAlign w:val="top"/>
          </w:tcPr>
          <w:p>
            <w:pPr>
              <w:spacing w:after="0"/>
            </w:pPr>
            <w:r>
              <w:rPr>
                <w:sz w:val="12"/>
              </w:rPr>
              <w:t>MRI/CT/EEG investigation mention/result</w:t>
            </w:r>
          </w:p>
        </w:tc>
        <w:tc>
          <w:tcPr>
            <w:tcW w:type="dxa" w:w="2541"/>
            <w:vAlign w:val="top"/>
          </w:tcPr>
          <w:p>
            <w:pPr>
              <w:spacing w:after="0"/>
            </w:pPr>
            <w:r>
              <w:rPr>
                <w:sz w:val="12"/>
              </w:rPr>
              <w:t>Published annotation precedent at investigation level</w:t>
            </w:r>
          </w:p>
        </w:tc>
        <w:tc>
          <w:tcPr>
            <w:tcW w:type="dxa" w:w="2541"/>
            <w:vAlign w:val="top"/>
          </w:tcPr>
          <w:p>
            <w:pPr>
              <w:spacing w:after="0"/>
            </w:pPr>
            <w:r>
              <w:rPr>
                <w:sz w:val="12"/>
              </w:rPr>
              <w:t>EXTEND</w:t>
            </w:r>
          </w:p>
        </w:tc>
        <w:tc>
          <w:tcPr>
            <w:tcW w:type="dxa" w:w="2541"/>
            <w:vAlign w:val="top"/>
          </w:tcPr>
          <w:p>
            <w:pPr>
              <w:spacing w:after="0"/>
            </w:pPr>
            <w:r>
              <w:rPr>
                <w:sz w:val="12"/>
              </w:rPr>
              <w:t>MedAI needs modality-specific phenotype granularity.</w:t>
            </w:r>
          </w:p>
        </w:tc>
      </w:tr>
      <w:tr>
        <w:tc>
          <w:tcPr>
            <w:tcW w:type="dxa" w:w="2541"/>
            <w:vAlign w:val="top"/>
          </w:tcPr>
          <w:p>
            <w:pPr>
              <w:spacing w:after="0"/>
            </w:pPr>
            <w:r>
              <w:rPr>
                <w:sz w:val="12"/>
              </w:rPr>
              <w:t>patient history / comorbidity</w:t>
            </w:r>
          </w:p>
        </w:tc>
        <w:tc>
          <w:tcPr>
            <w:tcW w:type="dxa" w:w="2541"/>
            <w:vAlign w:val="top"/>
          </w:tcPr>
          <w:p>
            <w:pPr>
              <w:spacing w:after="0"/>
            </w:pPr>
            <w:r>
              <w:rPr>
                <w:sz w:val="12"/>
              </w:rPr>
              <w:t>Published annotation precedent</w:t>
            </w:r>
          </w:p>
        </w:tc>
        <w:tc>
          <w:tcPr>
            <w:tcW w:type="dxa" w:w="2541"/>
            <w:vAlign w:val="top"/>
          </w:tcPr>
          <w:p>
            <w:pPr>
              <w:spacing w:after="0"/>
            </w:pPr>
            <w:r>
              <w:rPr>
                <w:sz w:val="12"/>
              </w:rPr>
              <w:t>ADAPT</w:t>
            </w:r>
          </w:p>
        </w:tc>
        <w:tc>
          <w:tcPr>
            <w:tcW w:type="dxa" w:w="2541"/>
            <w:vAlign w:val="top"/>
          </w:tcPr>
          <w:p>
            <w:pPr>
              <w:spacing w:after="0"/>
            </w:pPr>
            <w:r>
              <w:rPr>
                <w:sz w:val="12"/>
              </w:rPr>
              <w:t>Scope must be narrowed to research-relevant MedAI variables.</w:t>
            </w:r>
          </w:p>
        </w:tc>
      </w:tr>
      <w:tr>
        <w:tc>
          <w:tcPr>
            <w:tcW w:type="dxa" w:w="2541"/>
            <w:vAlign w:val="top"/>
          </w:tcPr>
          <w:p>
            <w:pPr>
              <w:spacing w:after="0"/>
            </w:pPr>
            <w:r>
              <w:rPr>
                <w:sz w:val="12"/>
              </w:rPr>
              <w:t>epilepsy cause / etiology</w:t>
            </w:r>
          </w:p>
        </w:tc>
        <w:tc>
          <w:tcPr>
            <w:tcW w:type="dxa" w:w="2541"/>
            <w:vAlign w:val="top"/>
          </w:tcPr>
          <w:p>
            <w:pPr>
              <w:spacing w:after="0"/>
            </w:pPr>
            <w:r>
              <w:rPr>
                <w:sz w:val="12"/>
              </w:rPr>
              <w:t>Published annotation precedent but not current full ILAE etiology model</w:t>
            </w:r>
          </w:p>
        </w:tc>
        <w:tc>
          <w:tcPr>
            <w:tcW w:type="dxa" w:w="2541"/>
            <w:vAlign w:val="top"/>
          </w:tcPr>
          <w:p>
            <w:pPr>
              <w:spacing w:after="0"/>
            </w:pPr>
            <w:r>
              <w:rPr>
                <w:sz w:val="12"/>
              </w:rPr>
              <w:t>EXTEND</w:t>
            </w:r>
          </w:p>
        </w:tc>
        <w:tc>
          <w:tcPr>
            <w:tcW w:type="dxa" w:w="2541"/>
            <w:vAlign w:val="top"/>
          </w:tcPr>
          <w:p>
            <w:pPr>
              <w:spacing w:after="0"/>
            </w:pPr>
            <w:r>
              <w:rPr>
                <w:sz w:val="12"/>
              </w:rPr>
              <w:t>Canonical values should come from current ILAE semantics, not ExECT labels alone.</w:t>
            </w:r>
          </w:p>
        </w:tc>
      </w:tr>
      <w:tr>
        <w:tc>
          <w:tcPr>
            <w:tcW w:type="dxa" w:w="2541"/>
            <w:vAlign w:val="top"/>
          </w:tcPr>
          <w:p>
            <w:pPr>
              <w:spacing w:after="0"/>
            </w:pPr>
            <w:r>
              <w:rPr>
                <w:sz w:val="12"/>
              </w:rPr>
              <w:t>onset / when diagnosed</w:t>
            </w:r>
          </w:p>
        </w:tc>
        <w:tc>
          <w:tcPr>
            <w:tcW w:type="dxa" w:w="2541"/>
            <w:vAlign w:val="top"/>
          </w:tcPr>
          <w:p>
            <w:pPr>
              <w:spacing w:after="0"/>
            </w:pPr>
            <w:r>
              <w:rPr>
                <w:sz w:val="12"/>
              </w:rPr>
              <w:t>Published annotation precedent; lower IAA reported for when diagnosed</w:t>
            </w:r>
          </w:p>
        </w:tc>
        <w:tc>
          <w:tcPr>
            <w:tcW w:type="dxa" w:w="2541"/>
            <w:vAlign w:val="top"/>
          </w:tcPr>
          <w:p>
            <w:pPr>
              <w:spacing w:after="0"/>
            </w:pPr>
            <w:r>
              <w:rPr>
                <w:sz w:val="12"/>
              </w:rPr>
              <w:t>ADAPT</w:t>
            </w:r>
          </w:p>
        </w:tc>
        <w:tc>
          <w:tcPr>
            <w:tcW w:type="dxa" w:w="2541"/>
            <w:vAlign w:val="top"/>
          </w:tcPr>
          <w:p>
            <w:pPr>
              <w:spacing w:after="0"/>
            </w:pPr>
            <w:r>
              <w:rPr>
                <w:sz w:val="12"/>
              </w:rPr>
              <w:t>Separate age/date of seizure onset, epilepsy onset and diagnosis date.</w:t>
            </w:r>
          </w:p>
        </w:tc>
      </w:tr>
      <w:tr>
        <w:tc>
          <w:tcPr>
            <w:tcW w:type="dxa" w:w="2541"/>
            <w:vAlign w:val="top"/>
          </w:tcPr>
          <w:p>
            <w:pPr>
              <w:spacing w:after="0"/>
            </w:pPr>
            <w:r>
              <w:rPr>
                <w:sz w:val="12"/>
              </w:rPr>
              <w:t>birth history</w:t>
            </w:r>
          </w:p>
        </w:tc>
        <w:tc>
          <w:tcPr>
            <w:tcW w:type="dxa" w:w="2541"/>
            <w:vAlign w:val="top"/>
          </w:tcPr>
          <w:p>
            <w:pPr>
              <w:spacing w:after="0"/>
            </w:pPr>
            <w:r>
              <w:rPr>
                <w:sz w:val="12"/>
              </w:rPr>
              <w:t>Published annotation precedent</w:t>
            </w:r>
          </w:p>
        </w:tc>
        <w:tc>
          <w:tcPr>
            <w:tcW w:type="dxa" w:w="2541"/>
            <w:vAlign w:val="top"/>
          </w:tcPr>
          <w:p>
            <w:pPr>
              <w:spacing w:after="0"/>
            </w:pPr>
            <w:r>
              <w:rPr>
                <w:sz w:val="12"/>
              </w:rPr>
              <w:t>OPTIONAL</w:t>
            </w:r>
          </w:p>
        </w:tc>
        <w:tc>
          <w:tcPr>
            <w:tcW w:type="dxa" w:w="2541"/>
            <w:vAlign w:val="top"/>
          </w:tcPr>
          <w:p>
            <w:pPr>
              <w:spacing w:after="0"/>
            </w:pPr>
            <w:r>
              <w:rPr>
                <w:sz w:val="12"/>
              </w:rPr>
              <w:t>Not a v1 primary endpoint; include only if semantic scope requires.</w:t>
            </w:r>
          </w:p>
        </w:tc>
      </w:tr>
      <w:tr>
        <w:tc>
          <w:tcPr>
            <w:tcW w:type="dxa" w:w="2541"/>
            <w:vAlign w:val="top"/>
          </w:tcPr>
          <w:p>
            <w:pPr>
              <w:spacing w:after="0"/>
            </w:pPr>
            <w:r>
              <w:rPr>
                <w:sz w:val="12"/>
              </w:rPr>
              <w:t>seizure type / main class</w:t>
            </w:r>
          </w:p>
        </w:tc>
        <w:tc>
          <w:tcPr>
            <w:tcW w:type="dxa" w:w="2541"/>
            <w:vAlign w:val="top"/>
          </w:tcPr>
          <w:p>
            <w:pPr>
              <w:spacing w:after="0"/>
            </w:pPr>
            <w:r>
              <w:rPr>
                <w:sz w:val="12"/>
              </w:rPr>
              <w:t>No complete published prose-extraction manual at MedAI target granularity identified in this audit</w:t>
            </w:r>
          </w:p>
        </w:tc>
        <w:tc>
          <w:tcPr>
            <w:tcW w:type="dxa" w:w="2541"/>
            <w:vAlign w:val="top"/>
          </w:tcPr>
          <w:p>
            <w:pPr>
              <w:spacing w:after="0"/>
            </w:pPr>
            <w:r>
              <w:rPr>
                <w:sz w:val="12"/>
              </w:rPr>
              <w:t>MEDAI EXTENSION</w:t>
            </w:r>
          </w:p>
        </w:tc>
        <w:tc>
          <w:tcPr>
            <w:tcW w:type="dxa" w:w="2541"/>
            <w:vAlign w:val="top"/>
          </w:tcPr>
          <w:p>
            <w:pPr>
              <w:spacing w:after="0"/>
            </w:pPr>
            <w:r>
              <w:rPr>
                <w:sz w:val="12"/>
              </w:rPr>
              <w:t>Build ILAE-2025-compatible extraction rules with clinician review and 2017 compatibility mapping.</w:t>
            </w:r>
          </w:p>
        </w:tc>
      </w:tr>
      <w:tr>
        <w:tc>
          <w:tcPr>
            <w:tcW w:type="dxa" w:w="2541"/>
            <w:vAlign w:val="top"/>
          </w:tcPr>
          <w:p>
            <w:pPr>
              <w:spacing w:after="0"/>
            </w:pPr>
            <w:r>
              <w:rPr>
                <w:sz w:val="12"/>
              </w:rPr>
              <w:t>consciousness classifier</w:t>
            </w:r>
          </w:p>
        </w:tc>
        <w:tc>
          <w:tcPr>
            <w:tcW w:type="dxa" w:w="2541"/>
            <w:vAlign w:val="top"/>
          </w:tcPr>
          <w:p>
            <w:pPr>
              <w:spacing w:after="0"/>
            </w:pPr>
            <w:r>
              <w:rPr>
                <w:sz w:val="12"/>
              </w:rPr>
              <w:t>Clinical definition source exists; no audited epilepsy annotation manual for MedAI rule yet</w:t>
            </w:r>
          </w:p>
        </w:tc>
        <w:tc>
          <w:tcPr>
            <w:tcW w:type="dxa" w:w="2541"/>
            <w:vAlign w:val="top"/>
          </w:tcPr>
          <w:p>
            <w:pPr>
              <w:spacing w:after="0"/>
            </w:pPr>
            <w:r>
              <w:rPr>
                <w:sz w:val="12"/>
              </w:rPr>
              <w:t>MEDAI EXTENSION</w:t>
            </w:r>
          </w:p>
        </w:tc>
        <w:tc>
          <w:tcPr>
            <w:tcW w:type="dxa" w:w="2541"/>
            <w:vAlign w:val="top"/>
          </w:tcPr>
          <w:p>
            <w:pPr>
              <w:spacing w:after="0"/>
            </w:pPr>
            <w:r>
              <w:rPr>
                <w:sz w:val="12"/>
              </w:rPr>
              <w:t>Release blocker until exact ILAE-2025 implementation logic is extracted.</w:t>
            </w:r>
          </w:p>
        </w:tc>
      </w:tr>
      <w:tr>
        <w:tc>
          <w:tcPr>
            <w:tcW w:type="dxa" w:w="2541"/>
            <w:vAlign w:val="top"/>
          </w:tcPr>
          <w:p>
            <w:pPr>
              <w:spacing w:after="0"/>
            </w:pPr>
            <w:r>
              <w:rPr>
                <w:sz w:val="12"/>
              </w:rPr>
              <w:t>EEG IED location/laterality</w:t>
            </w:r>
          </w:p>
        </w:tc>
        <w:tc>
          <w:tcPr>
            <w:tcW w:type="dxa" w:w="2541"/>
            <w:vAlign w:val="top"/>
          </w:tcPr>
          <w:p>
            <w:pPr>
              <w:spacing w:after="0"/>
            </w:pPr>
            <w:r>
              <w:rPr>
                <w:sz w:val="12"/>
              </w:rPr>
              <w:t>Relevant precedent but no public MedAI-compatible text gold corpus identified</w:t>
            </w:r>
          </w:p>
        </w:tc>
        <w:tc>
          <w:tcPr>
            <w:tcW w:type="dxa" w:w="2541"/>
            <w:vAlign w:val="top"/>
          </w:tcPr>
          <w:p>
            <w:pPr>
              <w:spacing w:after="0"/>
            </w:pPr>
            <w:r>
              <w:rPr>
                <w:sz w:val="12"/>
              </w:rPr>
              <w:t>MEDAI EXTENSION</w:t>
            </w:r>
          </w:p>
        </w:tc>
        <w:tc>
          <w:tcPr>
            <w:tcW w:type="dxa" w:w="2541"/>
            <w:vAlign w:val="top"/>
          </w:tcPr>
          <w:p>
            <w:pPr>
              <w:spacing w:after="0"/>
            </w:pPr>
            <w:r>
              <w:rPr>
                <w:sz w:val="12"/>
              </w:rPr>
              <w:t>Use SCORE/clinical EEG definitions; clinician review required.</w:t>
            </w:r>
          </w:p>
        </w:tc>
      </w:tr>
      <w:tr>
        <w:tc>
          <w:tcPr>
            <w:tcW w:type="dxa" w:w="2541"/>
            <w:vAlign w:val="top"/>
          </w:tcPr>
          <w:p>
            <w:pPr>
              <w:spacing w:after="0"/>
            </w:pPr>
            <w:r>
              <w:rPr>
                <w:sz w:val="12"/>
              </w:rPr>
              <w:t>MRI lesion type/laterality</w:t>
            </w:r>
          </w:p>
        </w:tc>
        <w:tc>
          <w:tcPr>
            <w:tcW w:type="dxa" w:w="2541"/>
            <w:vAlign w:val="top"/>
          </w:tcPr>
          <w:p>
            <w:pPr>
              <w:spacing w:after="0"/>
            </w:pPr>
            <w:r>
              <w:rPr>
                <w:sz w:val="12"/>
              </w:rPr>
              <w:t>Only coarse investigation precedent in audited epilepsy manual</w:t>
            </w:r>
          </w:p>
        </w:tc>
        <w:tc>
          <w:tcPr>
            <w:tcW w:type="dxa" w:w="2541"/>
            <w:vAlign w:val="top"/>
          </w:tcPr>
          <w:p>
            <w:pPr>
              <w:spacing w:after="0"/>
            </w:pPr>
            <w:r>
              <w:rPr>
                <w:sz w:val="12"/>
              </w:rPr>
              <w:t>MEDAI EXTENSION</w:t>
            </w:r>
          </w:p>
        </w:tc>
        <w:tc>
          <w:tcPr>
            <w:tcW w:type="dxa" w:w="2541"/>
            <w:vAlign w:val="top"/>
          </w:tcPr>
          <w:p>
            <w:pPr>
              <w:spacing w:after="0"/>
            </w:pPr>
            <w:r>
              <w:rPr>
                <w:sz w:val="12"/>
              </w:rPr>
              <w:t>Separate imaging observation from pathology subtype.</w:t>
            </w:r>
          </w:p>
        </w:tc>
      </w:tr>
      <w:tr>
        <w:tc>
          <w:tcPr>
            <w:tcW w:type="dxa" w:w="2541"/>
            <w:vAlign w:val="top"/>
          </w:tcPr>
          <w:p>
            <w:pPr>
              <w:spacing w:after="0"/>
            </w:pPr>
            <w:r>
              <w:rPr>
                <w:sz w:val="12"/>
              </w:rPr>
              <w:t>drug-resistant epilepsy</w:t>
            </w:r>
          </w:p>
        </w:tc>
        <w:tc>
          <w:tcPr>
            <w:tcW w:type="dxa" w:w="2541"/>
            <w:vAlign w:val="top"/>
          </w:tcPr>
          <w:p>
            <w:pPr>
              <w:spacing w:after="0"/>
            </w:pPr>
            <w:r>
              <w:rPr>
                <w:sz w:val="12"/>
              </w:rPr>
              <w:t>Clinical criterion exists; no direct ExECT-style annotation rule identified</w:t>
            </w:r>
          </w:p>
        </w:tc>
        <w:tc>
          <w:tcPr>
            <w:tcW w:type="dxa" w:w="2541"/>
            <w:vAlign w:val="top"/>
          </w:tcPr>
          <w:p>
            <w:pPr>
              <w:spacing w:after="0"/>
            </w:pPr>
            <w:r>
              <w:rPr>
                <w:sz w:val="12"/>
              </w:rPr>
              <w:t>MEDAI EXTENSION</w:t>
            </w:r>
          </w:p>
        </w:tc>
        <w:tc>
          <w:tcPr>
            <w:tcW w:type="dxa" w:w="2541"/>
            <w:vAlign w:val="top"/>
          </w:tcPr>
          <w:p>
            <w:pPr>
              <w:spacing w:after="0"/>
            </w:pPr>
            <w:r>
              <w:rPr>
                <w:sz w:val="12"/>
              </w:rPr>
              <w:t>Use yes/no/indeterminate; require documented adequacy evidence.</w:t>
            </w:r>
          </w:p>
        </w:tc>
      </w:tr>
      <w:tr>
        <w:tc>
          <w:tcPr>
            <w:tcW w:type="dxa" w:w="2541"/>
            <w:vAlign w:val="top"/>
          </w:tcPr>
          <w:p>
            <w:pPr>
              <w:spacing w:after="0"/>
            </w:pPr>
            <w:r>
              <w:rPr>
                <w:sz w:val="12"/>
              </w:rPr>
              <w:t>evidence span</w:t>
            </w:r>
          </w:p>
        </w:tc>
        <w:tc>
          <w:tcPr>
            <w:tcW w:type="dxa" w:w="2541"/>
            <w:vAlign w:val="top"/>
          </w:tcPr>
          <w:p>
            <w:pPr>
              <w:spacing w:after="0"/>
            </w:pPr>
            <w:r>
              <w:rPr>
                <w:sz w:val="12"/>
              </w:rPr>
              <w:t>Strong span-annotation precedent</w:t>
            </w:r>
          </w:p>
        </w:tc>
        <w:tc>
          <w:tcPr>
            <w:tcW w:type="dxa" w:w="2541"/>
            <w:vAlign w:val="top"/>
          </w:tcPr>
          <w:p>
            <w:pPr>
              <w:spacing w:after="0"/>
            </w:pPr>
            <w:r>
              <w:rPr>
                <w:sz w:val="12"/>
              </w:rPr>
              <w:t>ADOPT/ADAPT</w:t>
            </w:r>
          </w:p>
        </w:tc>
        <w:tc>
          <w:tcPr>
            <w:tcW w:type="dxa" w:w="2541"/>
            <w:vAlign w:val="top"/>
          </w:tcPr>
          <w:p>
            <w:pPr>
              <w:spacing w:after="0"/>
            </w:pPr>
            <w:r>
              <w:rPr>
                <w:sz w:val="12"/>
              </w:rPr>
              <w:t>MedAI requires assertion-to-evidence linkage for every supported phenotype.</w:t>
            </w:r>
          </w:p>
        </w:tc>
      </w:tr>
      <w:tr>
        <w:tc>
          <w:tcPr>
            <w:tcW w:type="dxa" w:w="2541"/>
            <w:vAlign w:val="top"/>
          </w:tcPr>
          <w:p>
            <w:pPr>
              <w:spacing w:after="0"/>
            </w:pPr>
            <w:r>
              <w:rPr>
                <w:sz w:val="12"/>
              </w:rPr>
              <w:t>negation / certainty</w:t>
            </w:r>
          </w:p>
        </w:tc>
        <w:tc>
          <w:tcPr>
            <w:tcW w:type="dxa" w:w="2541"/>
            <w:vAlign w:val="top"/>
          </w:tcPr>
          <w:p>
            <w:pPr>
              <w:spacing w:after="0"/>
            </w:pPr>
            <w:r>
              <w:rPr>
                <w:sz w:val="12"/>
              </w:rPr>
              <w:t>Published annotation precedent</w:t>
            </w:r>
          </w:p>
        </w:tc>
        <w:tc>
          <w:tcPr>
            <w:tcW w:type="dxa" w:w="2541"/>
            <w:vAlign w:val="top"/>
          </w:tcPr>
          <w:p>
            <w:pPr>
              <w:spacing w:after="0"/>
            </w:pPr>
            <w:r>
              <w:rPr>
                <w:sz w:val="12"/>
              </w:rPr>
              <w:t>ADOPT/ADAPT</w:t>
            </w:r>
          </w:p>
        </w:tc>
        <w:tc>
          <w:tcPr>
            <w:tcW w:type="dxa" w:w="2541"/>
            <w:vAlign w:val="top"/>
          </w:tcPr>
          <w:p>
            <w:pPr>
              <w:spacing w:after="0"/>
            </w:pPr>
            <w:r>
              <w:rPr>
                <w:sz w:val="12"/>
              </w:rPr>
              <w:t>Map into MedAI assertion_status/certainty after inspecting actual manual.</w:t>
            </w:r>
          </w:p>
        </w:tc>
      </w:tr>
      <w:tr>
        <w:tc>
          <w:tcPr>
            <w:tcW w:type="dxa" w:w="2541"/>
            <w:vAlign w:val="top"/>
          </w:tcPr>
          <w:p>
            <w:pPr>
              <w:spacing w:after="0"/>
            </w:pPr>
            <w:r>
              <w:rPr>
                <w:sz w:val="12"/>
              </w:rPr>
              <w:t>temporality</w:t>
            </w:r>
          </w:p>
        </w:tc>
        <w:tc>
          <w:tcPr>
            <w:tcW w:type="dxa" w:w="2541"/>
            <w:vAlign w:val="top"/>
          </w:tcPr>
          <w:p>
            <w:pPr>
              <w:spacing w:after="0"/>
            </w:pPr>
            <w:r>
              <w:rPr>
                <w:sz w:val="12"/>
              </w:rPr>
              <w:t>Detailed frequency temporality exists; general longitudinal phenotype temporality remains broader</w:t>
            </w:r>
          </w:p>
        </w:tc>
        <w:tc>
          <w:tcPr>
            <w:tcW w:type="dxa" w:w="2541"/>
            <w:vAlign w:val="top"/>
          </w:tcPr>
          <w:p>
            <w:pPr>
              <w:spacing w:after="0"/>
            </w:pPr>
            <w:r>
              <w:rPr>
                <w:sz w:val="12"/>
              </w:rPr>
              <w:t>EXTEND</w:t>
            </w:r>
          </w:p>
        </w:tc>
        <w:tc>
          <w:tcPr>
            <w:tcW w:type="dxa" w:w="2541"/>
            <w:vAlign w:val="top"/>
          </w:tcPr>
          <w:p>
            <w:pPr>
              <w:spacing w:after="0"/>
            </w:pPr>
            <w:r>
              <w:rPr>
                <w:sz w:val="12"/>
              </w:rPr>
              <w:t>Create unified temporal policy.</w:t>
            </w:r>
          </w:p>
        </w:tc>
      </w:tr>
      <w:tr>
        <w:tc>
          <w:tcPr>
            <w:tcW w:type="dxa" w:w="2541"/>
            <w:vAlign w:val="top"/>
          </w:tcPr>
          <w:p>
            <w:pPr>
              <w:spacing w:after="0"/>
            </w:pPr>
            <w:r>
              <w:rPr>
                <w:sz w:val="12"/>
              </w:rPr>
              <w:t>cross-modal concordance</w:t>
            </w:r>
          </w:p>
        </w:tc>
        <w:tc>
          <w:tcPr>
            <w:tcW w:type="dxa" w:w="2541"/>
            <w:vAlign w:val="top"/>
          </w:tcPr>
          <w:p>
            <w:pPr>
              <w:spacing w:after="0"/>
            </w:pPr>
            <w:r>
              <w:rPr>
                <w:sz w:val="12"/>
              </w:rPr>
              <w:t>Gap</w:t>
            </w:r>
          </w:p>
        </w:tc>
        <w:tc>
          <w:tcPr>
            <w:tcW w:type="dxa" w:w="2541"/>
            <w:vAlign w:val="top"/>
          </w:tcPr>
          <w:p>
            <w:pPr>
              <w:spacing w:after="0"/>
            </w:pPr>
            <w:r>
              <w:rPr>
                <w:sz w:val="12"/>
              </w:rPr>
              <w:t>MEDAI-PROPOSED</w:t>
            </w:r>
          </w:p>
        </w:tc>
        <w:tc>
          <w:tcPr>
            <w:tcW w:type="dxa" w:w="2541"/>
            <w:vAlign w:val="top"/>
          </w:tcPr>
          <w:p>
            <w:pPr>
              <w:spacing w:after="0"/>
            </w:pPr>
            <w:r>
              <w:rPr>
                <w:sz w:val="12"/>
              </w:rPr>
              <w:t>Must be literature-informed and clinician-reviewed; not silently inferred.</w:t>
            </w:r>
          </w:p>
        </w:tc>
      </w:tr>
      <w:tr>
        <w:tc>
          <w:tcPr>
            <w:tcW w:type="dxa" w:w="2541"/>
            <w:vAlign w:val="top"/>
          </w:tcPr>
          <w:p>
            <w:pPr>
              <w:spacing w:after="0"/>
            </w:pPr>
            <w:r>
              <w:rPr>
                <w:sz w:val="12"/>
              </w:rPr>
              <w:t>verification / human review / provenance</w:t>
            </w:r>
          </w:p>
        </w:tc>
        <w:tc>
          <w:tcPr>
            <w:tcW w:type="dxa" w:w="2541"/>
            <w:vAlign w:val="top"/>
          </w:tcPr>
          <w:p>
            <w:pPr>
              <w:spacing w:after="0"/>
            </w:pPr>
            <w:r>
              <w:rPr>
                <w:sz w:val="12"/>
              </w:rPr>
              <w:t>Administrative/provenance fields</w:t>
            </w:r>
          </w:p>
        </w:tc>
        <w:tc>
          <w:tcPr>
            <w:tcW w:type="dxa" w:w="2541"/>
            <w:vAlign w:val="top"/>
          </w:tcPr>
          <w:p>
            <w:pPr>
              <w:spacing w:after="0"/>
            </w:pPr>
            <w:r>
              <w:rPr>
                <w:sz w:val="12"/>
              </w:rPr>
              <w:t>MEDAI-PROPOSED</w:t>
            </w:r>
          </w:p>
        </w:tc>
        <w:tc>
          <w:tcPr>
            <w:tcW w:type="dxa" w:w="2541"/>
            <w:vAlign w:val="top"/>
          </w:tcPr>
          <w:p>
            <w:pPr>
              <w:spacing w:after="0"/>
            </w:pPr>
            <w:r>
              <w:rPr>
                <w:sz w:val="12"/>
              </w:rPr>
              <w:t>No medical citation required for mechanics; governance rationale documented.</w:t>
            </w:r>
          </w:p>
        </w:tc>
      </w:tr>
    </w:tbl>
    <w:p/>
    <w:p>
      <w:pPr>
        <w:pStyle w:val="Heading1"/>
      </w:pPr>
      <w:r>
        <w:t>6. Public-data composition for MedAI</w:t>
      </w:r>
    </w:p>
    <w:p>
      <w:r>
        <w:t>Recommended v1.0 evidence composition: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4"/>
              </w:rPr>
              <w:t>Layer</w:t>
            </w:r>
          </w:p>
        </w:tc>
        <w:tc>
          <w:tcPr>
            <w:tcW w:type="dxa" w:w="3389"/>
            <w:shd w:fill="D9EAF7"/>
          </w:tcPr>
          <w:p>
            <w:r>
              <w:rPr>
                <w:b/>
                <w:sz w:val="14"/>
              </w:rPr>
              <w:t>Resource class</w:t>
            </w:r>
          </w:p>
        </w:tc>
        <w:tc>
          <w:tcPr>
            <w:tcW w:type="dxa" w:w="3389"/>
            <w:shd w:fill="D9EAF7"/>
          </w:tcPr>
          <w:p>
            <w:r>
              <w:rPr>
                <w:b/>
                <w:sz w:val="14"/>
              </w:rPr>
              <w:t>Purpose</w:t>
            </w:r>
          </w:p>
        </w:tc>
      </w:tr>
      <w:tr>
        <w:tc>
          <w:tcPr>
            <w:tcW w:type="dxa" w:w="3389"/>
            <w:vAlign w:val="top"/>
          </w:tcPr>
          <w:p>
            <w:pPr>
              <w:spacing w:after="0"/>
            </w:pPr>
            <w:r>
              <w:rPr>
                <w:sz w:val="14"/>
              </w:rPr>
              <w:t>External synthetic benchmark</w:t>
            </w:r>
          </w:p>
        </w:tc>
        <w:tc>
          <w:tcPr>
            <w:tcW w:type="dxa" w:w="3389"/>
            <w:vAlign w:val="top"/>
          </w:tcPr>
          <w:p>
            <w:pPr>
              <w:spacing w:after="0"/>
            </w:pPr>
            <w:r>
              <w:rPr>
                <w:sz w:val="14"/>
              </w:rPr>
              <w:t>Fonferko-Shadrach 2024 / ExECTv2</w:t>
            </w:r>
          </w:p>
        </w:tc>
        <w:tc>
          <w:tcPr>
            <w:tcW w:type="dxa" w:w="3389"/>
            <w:vAlign w:val="top"/>
          </w:tcPr>
          <w:p>
            <w:pPr>
              <w:spacing w:after="0"/>
            </w:pPr>
            <w:r>
              <w:rPr>
                <w:sz w:val="14"/>
              </w:rPr>
              <w:t>Independent epilepsy annotation benchmark and annotation-manual parent.</w:t>
            </w:r>
          </w:p>
        </w:tc>
      </w:tr>
      <w:tr>
        <w:tc>
          <w:tcPr>
            <w:tcW w:type="dxa" w:w="3389"/>
            <w:vAlign w:val="top"/>
          </w:tcPr>
          <w:p>
            <w:pPr>
              <w:spacing w:after="0"/>
            </w:pPr>
            <w:r>
              <w:rPr>
                <w:sz w:val="14"/>
              </w:rPr>
              <w:t>External real-text benchmark</w:t>
            </w:r>
          </w:p>
        </w:tc>
        <w:tc>
          <w:tcPr>
            <w:tcW w:type="dxa" w:w="3389"/>
            <w:vAlign w:val="top"/>
          </w:tcPr>
          <w:p>
            <w:pPr>
              <w:spacing w:after="0"/>
            </w:pPr>
            <w:r>
              <w:rPr>
                <w:sz w:val="14"/>
              </w:rPr>
              <w:t>SZFreqExtract</w:t>
            </w:r>
          </w:p>
        </w:tc>
        <w:tc>
          <w:tcPr>
            <w:tcW w:type="dxa" w:w="3389"/>
            <w:vAlign w:val="top"/>
          </w:tcPr>
          <w:p>
            <w:pPr>
              <w:spacing w:after="0"/>
            </w:pPr>
            <w:r>
              <w:rPr>
                <w:sz w:val="14"/>
              </w:rPr>
              <w:t>Real de-identified multi-institution EMU text for seizure-frequency extraction.</w:t>
            </w:r>
          </w:p>
        </w:tc>
      </w:tr>
      <w:tr>
        <w:tc>
          <w:tcPr>
            <w:tcW w:type="dxa" w:w="3389"/>
            <w:vAlign w:val="top"/>
          </w:tcPr>
          <w:p>
            <w:pPr>
              <w:spacing w:after="0"/>
            </w:pPr>
            <w:r>
              <w:rPr>
                <w:sz w:val="14"/>
              </w:rPr>
              <w:t>Ontology/adjudication precedent</w:t>
            </w:r>
          </w:p>
        </w:tc>
        <w:tc>
          <w:tcPr>
            <w:tcW w:type="dxa" w:w="3389"/>
            <w:vAlign w:val="top"/>
          </w:tcPr>
          <w:p>
            <w:pPr>
              <w:spacing w:after="0"/>
            </w:pPr>
            <w:r>
              <w:rPr>
                <w:sz w:val="14"/>
              </w:rPr>
              <w:t>EpiDEA</w:t>
            </w:r>
          </w:p>
        </w:tc>
        <w:tc>
          <w:tcPr>
            <w:tcW w:type="dxa" w:w="3389"/>
            <w:vAlign w:val="top"/>
          </w:tcPr>
          <w:p>
            <w:pPr>
              <w:spacing w:after="0"/>
            </w:pPr>
            <w:r>
              <w:rPr>
                <w:sz w:val="14"/>
              </w:rPr>
              <w:t>Demonstrates ontology-driven epilepsy extraction and clinician gold-standard adjudication; not treated as a public corpus.</w:t>
            </w:r>
          </w:p>
        </w:tc>
      </w:tr>
      <w:tr>
        <w:tc>
          <w:tcPr>
            <w:tcW w:type="dxa" w:w="3389"/>
            <w:vAlign w:val="top"/>
          </w:tcPr>
          <w:p>
            <w:pPr>
              <w:spacing w:after="0"/>
            </w:pPr>
            <w:r>
              <w:rPr>
                <w:sz w:val="14"/>
              </w:rPr>
              <w:t>EEG signal benchmark</w:t>
            </w:r>
          </w:p>
        </w:tc>
        <w:tc>
          <w:tcPr>
            <w:tcW w:type="dxa" w:w="3389"/>
            <w:vAlign w:val="top"/>
          </w:tcPr>
          <w:p>
            <w:pPr>
              <w:spacing w:after="0"/>
            </w:pPr>
            <w:r>
              <w:rPr>
                <w:sz w:val="14"/>
              </w:rPr>
              <w:t>TUH EEG subsets</w:t>
            </w:r>
          </w:p>
        </w:tc>
        <w:tc>
          <w:tcPr>
            <w:tcW w:type="dxa" w:w="3389"/>
            <w:vAlign w:val="top"/>
          </w:tcPr>
          <w:p>
            <w:pPr>
              <w:spacing w:after="0"/>
            </w:pPr>
            <w:r>
              <w:rPr>
                <w:sz w:val="14"/>
              </w:rPr>
              <w:t>Signal/event evaluation where access terms permit; not a MedAI clinical-report text corpus under current distribution.</w:t>
            </w:r>
          </w:p>
        </w:tc>
      </w:tr>
      <w:tr>
        <w:tc>
          <w:tcPr>
            <w:tcW w:type="dxa" w:w="3389"/>
            <w:vAlign w:val="top"/>
          </w:tcPr>
          <w:p>
            <w:pPr>
              <w:spacing w:after="0"/>
            </w:pPr>
            <w:r>
              <w:rPr>
                <w:sz w:val="14"/>
              </w:rPr>
              <w:t>Methodology precedent</w:t>
            </w:r>
          </w:p>
        </w:tc>
        <w:tc>
          <w:tcPr>
            <w:tcW w:type="dxa" w:w="3389"/>
            <w:vAlign w:val="top"/>
          </w:tcPr>
          <w:p>
            <w:pPr>
              <w:spacing w:after="0"/>
            </w:pPr>
            <w:r>
              <w:rPr>
                <w:sz w:val="14"/>
              </w:rPr>
              <w:t>Synthetic clinical-note utility literature</w:t>
            </w:r>
          </w:p>
        </w:tc>
        <w:tc>
          <w:tcPr>
            <w:tcW w:type="dxa" w:w="3389"/>
            <w:vAlign w:val="top"/>
          </w:tcPr>
          <w:p>
            <w:pPr>
              <w:spacing w:after="0"/>
            </w:pPr>
            <w:r>
              <w:rPr>
                <w:sz w:val="14"/>
              </w:rPr>
              <w:t>Supports evaluating synthetic-trained methods on independent natural corpora.</w:t>
            </w:r>
          </w:p>
        </w:tc>
      </w:tr>
    </w:tbl>
    <w:p/>
    <w:p>
      <w:pPr>
        <w:pStyle w:val="Heading1"/>
      </w:pPr>
      <w:r>
        <w:t>7. Important corrections to the Claude layered review</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Claude-review idea</w:t>
            </w:r>
          </w:p>
        </w:tc>
        <w:tc>
          <w:tcPr>
            <w:tcW w:type="dxa" w:w="5083"/>
            <w:shd w:fill="D9EAF7"/>
          </w:tcPr>
          <w:p>
            <w:r>
              <w:rPr>
                <w:b/>
                <w:sz w:val="14"/>
              </w:rPr>
              <w:t>Phase 2 correction</w:t>
            </w:r>
          </w:p>
        </w:tc>
      </w:tr>
      <w:tr>
        <w:tc>
          <w:tcPr>
            <w:tcW w:type="dxa" w:w="5083"/>
            <w:vAlign w:val="top"/>
          </w:tcPr>
          <w:p>
            <w:pPr>
              <w:spacing w:after="0"/>
            </w:pPr>
            <w:r>
              <w:rPr>
                <w:sz w:val="13"/>
              </w:rPr>
              <w:t>Use ILAE-2017 subtype granularity as synthetic target</w:t>
            </w:r>
          </w:p>
        </w:tc>
        <w:tc>
          <w:tcPr>
            <w:tcW w:type="dxa" w:w="5083"/>
            <w:vAlign w:val="top"/>
          </w:tcPr>
          <w:p>
            <w:pPr>
              <w:spacing w:after="0"/>
            </w:pPr>
            <w:r>
              <w:rPr>
                <w:sz w:val="13"/>
              </w:rPr>
              <w:t>Use ILAE 2025 as canonical new seizure taxonomy; retain 2017 compatibility mappings for legacy/public data.</w:t>
            </w:r>
          </w:p>
        </w:tc>
      </w:tr>
      <w:tr>
        <w:tc>
          <w:tcPr>
            <w:tcW w:type="dxa" w:w="5083"/>
            <w:vAlign w:val="top"/>
          </w:tcPr>
          <w:p>
            <w:pPr>
              <w:spacing w:after="0"/>
            </w:pPr>
            <w:r>
              <w:rPr>
                <w:sz w:val="13"/>
              </w:rPr>
              <w:t>TUH EEG includes report text as a candidate public NLP corpus</w:t>
            </w:r>
          </w:p>
        </w:tc>
        <w:tc>
          <w:tcPr>
            <w:tcW w:type="dxa" w:w="5083"/>
            <w:vAlign w:val="top"/>
          </w:tcPr>
          <w:p>
            <w:pPr>
              <w:spacing w:after="0"/>
            </w:pPr>
            <w:r>
              <w:rPr>
                <w:sz w:val="13"/>
              </w:rPr>
              <w:t>Current TUH download page says reports are no longer distributed. Treat TUH as an EEG signal/event resource; report search is mediated by TUH.</w:t>
            </w:r>
          </w:p>
        </w:tc>
      </w:tr>
      <w:tr>
        <w:tc>
          <w:tcPr>
            <w:tcW w:type="dxa" w:w="5083"/>
            <w:vAlign w:val="top"/>
          </w:tcPr>
          <w:p>
            <w:pPr>
              <w:spacing w:after="0"/>
            </w:pPr>
            <w:r>
              <w:rPr>
                <w:sz w:val="13"/>
              </w:rPr>
              <w:t>PMC case reports as real validation data</w:t>
            </w:r>
          </w:p>
        </w:tc>
        <w:tc>
          <w:tcPr>
            <w:tcW w:type="dxa" w:w="5083"/>
            <w:vAlign w:val="top"/>
          </w:tcPr>
          <w:p>
            <w:pPr>
              <w:spacing w:after="0"/>
            </w:pPr>
            <w:r>
              <w:rPr>
                <w:sz w:val="13"/>
              </w:rPr>
              <w:t>Useful for qualitative stress testing only unless independently annotated into a prespecified gold standard.</w:t>
            </w:r>
          </w:p>
        </w:tc>
      </w:tr>
      <w:tr>
        <w:tc>
          <w:tcPr>
            <w:tcW w:type="dxa" w:w="5083"/>
            <w:vAlign w:val="top"/>
          </w:tcPr>
          <w:p>
            <w:pPr>
              <w:spacing w:after="0"/>
            </w:pPr>
            <w:r>
              <w:rPr>
                <w:sz w:val="13"/>
              </w:rPr>
              <w:t>60–70% of manual can be inherited</w:t>
            </w:r>
          </w:p>
        </w:tc>
        <w:tc>
          <w:tcPr>
            <w:tcW w:type="dxa" w:w="5083"/>
            <w:vAlign w:val="top"/>
          </w:tcPr>
          <w:p>
            <w:pPr>
              <w:spacing w:after="0"/>
            </w:pPr>
            <w:r>
              <w:rPr>
                <w:sz w:val="13"/>
              </w:rPr>
              <w:t>Keep as a planning hypothesis only. Quantify actual rule-level overlap after the ExECTv2 guideline is extracted.</w:t>
            </w:r>
          </w:p>
        </w:tc>
      </w:tr>
      <w:tr>
        <w:tc>
          <w:tcPr>
            <w:tcW w:type="dxa" w:w="5083"/>
            <w:vAlign w:val="top"/>
          </w:tcPr>
          <w:p>
            <w:pPr>
              <w:spacing w:after="0"/>
            </w:pPr>
            <w:r>
              <w:rPr>
                <w:sz w:val="13"/>
              </w:rPr>
              <w:t>Public paper means public dataset</w:t>
            </w:r>
          </w:p>
        </w:tc>
        <w:tc>
          <w:tcPr>
            <w:tcW w:type="dxa" w:w="5083"/>
            <w:vAlign w:val="top"/>
          </w:tcPr>
          <w:p>
            <w:pPr>
              <w:spacing w:after="0"/>
            </w:pPr>
            <w:r>
              <w:rPr>
                <w:sz w:val="13"/>
              </w:rPr>
              <w:t>False. Paper, data, labels and redistribution rights are audited separately.</w:t>
            </w:r>
          </w:p>
        </w:tc>
      </w:tr>
    </w:tbl>
    <w:p/>
    <w:p>
      <w:pPr>
        <w:pStyle w:val="Heading1"/>
      </w:pPr>
      <w:r>
        <w:t>8. Annotation-manual provenance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5"/>
              </w:rPr>
              <w:t>Tag</w:t>
            </w:r>
          </w:p>
        </w:tc>
        <w:tc>
          <w:tcPr>
            <w:tcW w:type="dxa" w:w="3389"/>
            <w:shd w:fill="D9EAF7"/>
          </w:tcPr>
          <w:p>
            <w:r>
              <w:rPr>
                <w:b/>
                <w:sz w:val="15"/>
              </w:rPr>
              <w:t>Definition</w:t>
            </w:r>
          </w:p>
        </w:tc>
        <w:tc>
          <w:tcPr>
            <w:tcW w:type="dxa" w:w="3389"/>
            <w:shd w:fill="D9EAF7"/>
          </w:tcPr>
          <w:p>
            <w:r>
              <w:rPr>
                <w:b/>
                <w:sz w:val="15"/>
              </w:rPr>
              <w:t>Requirement</w:t>
            </w:r>
          </w:p>
        </w:tc>
      </w:tr>
      <w:tr>
        <w:tc>
          <w:tcPr>
            <w:tcW w:type="dxa" w:w="3389"/>
            <w:vAlign w:val="top"/>
          </w:tcPr>
          <w:p>
            <w:pPr>
              <w:spacing w:after="0"/>
            </w:pPr>
            <w:r>
              <w:rPr>
                <w:sz w:val="14"/>
              </w:rPr>
              <w:t>ADOPTED</w:t>
            </w:r>
          </w:p>
        </w:tc>
        <w:tc>
          <w:tcPr>
            <w:tcW w:type="dxa" w:w="3389"/>
            <w:vAlign w:val="top"/>
          </w:tcPr>
          <w:p>
            <w:pPr>
              <w:spacing w:after="0"/>
            </w:pPr>
            <w:r>
              <w:rPr>
                <w:sz w:val="14"/>
              </w:rPr>
              <w:t>Rule follows a published annotation rule without semantic change.</w:t>
            </w:r>
          </w:p>
        </w:tc>
        <w:tc>
          <w:tcPr>
            <w:tcW w:type="dxa" w:w="3389"/>
            <w:vAlign w:val="top"/>
          </w:tcPr>
          <w:p>
            <w:pPr>
              <w:spacing w:after="0"/>
            </w:pPr>
            <w:r>
              <w:rPr>
                <w:sz w:val="14"/>
              </w:rPr>
              <w:t>Cite exact source section/version.</w:t>
            </w:r>
          </w:p>
        </w:tc>
      </w:tr>
      <w:tr>
        <w:tc>
          <w:tcPr>
            <w:tcW w:type="dxa" w:w="3389"/>
            <w:vAlign w:val="top"/>
          </w:tcPr>
          <w:p>
            <w:pPr>
              <w:spacing w:after="0"/>
            </w:pPr>
            <w:r>
              <w:rPr>
                <w:sz w:val="14"/>
              </w:rPr>
              <w:t>ADAPTED</w:t>
            </w:r>
          </w:p>
        </w:tc>
        <w:tc>
          <w:tcPr>
            <w:tcW w:type="dxa" w:w="3389"/>
            <w:vAlign w:val="top"/>
          </w:tcPr>
          <w:p>
            <w:pPr>
              <w:spacing w:after="0"/>
            </w:pPr>
            <w:r>
              <w:rPr>
                <w:sz w:val="14"/>
              </w:rPr>
              <w:t>Published annotation rule is modified for MedAI schema/current terminology.</w:t>
            </w:r>
          </w:p>
        </w:tc>
        <w:tc>
          <w:tcPr>
            <w:tcW w:type="dxa" w:w="3389"/>
            <w:vAlign w:val="top"/>
          </w:tcPr>
          <w:p>
            <w:pPr>
              <w:spacing w:after="0"/>
            </w:pPr>
            <w:r>
              <w:rPr>
                <w:sz w:val="14"/>
              </w:rPr>
              <w:t>Document source rule + explicit delta.</w:t>
            </w:r>
          </w:p>
        </w:tc>
      </w:tr>
      <w:tr>
        <w:tc>
          <w:tcPr>
            <w:tcW w:type="dxa" w:w="3389"/>
            <w:vAlign w:val="top"/>
          </w:tcPr>
          <w:p>
            <w:pPr>
              <w:spacing w:after="0"/>
            </w:pPr>
            <w:r>
              <w:rPr>
                <w:sz w:val="14"/>
              </w:rPr>
              <w:t>EXTENDED</w:t>
            </w:r>
          </w:p>
        </w:tc>
        <w:tc>
          <w:tcPr>
            <w:tcW w:type="dxa" w:w="3389"/>
            <w:vAlign w:val="top"/>
          </w:tcPr>
          <w:p>
            <w:pPr>
              <w:spacing w:after="0"/>
            </w:pPr>
            <w:r>
              <w:rPr>
                <w:sz w:val="14"/>
              </w:rPr>
              <w:t>Published rule is retained but broadened to new document types/attributes/granularity.</w:t>
            </w:r>
          </w:p>
        </w:tc>
        <w:tc>
          <w:tcPr>
            <w:tcW w:type="dxa" w:w="3389"/>
            <w:vAlign w:val="top"/>
          </w:tcPr>
          <w:p>
            <w:pPr>
              <w:spacing w:after="0"/>
            </w:pPr>
            <w:r>
              <w:rPr>
                <w:sz w:val="14"/>
              </w:rPr>
              <w:t>State extension and clinician-review status.</w:t>
            </w:r>
          </w:p>
        </w:tc>
      </w:tr>
      <w:tr>
        <w:tc>
          <w:tcPr>
            <w:tcW w:type="dxa" w:w="3389"/>
            <w:vAlign w:val="top"/>
          </w:tcPr>
          <w:p>
            <w:pPr>
              <w:spacing w:after="0"/>
            </w:pPr>
            <w:r>
              <w:rPr>
                <w:sz w:val="14"/>
              </w:rPr>
              <w:t>MEDAI-PROPOSED</w:t>
            </w:r>
          </w:p>
        </w:tc>
        <w:tc>
          <w:tcPr>
            <w:tcW w:type="dxa" w:w="3389"/>
            <w:vAlign w:val="top"/>
          </w:tcPr>
          <w:p>
            <w:pPr>
              <w:spacing w:after="0"/>
            </w:pPr>
            <w:r>
              <w:rPr>
                <w:sz w:val="14"/>
              </w:rPr>
              <w:t>No adequate published annotation rule was identified.</w:t>
            </w:r>
          </w:p>
        </w:tc>
        <w:tc>
          <w:tcPr>
            <w:tcW w:type="dxa" w:w="3389"/>
            <w:vAlign w:val="top"/>
          </w:tcPr>
          <w:p>
            <w:pPr>
              <w:spacing w:after="0"/>
            </w:pPr>
            <w:r>
              <w:rPr>
                <w:sz w:val="14"/>
              </w:rPr>
              <w:t>Give rationale, examples/counterexamples, and require clinician review before gold use.</w:t>
            </w:r>
          </w:p>
        </w:tc>
      </w:tr>
    </w:tbl>
    <w:p/>
    <w:p>
      <w:pPr>
        <w:pStyle w:val="Heading1"/>
      </w:pPr>
      <w:r>
        <w:t>9. Known gaps after Phase 2</w:t>
      </w:r>
    </w:p>
    <w:p>
      <w:pPr>
        <w:pStyle w:val="ListBullet"/>
      </w:pPr>
      <w:r>
        <w:t>ILAE-2025 seizure-type/consciousness extraction-from-prose rules at MedAI granularity.</w:t>
      </w:r>
    </w:p>
    <w:p>
      <w:pPr>
        <w:pStyle w:val="ListBullet"/>
      </w:pPr>
      <w:r>
        <w:t>Detailed EEG report phenotype extraction for IED location/laterality and ictal localization using current reporting terminology.</w:t>
      </w:r>
    </w:p>
    <w:p>
      <w:pPr>
        <w:pStyle w:val="ListBullet"/>
      </w:pPr>
      <w:r>
        <w:t>MRI epilepsy-lesion extraction rules that separate imaging impression from pathology subtype.</w:t>
      </w:r>
    </w:p>
    <w:p>
      <w:pPr>
        <w:pStyle w:val="ListBullet"/>
      </w:pPr>
      <w:r>
        <w:t>DRE annotation rules that operationalize adequacy/tolerability/appropriateness without over-inference.</w:t>
      </w:r>
    </w:p>
    <w:p>
      <w:pPr>
        <w:pStyle w:val="ListBullet"/>
      </w:pPr>
      <w:r>
        <w:t>General longitudinal temporality beyond seizure-frequency expressions.</w:t>
      </w:r>
    </w:p>
    <w:p>
      <w:pPr>
        <w:pStyle w:val="ListBullet"/>
      </w:pPr>
      <w:r>
        <w:t>Cross-document contradiction handling and cross-modal concordance.</w:t>
      </w:r>
    </w:p>
    <w:p>
      <w:pPr>
        <w:pStyle w:val="ListBullet"/>
      </w:pPr>
      <w:r>
        <w:t>Exact artifact-level license metadata for every third-party file that might be redistributed.</w:t>
      </w:r>
    </w:p>
    <w:p>
      <w:pPr>
        <w:pStyle w:val="Heading1"/>
      </w:pPr>
      <w:r>
        <w:t>10. Phase 2 release gates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4"/>
              </w:rPr>
              <w:t>Gate</w:t>
            </w:r>
          </w:p>
        </w:tc>
        <w:tc>
          <w:tcPr>
            <w:tcW w:type="dxa" w:w="3389"/>
            <w:shd w:fill="D9EAF7"/>
          </w:tcPr>
          <w:p>
            <w:r>
              <w:rPr>
                <w:b/>
                <w:sz w:val="14"/>
              </w:rPr>
              <w:t>Pass condition</w:t>
            </w:r>
          </w:p>
        </w:tc>
        <w:tc>
          <w:tcPr>
            <w:tcW w:type="dxa" w:w="3389"/>
            <w:shd w:fill="D9EAF7"/>
          </w:tcPr>
          <w:p>
            <w:r>
              <w:rPr>
                <w:b/>
                <w:sz w:val="14"/>
              </w:rPr>
              <w:t>Status</w:t>
            </w:r>
          </w:p>
        </w:tc>
      </w:tr>
      <w:tr>
        <w:tc>
          <w:tcPr>
            <w:tcW w:type="dxa" w:w="3389"/>
            <w:vAlign w:val="top"/>
          </w:tcPr>
          <w:p>
            <w:pPr>
              <w:spacing w:after="0"/>
            </w:pPr>
            <w:r>
              <w:rPr>
                <w:sz w:val="14"/>
              </w:rPr>
              <w:t>P2-G1 ExECTv2 existence/data links</w:t>
            </w:r>
          </w:p>
        </w:tc>
        <w:tc>
          <w:tcPr>
            <w:tcW w:type="dxa" w:w="3389"/>
            <w:vAlign w:val="top"/>
          </w:tcPr>
          <w:p>
            <w:pPr>
              <w:spacing w:after="0"/>
            </w:pPr>
            <w:r>
              <w:rPr>
                <w:sz w:val="14"/>
              </w:rPr>
              <w:t>Article verifies letters, guidelines, gold JSON and human CSV resources.</w:t>
            </w:r>
          </w:p>
        </w:tc>
        <w:tc>
          <w:tcPr>
            <w:tcW w:type="dxa" w:w="3389"/>
            <w:vAlign w:val="top"/>
          </w:tcPr>
          <w:p>
            <w:pPr>
              <w:spacing w:after="0"/>
            </w:pPr>
            <w:r>
              <w:rPr>
                <w:sz w:val="14"/>
              </w:rPr>
              <w:t>PASS</w:t>
            </w:r>
          </w:p>
        </w:tc>
      </w:tr>
      <w:tr>
        <w:tc>
          <w:tcPr>
            <w:tcW w:type="dxa" w:w="3389"/>
            <w:vAlign w:val="top"/>
          </w:tcPr>
          <w:p>
            <w:pPr>
              <w:spacing w:after="0"/>
            </w:pPr>
            <w:r>
              <w:rPr>
                <w:sz w:val="14"/>
              </w:rPr>
              <w:t>P2-G2 ExECTv2 artifact extraction</w:t>
            </w:r>
          </w:p>
        </w:tc>
        <w:tc>
          <w:tcPr>
            <w:tcW w:type="dxa" w:w="3389"/>
            <w:vAlign w:val="top"/>
          </w:tcPr>
          <w:p>
            <w:pPr>
              <w:spacing w:after="0"/>
            </w:pPr>
            <w:r>
              <w:rPr>
                <w:sz w:val="14"/>
              </w:rPr>
              <w:t>Actual annotation guideline file parsed into rule-level inventory.</w:t>
            </w:r>
          </w:p>
        </w:tc>
        <w:tc>
          <w:tcPr>
            <w:tcW w:type="dxa" w:w="3389"/>
            <w:vAlign w:val="top"/>
          </w:tcPr>
          <w:p>
            <w:pPr>
              <w:spacing w:after="0"/>
            </w:pPr>
            <w:r>
              <w:rPr>
                <w:sz w:val="14"/>
              </w:rPr>
              <w:t>PENDING</w:t>
            </w:r>
          </w:p>
        </w:tc>
      </w:tr>
      <w:tr>
        <w:tc>
          <w:tcPr>
            <w:tcW w:type="dxa" w:w="3389"/>
            <w:vAlign w:val="top"/>
          </w:tcPr>
          <w:p>
            <w:pPr>
              <w:spacing w:after="0"/>
            </w:pPr>
            <w:r>
              <w:rPr>
                <w:sz w:val="14"/>
              </w:rPr>
              <w:t>P2-G3 SZFreqExtract availability</w:t>
            </w:r>
          </w:p>
        </w:tc>
        <w:tc>
          <w:tcPr>
            <w:tcW w:type="dxa" w:w="3389"/>
            <w:vAlign w:val="top"/>
          </w:tcPr>
          <w:p>
            <w:pPr>
              <w:spacing w:after="0"/>
            </w:pPr>
            <w:r>
              <w:rPr>
                <w:sz w:val="14"/>
              </w:rPr>
              <w:t>Paper verifies public de-identified segments/code.</w:t>
            </w:r>
          </w:p>
        </w:tc>
        <w:tc>
          <w:tcPr>
            <w:tcW w:type="dxa" w:w="3389"/>
            <w:vAlign w:val="top"/>
          </w:tcPr>
          <w:p>
            <w:pPr>
              <w:spacing w:after="0"/>
            </w:pPr>
            <w:r>
              <w:rPr>
                <w:sz w:val="14"/>
              </w:rPr>
              <w:t>PASS</w:t>
            </w:r>
          </w:p>
        </w:tc>
      </w:tr>
      <w:tr>
        <w:tc>
          <w:tcPr>
            <w:tcW w:type="dxa" w:w="3389"/>
            <w:vAlign w:val="top"/>
          </w:tcPr>
          <w:p>
            <w:pPr>
              <w:spacing w:after="0"/>
            </w:pPr>
            <w:r>
              <w:rPr>
                <w:sz w:val="14"/>
              </w:rPr>
              <w:t>P2-G4 SZFreqExtract repository license</w:t>
            </w:r>
          </w:p>
        </w:tc>
        <w:tc>
          <w:tcPr>
            <w:tcW w:type="dxa" w:w="3389"/>
            <w:vAlign w:val="top"/>
          </w:tcPr>
          <w:p>
            <w:pPr>
              <w:spacing w:after="0"/>
            </w:pPr>
            <w:r>
              <w:rPr>
                <w:sz w:val="14"/>
              </w:rPr>
              <w:t>Repository/data license verified directly.</w:t>
            </w:r>
          </w:p>
        </w:tc>
        <w:tc>
          <w:tcPr>
            <w:tcW w:type="dxa" w:w="3389"/>
            <w:vAlign w:val="top"/>
          </w:tcPr>
          <w:p>
            <w:pPr>
              <w:spacing w:after="0"/>
            </w:pPr>
            <w:r>
              <w:rPr>
                <w:sz w:val="14"/>
              </w:rPr>
              <w:t>PENDING</w:t>
            </w:r>
          </w:p>
        </w:tc>
      </w:tr>
      <w:tr>
        <w:tc>
          <w:tcPr>
            <w:tcW w:type="dxa" w:w="3389"/>
            <w:vAlign w:val="top"/>
          </w:tcPr>
          <w:p>
            <w:pPr>
              <w:spacing w:after="0"/>
            </w:pPr>
            <w:r>
              <w:rPr>
                <w:sz w:val="14"/>
              </w:rPr>
              <w:t>P2-G5 TUH current access</w:t>
            </w:r>
          </w:p>
        </w:tc>
        <w:tc>
          <w:tcPr>
            <w:tcW w:type="dxa" w:w="3389"/>
            <w:vAlign w:val="top"/>
          </w:tcPr>
          <w:p>
            <w:pPr>
              <w:spacing w:after="0"/>
            </w:pPr>
            <w:r>
              <w:rPr>
                <w:sz w:val="14"/>
              </w:rPr>
              <w:t>Current official page reviewed; registration required; reports no longer distributed.</w:t>
            </w:r>
          </w:p>
        </w:tc>
        <w:tc>
          <w:tcPr>
            <w:tcW w:type="dxa" w:w="3389"/>
            <w:vAlign w:val="top"/>
          </w:tcPr>
          <w:p>
            <w:pPr>
              <w:spacing w:after="0"/>
            </w:pPr>
            <w:r>
              <w:rPr>
                <w:sz w:val="14"/>
              </w:rPr>
              <w:t>PASS</w:t>
            </w:r>
          </w:p>
        </w:tc>
      </w:tr>
      <w:tr>
        <w:tc>
          <w:tcPr>
            <w:tcW w:type="dxa" w:w="3389"/>
            <w:vAlign w:val="top"/>
          </w:tcPr>
          <w:p>
            <w:pPr>
              <w:spacing w:after="0"/>
            </w:pPr>
            <w:r>
              <w:rPr>
                <w:sz w:val="14"/>
              </w:rPr>
              <w:t>P2-G6 Third-party redistribution</w:t>
            </w:r>
          </w:p>
        </w:tc>
        <w:tc>
          <w:tcPr>
            <w:tcW w:type="dxa" w:w="3389"/>
            <w:vAlign w:val="top"/>
          </w:tcPr>
          <w:p>
            <w:pPr>
              <w:spacing w:after="0"/>
            </w:pPr>
            <w:r>
              <w:rPr>
                <w:sz w:val="14"/>
              </w:rPr>
              <w:t>Every bundled third-party artifact has recorded license/permission.</w:t>
            </w:r>
          </w:p>
        </w:tc>
        <w:tc>
          <w:tcPr>
            <w:tcW w:type="dxa" w:w="3389"/>
            <w:vAlign w:val="top"/>
          </w:tcPr>
          <w:p>
            <w:pPr>
              <w:spacing w:after="0"/>
            </w:pPr>
            <w:r>
              <w:rPr>
                <w:sz w:val="14"/>
              </w:rPr>
              <w:t>PENDING</w:t>
            </w:r>
          </w:p>
        </w:tc>
      </w:tr>
      <w:tr>
        <w:tc>
          <w:tcPr>
            <w:tcW w:type="dxa" w:w="3389"/>
            <w:vAlign w:val="top"/>
          </w:tcPr>
          <w:p>
            <w:pPr>
              <w:spacing w:after="0"/>
            </w:pPr>
            <w:r>
              <w:rPr>
                <w:sz w:val="14"/>
              </w:rPr>
              <w:t>P2-G7 MedAI field crosswalk</w:t>
            </w:r>
          </w:p>
        </w:tc>
        <w:tc>
          <w:tcPr>
            <w:tcW w:type="dxa" w:w="3389"/>
            <w:vAlign w:val="top"/>
          </w:tcPr>
          <w:p>
            <w:pPr>
              <w:spacing w:after="0"/>
            </w:pPr>
            <w:r>
              <w:rPr>
                <w:sz w:val="14"/>
              </w:rPr>
              <w:t>Initial coverage/gap crosswalk created.</w:t>
            </w:r>
          </w:p>
        </w:tc>
        <w:tc>
          <w:tcPr>
            <w:tcW w:type="dxa" w:w="3389"/>
            <w:vAlign w:val="top"/>
          </w:tcPr>
          <w:p>
            <w:pPr>
              <w:spacing w:after="0"/>
            </w:pPr>
            <w:r>
              <w:rPr>
                <w:sz w:val="14"/>
              </w:rPr>
              <w:t>PASS</w:t>
            </w:r>
          </w:p>
        </w:tc>
      </w:tr>
    </w:tbl>
    <w:p/>
    <w:p>
      <w:pPr>
        <w:pStyle w:val="Heading1"/>
      </w:pPr>
      <w:r>
        <w:t>11. Phase 2 decision</w:t>
      </w:r>
    </w:p>
    <w:tbl>
      <w:tblPr>
        <w:tblStyle w:val="TableGrid"/>
        <w:tblW w:type="auto" w:w="0"/>
        <w:tblLook w:firstColumn="1" w:firstRow="1" w:lastColumn="0" w:lastRow="0" w:noHBand="0" w:noVBand="1" w:val="04A0"/>
      </w:tblPr>
      <w:tblGrid>
        <w:gridCol w:w="10166"/>
      </w:tblGrid>
      <w:tr>
        <w:tc>
          <w:tcPr>
            <w:tcW w:type="dxa" w:w="10166"/>
            <w:shd w:fill="E2F0D9"/>
          </w:tcPr>
          <w:p>
            <w:r>
              <w:rPr>
                <w:b/>
                <w:color w:val="17365D"/>
              </w:rPr>
              <w:t>PASS FOR DESIGN; ARTIFACT EXTRACTION STILL REQUIRED</w:t>
              <w:br/>
            </w:r>
            <w:r>
              <w:t>We now have enough evidence to design the MedAI Semantic Data Dictionary and the structure of the Annotation Manual. However, the final annotation manual must not be frozen until the actual ExECTv2 guideline artifact has been retrieved and converted into a rule-level inventory, and all third-party data licenses intended for redistribution have been verified.</w:t>
            </w:r>
          </w:p>
        </w:tc>
      </w:tr>
    </w:tbl>
    <w:p/>
    <w:p>
      <w:pPr>
        <w:pStyle w:val="Heading1"/>
      </w:pPr>
      <w:r>
        <w:t>12. Required next artifacts</w:t>
      </w:r>
    </w:p>
    <w:p>
      <w:pPr>
        <w:pStyle w:val="ListBullet"/>
      </w:pPr>
      <w:r>
        <w:t>ExECTv2_Annotation_Rule_Inventory.csv — one row per published annotation rule/attribute/example family.</w:t>
      </w:r>
    </w:p>
    <w:p>
      <w:pPr>
        <w:pStyle w:val="ListBullet"/>
      </w:pPr>
      <w:r>
        <w:t>MedAI_vs_ExECTv2_Field_Crosswalk.csv — exact adopted/adapted/extended/new classification.</w:t>
      </w:r>
    </w:p>
    <w:p>
      <w:pPr>
        <w:pStyle w:val="ListBullet"/>
      </w:pPr>
      <w:r>
        <w:t>SZFreqExtract_Attribute_Crosswalk.csv — all reported seizure-frequency attributes mapped to MedAI temporal schema.</w:t>
      </w:r>
    </w:p>
    <w:p>
      <w:pPr>
        <w:pStyle w:val="ListBullet"/>
      </w:pPr>
      <w:r>
        <w:t>MedAI Semantic Data Dictionary v1.0 — definition/value/source cards using Phase 1 standards plus Phase 2 annotatability evidence.</w:t>
      </w:r>
    </w:p>
    <w:p>
      <w:pPr>
        <w:pStyle w:val="ListBullet"/>
      </w:pPr>
      <w:r>
        <w:t>MedAI Annotation Manual v0.1 — only after the above rule inventories are complete.</w:t>
      </w:r>
    </w:p>
    <w:p>
      <w:pPr>
        <w:pStyle w:val="Heading1"/>
      </w:pPr>
      <w:r>
        <w:t>13. Evidence references used in this audit</w:t>
      </w:r>
    </w:p>
    <w:p>
      <w:r>
        <w:t>1. Fonferko-Shadrach B, Strafford H, Jones C, et al. Annotation of epilepsy clinic letters for natural language processing. Journal of Biomedical Semantics. 2024;15:17. DOI 10.1186/s13326-024-00316-z.</w:t>
      </w:r>
    </w:p>
    <w:p>
      <w:r>
        <w:t>2. Zenodo 10.5281/zenodo.8356494. Gold standard annotations for 200 synthetic epilepsy clinic letters in JSON format.</w:t>
      </w:r>
    </w:p>
    <w:p>
      <w:r>
        <w:t>3. Fonferko-Shadrach B, Lacey AS, Roberts A, et al. Using natural language processing to extract structured epilepsy data from unstructured clinic letters: development and validation of the ExECT system. BMJ Open. 2019;9:e023232.</w:t>
      </w:r>
    </w:p>
    <w:p>
      <w:r>
        <w:t>4. Abeysinghe R, Tao S, Lhatoo SD, Zhang G-Q, Cui L. Leveraging pretrained language models for seizure frequency extraction from epilepsy evaluation reports. npj Digital Medicine. 2025;8:208. DOI 10.1038/s41746-025-01592-4.</w:t>
      </w:r>
    </w:p>
    <w:p>
      <w:r>
        <w:t>5. Sahoo SS, et al. EpiDEA: Extracting Structured Epilepsy and Seizure Information from Patient Discharge Summaries for Cohort Identification. 2013. PMID 23304396.</w:t>
      </w:r>
    </w:p>
    <w:p>
      <w:r>
        <w:t>6. Obeid I, Picone J. The Temple University Hospital EEG Data Corpus. Frontiers in Neuroscience. 2016;10:196. DOI 10.3389/fnins.2016.00196.</w:t>
      </w:r>
    </w:p>
    <w:p>
      <w:r>
        <w:t>7. Temple University / NEDC. TUH EEG Corpus current download/access page, reviewed 25 Sep 2026.</w:t>
      </w:r>
    </w:p>
    <w:p>
      <w:r>
        <w:t>8. Wang et al. Are synthetic clinical notes useful for real natural language processing tasks? A case study on clinical entity recognition. 2021.</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