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17365D"/>
          <w:sz w:val="68"/>
        </w:rPr>
        <w:t>MedAI</w:t>
      </w:r>
    </w:p>
    <w:p>
      <w:pPr>
        <w:jc w:val="center"/>
      </w:pPr>
      <w:r>
        <w:rPr>
          <w:b/>
          <w:color w:val="2F5597"/>
          <w:sz w:val="40"/>
        </w:rPr>
        <w:t>Phase 3C — Clinical-Document Phenotype Model</w:t>
      </w:r>
    </w:p>
    <w:p>
      <w:pPr>
        <w:jc w:val="center"/>
      </w:pPr>
      <w:r>
        <w:rPr>
          <w:sz w:val="22"/>
        </w:rPr>
        <w:t>Version 1.0 • 25 September 2026</w:t>
        <w:br/>
        <w:t>Document → evidence → assertion → standardized concept → derived patient view</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Scope</w:t>
              <w:br/>
            </w:r>
            <w:r>
              <w:t>Phase 3C defines how MedAI represents clinical meaning extracted from text. MRI and EEG in Paper 1 mean MRI reports and EEG reports as clinical documents—not raw image volumes or raw waveforms. Raw modalities remain a later multimodal layer.</w:t>
            </w:r>
          </w:p>
        </w:tc>
      </w:tr>
    </w:tbl>
    <w:p/>
    <w:p>
      <w:r>
        <w:br w:type="page"/>
      </w:r>
    </w:p>
    <w:p>
      <w:pPr>
        <w:pStyle w:val="Heading1"/>
      </w:pPr>
      <w:r>
        <w:t>1. Design correction from Phase 3B</w:t>
      </w:r>
    </w:p>
    <w:p>
      <w:r>
        <w:t>Phase 3B reconstructed authoritative source taxonomies. Phase 3C does not alter those taxonomies. Instead, it defines a document-centered application model that can point to source concepts while preserving exactly where a statement came from and whether it was directly stated, normalized, or derived.</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rPr>
              <w:t>Canonical flow</w:t>
              <w:br/>
            </w:r>
            <w:r>
              <w:t>ClinicalDocument → EvidenceSpan → PhenotypeAssertion → SourceConcept</w:t>
              <w:br/>
              <w:br/>
              <w:t>Optional downstream flow: DIRECT → NORMALIZED → DERIVED → PatientPhenotypeView</w:t>
            </w:r>
          </w:p>
        </w:tc>
      </w:tr>
    </w:tbl>
    <w:p/>
    <w:p>
      <w:pPr>
        <w:pStyle w:val="Heading1"/>
      </w:pPr>
      <w:r>
        <w:t>2. Why the document is the input surface</w:t>
      </w:r>
    </w:p>
    <w:p>
      <w:r>
        <w:t>For Paper 1, heterogeneous clinical documentation is textual. An MRI report is text describing imaging; an EEG report is text describing an electrophysiologic study. These reports are distinct from raw MRI DICOM/NIfTI and raw EEG EDF/BDF. The text NLP benchmark therefore treats them as document types while preserving their clinical provenance.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4"/>
              </w:rPr>
              <w:t>Clinical source</w:t>
            </w:r>
          </w:p>
        </w:tc>
        <w:tc>
          <w:tcPr>
            <w:tcW w:type="dxa" w:w="3389"/>
            <w:shd w:fill="D9EAF7"/>
          </w:tcPr>
          <w:p>
            <w:r>
              <w:rPr>
                <w:b/>
                <w:sz w:val="14"/>
              </w:rPr>
              <w:t>Paper 1 input</w:t>
            </w:r>
          </w:p>
        </w:tc>
        <w:tc>
          <w:tcPr>
            <w:tcW w:type="dxa" w:w="3389"/>
            <w:shd w:fill="D9EAF7"/>
          </w:tcPr>
          <w:p>
            <w:r>
              <w:rPr>
                <w:b/>
                <w:sz w:val="14"/>
              </w:rPr>
              <w:t>Later multimodal input</w:t>
            </w:r>
          </w:p>
        </w:tc>
      </w:tr>
      <w:tr>
        <w:tc>
          <w:tcPr>
            <w:tcW w:type="dxa" w:w="3389"/>
            <w:vAlign w:val="top"/>
          </w:tcPr>
          <w:p>
            <w:pPr>
              <w:spacing w:after="0"/>
            </w:pPr>
            <w:r>
              <w:rPr>
                <w:sz w:val="13"/>
              </w:rPr>
              <w:t>MRI</w:t>
            </w:r>
          </w:p>
        </w:tc>
        <w:tc>
          <w:tcPr>
            <w:tcW w:type="dxa" w:w="3389"/>
            <w:vAlign w:val="top"/>
          </w:tcPr>
          <w:p>
            <w:pPr>
              <w:spacing w:after="0"/>
            </w:pPr>
            <w:r>
              <w:rPr>
                <w:sz w:val="13"/>
              </w:rPr>
              <w:t>Radiology/MRI report text</w:t>
            </w:r>
          </w:p>
        </w:tc>
        <w:tc>
          <w:tcPr>
            <w:tcW w:type="dxa" w:w="3389"/>
            <w:vAlign w:val="top"/>
          </w:tcPr>
          <w:p>
            <w:pPr>
              <w:spacing w:after="0"/>
            </w:pPr>
            <w:r>
              <w:rPr>
                <w:sz w:val="13"/>
              </w:rPr>
              <w:t>Raw MRI image + quantitative imaging pipeline</w:t>
            </w:r>
          </w:p>
        </w:tc>
      </w:tr>
      <w:tr>
        <w:tc>
          <w:tcPr>
            <w:tcW w:type="dxa" w:w="3389"/>
            <w:vAlign w:val="top"/>
          </w:tcPr>
          <w:p>
            <w:pPr>
              <w:spacing w:after="0"/>
            </w:pPr>
            <w:r>
              <w:rPr>
                <w:sz w:val="13"/>
              </w:rPr>
              <w:t>EEG</w:t>
            </w:r>
          </w:p>
        </w:tc>
        <w:tc>
          <w:tcPr>
            <w:tcW w:type="dxa" w:w="3389"/>
            <w:vAlign w:val="top"/>
          </w:tcPr>
          <w:p>
            <w:pPr>
              <w:spacing w:after="0"/>
            </w:pPr>
            <w:r>
              <w:rPr>
                <w:sz w:val="13"/>
              </w:rPr>
              <w:t>EEG/EMU interpretation text</w:t>
            </w:r>
          </w:p>
        </w:tc>
        <w:tc>
          <w:tcPr>
            <w:tcW w:type="dxa" w:w="3389"/>
            <w:vAlign w:val="top"/>
          </w:tcPr>
          <w:p>
            <w:pPr>
              <w:spacing w:after="0"/>
            </w:pPr>
            <w:r>
              <w:rPr>
                <w:sz w:val="13"/>
              </w:rPr>
              <w:t>Raw EEG signal + signal model</w:t>
            </w:r>
          </w:p>
        </w:tc>
      </w:tr>
      <w:tr>
        <w:tc>
          <w:tcPr>
            <w:tcW w:type="dxa" w:w="3389"/>
            <w:vAlign w:val="top"/>
          </w:tcPr>
          <w:p>
            <w:pPr>
              <w:spacing w:after="0"/>
            </w:pPr>
            <w:r>
              <w:rPr>
                <w:sz w:val="13"/>
              </w:rPr>
              <w:t>Neurology</w:t>
            </w:r>
          </w:p>
        </w:tc>
        <w:tc>
          <w:tcPr>
            <w:tcW w:type="dxa" w:w="3389"/>
            <w:vAlign w:val="top"/>
          </w:tcPr>
          <w:p>
            <w:pPr>
              <w:spacing w:after="0"/>
            </w:pPr>
            <w:r>
              <w:rPr>
                <w:sz w:val="13"/>
              </w:rPr>
              <w:t>Progress/consult/presurgical text</w:t>
            </w:r>
          </w:p>
        </w:tc>
        <w:tc>
          <w:tcPr>
            <w:tcW w:type="dxa" w:w="3389"/>
            <w:vAlign w:val="top"/>
          </w:tcPr>
          <w:p>
            <w:pPr>
              <w:spacing w:after="0"/>
            </w:pPr>
            <w:r>
              <w:rPr>
                <w:sz w:val="13"/>
              </w:rPr>
              <w:t>Structured EHR or other modalities where available</w:t>
            </w:r>
          </w:p>
        </w:tc>
      </w:tr>
      <w:tr>
        <w:tc>
          <w:tcPr>
            <w:tcW w:type="dxa" w:w="3389"/>
            <w:vAlign w:val="top"/>
          </w:tcPr>
          <w:p>
            <w:pPr>
              <w:spacing w:after="0"/>
            </w:pPr>
            <w:r>
              <w:rPr>
                <w:sz w:val="13"/>
              </w:rPr>
              <w:t>Pathology</w:t>
            </w:r>
          </w:p>
        </w:tc>
        <w:tc>
          <w:tcPr>
            <w:tcW w:type="dxa" w:w="3389"/>
            <w:vAlign w:val="top"/>
          </w:tcPr>
          <w:p>
            <w:pPr>
              <w:spacing w:after="0"/>
            </w:pPr>
            <w:r>
              <w:rPr>
                <w:sz w:val="13"/>
              </w:rPr>
              <w:t>Pathology report text</w:t>
            </w:r>
          </w:p>
        </w:tc>
        <w:tc>
          <w:tcPr>
            <w:tcW w:type="dxa" w:w="3389"/>
            <w:vAlign w:val="top"/>
          </w:tcPr>
          <w:p>
            <w:pPr>
              <w:spacing w:after="0"/>
            </w:pPr>
            <w:r>
              <w:rPr>
                <w:sz w:val="13"/>
              </w:rPr>
              <w:t>Digital pathology if ever added</w:t>
            </w:r>
          </w:p>
        </w:tc>
      </w:tr>
    </w:tbl>
    <w:p/>
    <w:p>
      <w:pPr>
        <w:pStyle w:val="Heading1"/>
      </w:pPr>
      <w:r>
        <w:t>3. Core object model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2"/>
              </w:rPr>
              <w:t>Object</w:t>
            </w:r>
          </w:p>
        </w:tc>
        <w:tc>
          <w:tcPr>
            <w:tcW w:type="dxa" w:w="2541"/>
            <w:shd w:fill="D9EAF7"/>
          </w:tcPr>
          <w:p>
            <w:r>
              <w:rPr>
                <w:b/>
                <w:sz w:val="12"/>
              </w:rPr>
              <w:t>Definition</w:t>
            </w:r>
          </w:p>
        </w:tc>
        <w:tc>
          <w:tcPr>
            <w:tcW w:type="dxa" w:w="2541"/>
            <w:shd w:fill="D9EAF7"/>
          </w:tcPr>
          <w:p>
            <w:r>
              <w:rPr>
                <w:b/>
                <w:sz w:val="12"/>
              </w:rPr>
              <w:t>Key fields</w:t>
            </w:r>
          </w:p>
        </w:tc>
        <w:tc>
          <w:tcPr>
            <w:tcW w:type="dxa" w:w="2541"/>
            <w:shd w:fill="D9EAF7"/>
          </w:tcPr>
          <w:p>
            <w:r>
              <w:rPr>
                <w:b/>
                <w:sz w:val="12"/>
              </w:rPr>
              <w:t>Status</w:t>
            </w:r>
          </w:p>
        </w:tc>
      </w:tr>
      <w:tr>
        <w:tc>
          <w:tcPr>
            <w:tcW w:type="dxa" w:w="2541"/>
            <w:vAlign w:val="top"/>
          </w:tcPr>
          <w:p>
            <w:pPr>
              <w:spacing w:after="0"/>
            </w:pPr>
            <w:r>
              <w:rPr>
                <w:sz w:val="12"/>
              </w:rPr>
              <w:t>ClinicalDocument</w:t>
            </w:r>
          </w:p>
        </w:tc>
        <w:tc>
          <w:tcPr>
            <w:tcW w:type="dxa" w:w="2541"/>
            <w:vAlign w:val="top"/>
          </w:tcPr>
          <w:p>
            <w:pPr>
              <w:spacing w:after="0"/>
            </w:pPr>
            <w:r>
              <w:rPr>
                <w:sz w:val="12"/>
              </w:rPr>
              <w:t>Source document containing clinical text</w:t>
            </w:r>
          </w:p>
        </w:tc>
        <w:tc>
          <w:tcPr>
            <w:tcW w:type="dxa" w:w="2541"/>
            <w:vAlign w:val="top"/>
          </w:tcPr>
          <w:p>
            <w:pPr>
              <w:spacing w:after="0"/>
            </w:pPr>
            <w:r>
              <w:rPr>
                <w:sz w:val="12"/>
              </w:rPr>
              <w:t>document_id; patient_id; document_type; authored_datetime; encounter_id; author_role; text; synthetic_flag</w:t>
            </w:r>
          </w:p>
        </w:tc>
        <w:tc>
          <w:tcPr>
            <w:tcW w:type="dxa" w:w="2541"/>
            <w:vAlign w:val="top"/>
          </w:tcPr>
          <w:p>
            <w:pPr>
              <w:spacing w:after="0"/>
            </w:pPr>
            <w:r>
              <w:rPr>
                <w:sz w:val="12"/>
              </w:rPr>
              <w:t>Project data model</w:t>
            </w:r>
          </w:p>
        </w:tc>
      </w:tr>
      <w:tr>
        <w:tc>
          <w:tcPr>
            <w:tcW w:type="dxa" w:w="2541"/>
            <w:vAlign w:val="top"/>
          </w:tcPr>
          <w:p>
            <w:pPr>
              <w:spacing w:after="0"/>
            </w:pPr>
            <w:r>
              <w:rPr>
                <w:sz w:val="12"/>
              </w:rPr>
              <w:t>EvidenceSpan</w:t>
            </w:r>
          </w:p>
        </w:tc>
        <w:tc>
          <w:tcPr>
            <w:tcW w:type="dxa" w:w="2541"/>
            <w:vAlign w:val="top"/>
          </w:tcPr>
          <w:p>
            <w:pPr>
              <w:spacing w:after="0"/>
            </w:pPr>
            <w:r>
              <w:rPr>
                <w:sz w:val="12"/>
              </w:rPr>
              <w:t>Exact text supporting an assertion</w:t>
            </w:r>
          </w:p>
        </w:tc>
        <w:tc>
          <w:tcPr>
            <w:tcW w:type="dxa" w:w="2541"/>
            <w:vAlign w:val="top"/>
          </w:tcPr>
          <w:p>
            <w:pPr>
              <w:spacing w:after="0"/>
            </w:pPr>
            <w:r>
              <w:rPr>
                <w:sz w:val="12"/>
              </w:rPr>
              <w:t>evidence_id; document_id; start_offset; end_offset; evidence_text</w:t>
            </w:r>
          </w:p>
        </w:tc>
        <w:tc>
          <w:tcPr>
            <w:tcW w:type="dxa" w:w="2541"/>
            <w:vAlign w:val="top"/>
          </w:tcPr>
          <w:p>
            <w:pPr>
              <w:spacing w:after="0"/>
            </w:pPr>
            <w:r>
              <w:rPr>
                <w:sz w:val="12"/>
              </w:rPr>
              <w:t>Span annotation has published precedent; exact object structure is MedAI</w:t>
            </w:r>
          </w:p>
        </w:tc>
      </w:tr>
      <w:tr>
        <w:tc>
          <w:tcPr>
            <w:tcW w:type="dxa" w:w="2541"/>
            <w:vAlign w:val="top"/>
          </w:tcPr>
          <w:p>
            <w:pPr>
              <w:spacing w:after="0"/>
            </w:pPr>
            <w:r>
              <w:rPr>
                <w:sz w:val="12"/>
              </w:rPr>
              <w:t>SourceConcept</w:t>
            </w:r>
          </w:p>
        </w:tc>
        <w:tc>
          <w:tcPr>
            <w:tcW w:type="dxa" w:w="2541"/>
            <w:vAlign w:val="top"/>
          </w:tcPr>
          <w:p>
            <w:pPr>
              <w:spacing w:after="0"/>
            </w:pPr>
            <w:r>
              <w:rPr>
                <w:sz w:val="12"/>
              </w:rPr>
              <w:t>Concept from authoritative taxonomy/terminology</w:t>
            </w:r>
          </w:p>
        </w:tc>
        <w:tc>
          <w:tcPr>
            <w:tcW w:type="dxa" w:w="2541"/>
            <w:vAlign w:val="top"/>
          </w:tcPr>
          <w:p>
            <w:pPr>
              <w:spacing w:after="0"/>
            </w:pPr>
            <w:r>
              <w:rPr>
                <w:sz w:val="12"/>
              </w:rPr>
              <w:t>concept_id; preferred_label; concept_type; source_id; source_version; parent_concept_id</w:t>
            </w:r>
          </w:p>
        </w:tc>
        <w:tc>
          <w:tcPr>
            <w:tcW w:type="dxa" w:w="2541"/>
            <w:vAlign w:val="top"/>
          </w:tcPr>
          <w:p>
            <w:pPr>
              <w:spacing w:after="0"/>
            </w:pPr>
            <w:r>
              <w:rPr>
                <w:sz w:val="12"/>
              </w:rPr>
              <w:t>Backed by Phase 3B source taxonomy</w:t>
            </w:r>
          </w:p>
        </w:tc>
      </w:tr>
      <w:tr>
        <w:tc>
          <w:tcPr>
            <w:tcW w:type="dxa" w:w="2541"/>
            <w:vAlign w:val="top"/>
          </w:tcPr>
          <w:p>
            <w:pPr>
              <w:spacing w:after="0"/>
            </w:pPr>
            <w:r>
              <w:rPr>
                <w:sz w:val="12"/>
              </w:rPr>
              <w:t>PhenotypeAssertion</w:t>
            </w:r>
          </w:p>
        </w:tc>
        <w:tc>
          <w:tcPr>
            <w:tcW w:type="dxa" w:w="2541"/>
            <w:vAlign w:val="top"/>
          </w:tcPr>
          <w:p>
            <w:pPr>
              <w:spacing w:after="0"/>
            </w:pPr>
            <w:r>
              <w:rPr>
                <w:sz w:val="12"/>
              </w:rPr>
              <w:t>Atomic claim supported by document evidence</w:t>
            </w:r>
          </w:p>
        </w:tc>
        <w:tc>
          <w:tcPr>
            <w:tcW w:type="dxa" w:w="2541"/>
            <w:vAlign w:val="top"/>
          </w:tcPr>
          <w:p>
            <w:pPr>
              <w:spacing w:after="0"/>
            </w:pPr>
            <w:r>
              <w:rPr>
                <w:sz w:val="12"/>
              </w:rPr>
              <w:t>assertion_id; patient_id; concept_id; assertion_layer; polarity; certainty; temporality; experiencer; laterality; anatomy; value; source_document_id</w:t>
            </w:r>
          </w:p>
        </w:tc>
        <w:tc>
          <w:tcPr>
            <w:tcW w:type="dxa" w:w="2541"/>
            <w:vAlign w:val="top"/>
          </w:tcPr>
          <w:p>
            <w:pPr>
              <w:spacing w:after="0"/>
            </w:pPr>
            <w:r>
              <w:rPr>
                <w:sz w:val="12"/>
              </w:rPr>
              <w:t>Central MedAI object; project-defined application representation</w:t>
            </w:r>
          </w:p>
        </w:tc>
      </w:tr>
      <w:tr>
        <w:tc>
          <w:tcPr>
            <w:tcW w:type="dxa" w:w="2541"/>
            <w:vAlign w:val="top"/>
          </w:tcPr>
          <w:p>
            <w:pPr>
              <w:spacing w:after="0"/>
            </w:pPr>
            <w:r>
              <w:rPr>
                <w:sz w:val="12"/>
              </w:rPr>
              <w:t>AssertionRelation</w:t>
            </w:r>
          </w:p>
        </w:tc>
        <w:tc>
          <w:tcPr>
            <w:tcW w:type="dxa" w:w="2541"/>
            <w:vAlign w:val="top"/>
          </w:tcPr>
          <w:p>
            <w:pPr>
              <w:spacing w:after="0"/>
            </w:pPr>
            <w:r>
              <w:rPr>
                <w:sz w:val="12"/>
              </w:rPr>
              <w:t>Typed relation between assertions</w:t>
            </w:r>
          </w:p>
        </w:tc>
        <w:tc>
          <w:tcPr>
            <w:tcW w:type="dxa" w:w="2541"/>
            <w:vAlign w:val="top"/>
          </w:tcPr>
          <w:p>
            <w:pPr>
              <w:spacing w:after="0"/>
            </w:pPr>
            <w:r>
              <w:rPr>
                <w:sz w:val="12"/>
              </w:rPr>
              <w:t>relation_id; subject_assertion_id; predicate; object_assertion_id; evidence_scope</w:t>
            </w:r>
          </w:p>
        </w:tc>
        <w:tc>
          <w:tcPr>
            <w:tcW w:type="dxa" w:w="2541"/>
            <w:vAlign w:val="top"/>
          </w:tcPr>
          <w:p>
            <w:pPr>
              <w:spacing w:after="0"/>
            </w:pPr>
            <w:r>
              <w:rPr>
                <w:sz w:val="12"/>
              </w:rPr>
              <w:t>Needed for structured relations without flattening</w:t>
            </w:r>
          </w:p>
        </w:tc>
      </w:tr>
      <w:tr>
        <w:tc>
          <w:tcPr>
            <w:tcW w:type="dxa" w:w="2541"/>
            <w:vAlign w:val="top"/>
          </w:tcPr>
          <w:p>
            <w:pPr>
              <w:spacing w:after="0"/>
            </w:pPr>
            <w:r>
              <w:rPr>
                <w:sz w:val="12"/>
              </w:rPr>
              <w:t>NormalizedAssertion</w:t>
            </w:r>
          </w:p>
        </w:tc>
        <w:tc>
          <w:tcPr>
            <w:tcW w:type="dxa" w:w="2541"/>
            <w:vAlign w:val="top"/>
          </w:tcPr>
          <w:p>
            <w:pPr>
              <w:spacing w:after="0"/>
            </w:pPr>
            <w:r>
              <w:rPr>
                <w:sz w:val="12"/>
              </w:rPr>
              <w:t>Source-text assertion mapped to standardized concept/value without adding unsupported clinical inference</w:t>
            </w:r>
          </w:p>
        </w:tc>
        <w:tc>
          <w:tcPr>
            <w:tcW w:type="dxa" w:w="2541"/>
            <w:vAlign w:val="top"/>
          </w:tcPr>
          <w:p>
            <w:pPr>
              <w:spacing w:after="0"/>
            </w:pPr>
            <w:r>
              <w:rPr>
                <w:sz w:val="12"/>
              </w:rPr>
              <w:t>assertion_id; derived_from_assertion_id; normalized_concept/value; mapping_status</w:t>
            </w:r>
          </w:p>
        </w:tc>
        <w:tc>
          <w:tcPr>
            <w:tcW w:type="dxa" w:w="2541"/>
            <w:vAlign w:val="top"/>
          </w:tcPr>
          <w:p>
            <w:pPr>
              <w:spacing w:after="0"/>
            </w:pPr>
            <w:r>
              <w:rPr>
                <w:sz w:val="12"/>
              </w:rPr>
              <w:t>Project-defined distinction</w:t>
            </w:r>
          </w:p>
        </w:tc>
      </w:tr>
      <w:tr>
        <w:tc>
          <w:tcPr>
            <w:tcW w:type="dxa" w:w="2541"/>
            <w:vAlign w:val="top"/>
          </w:tcPr>
          <w:p>
            <w:pPr>
              <w:spacing w:after="0"/>
            </w:pPr>
            <w:r>
              <w:rPr>
                <w:sz w:val="12"/>
              </w:rPr>
              <w:t>DerivedAssertion</w:t>
            </w:r>
          </w:p>
        </w:tc>
        <w:tc>
          <w:tcPr>
            <w:tcW w:type="dxa" w:w="2541"/>
            <w:vAlign w:val="top"/>
          </w:tcPr>
          <w:p>
            <w:pPr>
              <w:spacing w:after="0"/>
            </w:pPr>
            <w:r>
              <w:rPr>
                <w:sz w:val="12"/>
              </w:rPr>
              <w:t>Patient/document-level conclusion computed from one or more assertions under an explicit rule</w:t>
            </w:r>
          </w:p>
        </w:tc>
        <w:tc>
          <w:tcPr>
            <w:tcW w:type="dxa" w:w="2541"/>
            <w:vAlign w:val="top"/>
          </w:tcPr>
          <w:p>
            <w:pPr>
              <w:spacing w:after="0"/>
            </w:pPr>
            <w:r>
              <w:rPr>
                <w:sz w:val="12"/>
              </w:rPr>
              <w:t>assertion_id; derivation_rule_id; input_assertion_ids; output_concept/value; review_status</w:t>
            </w:r>
          </w:p>
        </w:tc>
        <w:tc>
          <w:tcPr>
            <w:tcW w:type="dxa" w:w="2541"/>
            <w:vAlign w:val="top"/>
          </w:tcPr>
          <w:p>
            <w:pPr>
              <w:spacing w:after="0"/>
            </w:pPr>
            <w:r>
              <w:rPr>
                <w:sz w:val="12"/>
              </w:rPr>
              <w:t>Must never masquerade as direct text evidence</w:t>
            </w:r>
          </w:p>
        </w:tc>
      </w:tr>
      <w:tr>
        <w:tc>
          <w:tcPr>
            <w:tcW w:type="dxa" w:w="2541"/>
            <w:vAlign w:val="top"/>
          </w:tcPr>
          <w:p>
            <w:pPr>
              <w:spacing w:after="0"/>
            </w:pPr>
            <w:r>
              <w:rPr>
                <w:sz w:val="12"/>
              </w:rPr>
              <w:t>PatientPhenotypeView</w:t>
            </w:r>
          </w:p>
        </w:tc>
        <w:tc>
          <w:tcPr>
            <w:tcW w:type="dxa" w:w="2541"/>
            <w:vAlign w:val="top"/>
          </w:tcPr>
          <w:p>
            <w:pPr>
              <w:spacing w:after="0"/>
            </w:pPr>
            <w:r>
              <w:rPr>
                <w:sz w:val="12"/>
              </w:rPr>
              <w:t>Time-aware aggregation of assertions for analysis</w:t>
            </w:r>
          </w:p>
        </w:tc>
        <w:tc>
          <w:tcPr>
            <w:tcW w:type="dxa" w:w="2541"/>
            <w:vAlign w:val="top"/>
          </w:tcPr>
          <w:p>
            <w:pPr>
              <w:spacing w:after="0"/>
            </w:pPr>
            <w:r>
              <w:rPr>
                <w:sz w:val="12"/>
              </w:rPr>
              <w:t>patient_id; as_of_datetime; included_assertions; conflict_state; derived_fields</w:t>
            </w:r>
          </w:p>
        </w:tc>
        <w:tc>
          <w:tcPr>
            <w:tcW w:type="dxa" w:w="2541"/>
            <w:vAlign w:val="top"/>
          </w:tcPr>
          <w:p>
            <w:pPr>
              <w:spacing w:after="0"/>
            </w:pPr>
            <w:r>
              <w:rPr>
                <w:sz w:val="12"/>
              </w:rPr>
              <w:t>Derived research view, not primary gold annotation</w:t>
            </w:r>
          </w:p>
        </w:tc>
      </w:tr>
    </w:tbl>
    <w:p/>
    <w:p>
      <w:pPr>
        <w:pStyle w:val="Heading1"/>
      </w:pPr>
      <w:r>
        <w:t>4. The central object: PhenotypeAssertion</w:t>
      </w:r>
    </w:p>
    <w:p>
      <w:r>
        <w:t>A PhenotypeAssertion is an atomic clinical claim associated with a patient and source document. It is not synonymous with a diagnosis. It may represent an observation, finding, treatment, history item, diagnostic statement, outcome, or a later derived synthesis.</w:t>
      </w:r>
    </w:p>
    <w:p>
      <w:pPr>
        <w:pStyle w:val="ListBullet"/>
      </w:pPr>
      <w:r>
        <w:t>concept — what clinical concept the assertion refers to</w:t>
      </w:r>
    </w:p>
    <w:p>
      <w:pPr>
        <w:pStyle w:val="ListBullet"/>
      </w:pPr>
      <w:r>
        <w:t>value — optional structured value/count/category</w:t>
      </w:r>
    </w:p>
    <w:p>
      <w:pPr>
        <w:pStyle w:val="ListBullet"/>
      </w:pPr>
      <w:r>
        <w:t>polarity — affirmed, negated, uncertain, or unknown</w:t>
      </w:r>
    </w:p>
    <w:p>
      <w:pPr>
        <w:pStyle w:val="ListBullet"/>
      </w:pPr>
      <w:r>
        <w:t>certainty — source-preserving confidence/hedging representation</w:t>
      </w:r>
    </w:p>
    <w:p>
      <w:pPr>
        <w:pStyle w:val="ListBullet"/>
      </w:pPr>
      <w:r>
        <w:t>temporality — when the assertion applies</w:t>
      </w:r>
    </w:p>
    <w:p>
      <w:pPr>
        <w:pStyle w:val="ListBullet"/>
      </w:pPr>
      <w:r>
        <w:t>experiencer — whose history/finding is described</w:t>
      </w:r>
    </w:p>
    <w:p>
      <w:pPr>
        <w:pStyle w:val="ListBullet"/>
      </w:pPr>
      <w:r>
        <w:t>laterality/anatomy — structured modifiers when supported</w:t>
      </w:r>
    </w:p>
    <w:p>
      <w:pPr>
        <w:pStyle w:val="ListBullet"/>
      </w:pPr>
      <w:r>
        <w:t>source_document_id — where the assertion occurred</w:t>
      </w:r>
    </w:p>
    <w:p>
      <w:pPr>
        <w:pStyle w:val="ListBullet"/>
      </w:pPr>
      <w:r>
        <w:t>evidence — exact span(s) supporting it</w:t>
      </w:r>
    </w:p>
    <w:p>
      <w:pPr>
        <w:pStyle w:val="ListBullet"/>
      </w:pPr>
      <w:r>
        <w:t>assertion_layer — DIRECT, NORMALIZED, DERIVED, DOCUMENT_SUMMARY, or PATIENT_SYNTHESIS</w:t>
      </w:r>
    </w:p>
    <w:p>
      <w:pPr>
        <w:pStyle w:val="ListBullet"/>
      </w:pPr>
      <w:r>
        <w:t>provenance_status — how the assertion was produced</w:t>
      </w:r>
    </w:p>
    <w:p>
      <w:pPr>
        <w:pStyle w:val="Heading1"/>
      </w:pPr>
      <w:r>
        <w:t>5. Assertion layers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3"/>
              </w:rPr>
              <w:t>Layer</w:t>
            </w:r>
          </w:p>
        </w:tc>
        <w:tc>
          <w:tcPr>
            <w:tcW w:type="dxa" w:w="3389"/>
            <w:shd w:fill="D9EAF7"/>
          </w:tcPr>
          <w:p>
            <w:r>
              <w:rPr>
                <w:b/>
                <w:sz w:val="13"/>
              </w:rPr>
              <w:t>Definition</w:t>
            </w:r>
          </w:p>
        </w:tc>
        <w:tc>
          <w:tcPr>
            <w:tcW w:type="dxa" w:w="3389"/>
            <w:shd w:fill="D9EAF7"/>
          </w:tcPr>
          <w:p>
            <w:r>
              <w:rPr>
                <w:b/>
                <w:sz w:val="13"/>
              </w:rPr>
              <w:t>Gold/evidence rule</w:t>
            </w:r>
          </w:p>
        </w:tc>
      </w:tr>
      <w:tr>
        <w:tc>
          <w:tcPr>
            <w:tcW w:type="dxa" w:w="3389"/>
            <w:vAlign w:val="top"/>
          </w:tcPr>
          <w:p>
            <w:pPr>
              <w:spacing w:after="0"/>
            </w:pPr>
            <w:r>
              <w:rPr>
                <w:sz w:val="13"/>
              </w:rPr>
              <w:t>DIRECT</w:t>
            </w:r>
          </w:p>
        </w:tc>
        <w:tc>
          <w:tcPr>
            <w:tcW w:type="dxa" w:w="3389"/>
            <w:vAlign w:val="top"/>
          </w:tcPr>
          <w:p>
            <w:pPr>
              <w:spacing w:after="0"/>
            </w:pPr>
            <w:r>
              <w:rPr>
                <w:sz w:val="13"/>
              </w:rPr>
              <w:t>Explicitly stated or directly supported by the document text</w:t>
            </w:r>
          </w:p>
        </w:tc>
        <w:tc>
          <w:tcPr>
            <w:tcW w:type="dxa" w:w="3389"/>
            <w:vAlign w:val="top"/>
          </w:tcPr>
          <w:p>
            <w:pPr>
              <w:spacing w:after="0"/>
            </w:pPr>
            <w:r>
              <w:rPr>
                <w:sz w:val="13"/>
              </w:rPr>
              <w:t>Gold span expected</w:t>
            </w:r>
          </w:p>
        </w:tc>
      </w:tr>
      <w:tr>
        <w:tc>
          <w:tcPr>
            <w:tcW w:type="dxa" w:w="3389"/>
            <w:vAlign w:val="top"/>
          </w:tcPr>
          <w:p>
            <w:pPr>
              <w:spacing w:after="0"/>
            </w:pPr>
            <w:r>
              <w:rPr>
                <w:sz w:val="13"/>
              </w:rPr>
              <w:t>NORMALIZED</w:t>
            </w:r>
          </w:p>
        </w:tc>
        <w:tc>
          <w:tcPr>
            <w:tcW w:type="dxa" w:w="3389"/>
            <w:vAlign w:val="top"/>
          </w:tcPr>
          <w:p>
            <w:pPr>
              <w:spacing w:after="0"/>
            </w:pPr>
            <w:r>
              <w:rPr>
                <w:sz w:val="13"/>
              </w:rPr>
              <w:t>Standardizes a direct assertion to an authoritative concept/value without introducing a new clinical conclusion</w:t>
            </w:r>
          </w:p>
        </w:tc>
        <w:tc>
          <w:tcPr>
            <w:tcW w:type="dxa" w:w="3389"/>
            <w:vAlign w:val="top"/>
          </w:tcPr>
          <w:p>
            <w:pPr>
              <w:spacing w:after="0"/>
            </w:pPr>
            <w:r>
              <w:rPr>
                <w:sz w:val="13"/>
              </w:rPr>
              <w:t>Must retain link to DIRECT assertion</w:t>
            </w:r>
          </w:p>
        </w:tc>
      </w:tr>
      <w:tr>
        <w:tc>
          <w:tcPr>
            <w:tcW w:type="dxa" w:w="3389"/>
            <w:vAlign w:val="top"/>
          </w:tcPr>
          <w:p>
            <w:pPr>
              <w:spacing w:after="0"/>
            </w:pPr>
            <w:r>
              <w:rPr>
                <w:sz w:val="13"/>
              </w:rPr>
              <w:t>DERIVED</w:t>
            </w:r>
          </w:p>
        </w:tc>
        <w:tc>
          <w:tcPr>
            <w:tcW w:type="dxa" w:w="3389"/>
            <w:vAlign w:val="top"/>
          </w:tcPr>
          <w:p>
            <w:pPr>
              <w:spacing w:after="0"/>
            </w:pPr>
            <w:r>
              <w:rPr>
                <w:sz w:val="13"/>
              </w:rPr>
              <w:t>Computed/inferred from multiple assertions or an explicit clinical rule</w:t>
            </w:r>
          </w:p>
        </w:tc>
        <w:tc>
          <w:tcPr>
            <w:tcW w:type="dxa" w:w="3389"/>
            <w:vAlign w:val="top"/>
          </w:tcPr>
          <w:p>
            <w:pPr>
              <w:spacing w:after="0"/>
            </w:pPr>
            <w:r>
              <w:rPr>
                <w:sz w:val="13"/>
              </w:rPr>
              <w:t>Never annotated as if literally stated</w:t>
            </w:r>
          </w:p>
        </w:tc>
      </w:tr>
      <w:tr>
        <w:tc>
          <w:tcPr>
            <w:tcW w:type="dxa" w:w="3389"/>
            <w:vAlign w:val="top"/>
          </w:tcPr>
          <w:p>
            <w:pPr>
              <w:spacing w:after="0"/>
            </w:pPr>
            <w:r>
              <w:rPr>
                <w:sz w:val="13"/>
              </w:rPr>
              <w:t>DOCUMENT_SUMMARY</w:t>
            </w:r>
          </w:p>
        </w:tc>
        <w:tc>
          <w:tcPr>
            <w:tcW w:type="dxa" w:w="3389"/>
            <w:vAlign w:val="top"/>
          </w:tcPr>
          <w:p>
            <w:pPr>
              <w:spacing w:after="0"/>
            </w:pPr>
            <w:r>
              <w:rPr>
                <w:sz w:val="13"/>
              </w:rPr>
              <w:t>Document-level synthesis explicitly written by clinician</w:t>
            </w:r>
          </w:p>
        </w:tc>
        <w:tc>
          <w:tcPr>
            <w:tcW w:type="dxa" w:w="3389"/>
            <w:vAlign w:val="top"/>
          </w:tcPr>
          <w:p>
            <w:pPr>
              <w:spacing w:after="0"/>
            </w:pPr>
            <w:r>
              <w:rPr>
                <w:sz w:val="13"/>
              </w:rPr>
              <w:t>Separate from cross-document derivation</w:t>
            </w:r>
          </w:p>
        </w:tc>
      </w:tr>
      <w:tr>
        <w:tc>
          <w:tcPr>
            <w:tcW w:type="dxa" w:w="3389"/>
            <w:vAlign w:val="top"/>
          </w:tcPr>
          <w:p>
            <w:pPr>
              <w:spacing w:after="0"/>
            </w:pPr>
            <w:r>
              <w:rPr>
                <w:sz w:val="13"/>
              </w:rPr>
              <w:t>PATIENT_SYNTHESIS</w:t>
            </w:r>
          </w:p>
        </w:tc>
        <w:tc>
          <w:tcPr>
            <w:tcW w:type="dxa" w:w="3389"/>
            <w:vAlign w:val="top"/>
          </w:tcPr>
          <w:p>
            <w:pPr>
              <w:spacing w:after="0"/>
            </w:pPr>
            <w:r>
              <w:rPr>
                <w:sz w:val="13"/>
              </w:rPr>
              <w:t>Cross-document/time synthesis created by MedAI or adjudicator</w:t>
            </w:r>
          </w:p>
        </w:tc>
        <w:tc>
          <w:tcPr>
            <w:tcW w:type="dxa" w:w="3389"/>
            <w:vAlign w:val="top"/>
          </w:tcPr>
          <w:p>
            <w:pPr>
              <w:spacing w:after="0"/>
            </w:pPr>
            <w:r>
              <w:rPr>
                <w:sz w:val="13"/>
              </w:rPr>
              <w:t>Requires derivation rule and provenance</w:t>
            </w:r>
          </w:p>
        </w:tc>
      </w:tr>
    </w:tbl>
    <w:p/>
    <w:tbl>
      <w:tblPr>
        <w:tblStyle w:val="TableGrid"/>
        <w:tblW w:type="auto" w:w="0"/>
        <w:tblLook w:firstColumn="1" w:firstRow="1" w:lastColumn="0" w:lastRow="0" w:noHBand="0" w:noVBand="1" w:val="04A0"/>
      </w:tblPr>
      <w:tblGrid>
        <w:gridCol w:w="10166"/>
      </w:tblGrid>
      <w:tr>
        <w:tc>
          <w:tcPr>
            <w:tcW w:type="dxa" w:w="10166"/>
            <w:shd w:fill="FFF2CC"/>
          </w:tcPr>
          <w:p>
            <w:r>
              <w:rPr>
                <w:b/>
                <w:color w:val="17365D"/>
              </w:rPr>
              <w:t>Hard rule</w:t>
              <w:br/>
            </w:r>
            <w:r>
              <w:t>A derived assertion can never be presented as though it were directly written in a note. If MedAI derives DRE, concordance, or a patient-level phenotype, the output must preserve the input assertion IDs and derivation rule.</w:t>
            </w:r>
          </w:p>
        </w:tc>
      </w:tr>
    </w:tbl>
    <w:p/>
    <w:p>
      <w:pPr>
        <w:pStyle w:val="Heading1"/>
      </w:pPr>
      <w:r>
        <w:t>6. Direct versus normalized versus derived</w:t>
      </w:r>
    </w:p>
    <w:p>
      <w:r>
        <w:t>This distinction is the key safeguard against silently turning NLP normalization into clinical inference.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Text / evidence</w:t>
            </w:r>
          </w:p>
        </w:tc>
        <w:tc>
          <w:tcPr>
            <w:tcW w:type="dxa" w:w="5083"/>
            <w:shd w:fill="D9EAF7"/>
          </w:tcPr>
          <w:p>
            <w:r>
              <w:rPr>
                <w:b/>
                <w:sz w:val="13"/>
              </w:rPr>
              <w:t>Representation</w:t>
            </w:r>
          </w:p>
        </w:tc>
      </w:tr>
      <w:tr>
        <w:tc>
          <w:tcPr>
            <w:tcW w:type="dxa" w:w="5083"/>
            <w:vAlign w:val="top"/>
          </w:tcPr>
          <w:p>
            <w:pPr>
              <w:spacing w:after="0"/>
            </w:pPr>
            <w:r>
              <w:rPr>
                <w:sz w:val="13"/>
              </w:rPr>
              <w:t>“Frequent left temporal sharp waves”</w:t>
            </w:r>
          </w:p>
        </w:tc>
        <w:tc>
          <w:tcPr>
            <w:tcW w:type="dxa" w:w="5083"/>
            <w:vAlign w:val="top"/>
          </w:tcPr>
          <w:p>
            <w:pPr>
              <w:spacing w:after="0"/>
            </w:pPr>
            <w:r>
              <w:rPr>
                <w:sz w:val="13"/>
              </w:rPr>
              <w:t>DIRECT: source phrase supports epileptiform activity + left + temporal.</w:t>
            </w:r>
          </w:p>
        </w:tc>
      </w:tr>
      <w:tr>
        <w:tc>
          <w:tcPr>
            <w:tcW w:type="dxa" w:w="5083"/>
            <w:vAlign w:val="top"/>
          </w:tcPr>
          <w:p>
            <w:pPr>
              <w:spacing w:after="0"/>
            </w:pPr>
            <w:r>
              <w:rPr>
                <w:sz w:val="13"/>
              </w:rPr>
              <w:t>Map phrase to a standardized IED concept</w:t>
            </w:r>
          </w:p>
        </w:tc>
        <w:tc>
          <w:tcPr>
            <w:tcW w:type="dxa" w:w="5083"/>
            <w:vAlign w:val="top"/>
          </w:tcPr>
          <w:p>
            <w:pPr>
              <w:spacing w:after="0"/>
            </w:pPr>
            <w:r>
              <w:rPr>
                <w:sz w:val="13"/>
              </w:rPr>
              <w:t>NORMALIZED: terminology mapping; no new clinical conclusion.</w:t>
            </w:r>
          </w:p>
        </w:tc>
      </w:tr>
      <w:tr>
        <w:tc>
          <w:tcPr>
            <w:tcW w:type="dxa" w:w="5083"/>
            <w:vAlign w:val="top"/>
          </w:tcPr>
          <w:p>
            <w:pPr>
              <w:spacing w:after="0"/>
            </w:pPr>
            <w:r>
              <w:rPr>
                <w:sz w:val="13"/>
              </w:rPr>
              <w:t>Combine independent EEG/MRI/localization assertions into concordance</w:t>
            </w:r>
          </w:p>
        </w:tc>
        <w:tc>
          <w:tcPr>
            <w:tcW w:type="dxa" w:w="5083"/>
            <w:vAlign w:val="top"/>
          </w:tcPr>
          <w:p>
            <w:pPr>
              <w:spacing w:after="0"/>
            </w:pPr>
            <w:r>
              <w:rPr>
                <w:sz w:val="13"/>
              </w:rPr>
              <w:t>DERIVED/PATIENT_SYNTHESIS: new conclusion under explicit rule.</w:t>
            </w:r>
          </w:p>
        </w:tc>
      </w:tr>
      <w:tr>
        <w:tc>
          <w:tcPr>
            <w:tcW w:type="dxa" w:w="5083"/>
            <w:vAlign w:val="top"/>
          </w:tcPr>
          <w:p>
            <w:pPr>
              <w:spacing w:after="0"/>
            </w:pPr>
            <w:r>
              <w:rPr>
                <w:sz w:val="13"/>
              </w:rPr>
              <w:t>Clinician writes “findings support focal epilepsy”</w:t>
            </w:r>
          </w:p>
        </w:tc>
        <w:tc>
          <w:tcPr>
            <w:tcW w:type="dxa" w:w="5083"/>
            <w:vAlign w:val="top"/>
          </w:tcPr>
          <w:p>
            <w:pPr>
              <w:spacing w:after="0"/>
            </w:pPr>
            <w:r>
              <w:rPr>
                <w:sz w:val="13"/>
              </w:rPr>
              <w:t>DIRECT or DOCUMENT_SUMMARY because the clinician actually stated the synthesis; it is still distinct from MedAI deriving it.</w:t>
            </w:r>
          </w:p>
        </w:tc>
      </w:tr>
    </w:tbl>
    <w:p/>
    <w:p>
      <w:pPr>
        <w:pStyle w:val="Heading1"/>
      </w:pPr>
      <w:r>
        <w:t>7. Document-type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2"/>
              </w:rPr>
              <w:t>Document type</w:t>
            </w:r>
          </w:p>
        </w:tc>
        <w:tc>
          <w:tcPr>
            <w:tcW w:type="dxa" w:w="3389"/>
            <w:shd w:fill="D9EAF7"/>
          </w:tcPr>
          <w:p>
            <w:r>
              <w:rPr>
                <w:b/>
                <w:sz w:val="12"/>
              </w:rPr>
              <w:t>Typical information</w:t>
            </w:r>
          </w:p>
        </w:tc>
        <w:tc>
          <w:tcPr>
            <w:tcW w:type="dxa" w:w="3389"/>
            <w:shd w:fill="D9EAF7"/>
          </w:tcPr>
          <w:p>
            <w:r>
              <w:rPr>
                <w:b/>
                <w:sz w:val="12"/>
              </w:rPr>
              <w:t>Authority</w:t>
            </w:r>
          </w:p>
        </w:tc>
      </w:tr>
      <w:tr>
        <w:tc>
          <w:tcPr>
            <w:tcW w:type="dxa" w:w="3389"/>
            <w:vAlign w:val="top"/>
          </w:tcPr>
          <w:p>
            <w:pPr>
              <w:spacing w:after="0"/>
            </w:pPr>
            <w:r>
              <w:rPr>
                <w:sz w:val="12"/>
              </w:rPr>
              <w:t>neurology_progress_note</w:t>
            </w:r>
          </w:p>
        </w:tc>
        <w:tc>
          <w:tcPr>
            <w:tcW w:type="dxa" w:w="3389"/>
            <w:vAlign w:val="top"/>
          </w:tcPr>
          <w:p>
            <w:pPr>
              <w:spacing w:after="0"/>
            </w:pPr>
            <w:r>
              <w:rPr>
                <w:sz w:val="12"/>
              </w:rPr>
              <w:t>diagnosis; seizure descriptions/frequency; treatment; response; history; plan</w:t>
            </w:r>
          </w:p>
        </w:tc>
        <w:tc>
          <w:tcPr>
            <w:tcW w:type="dxa" w:w="3389"/>
            <w:vAlign w:val="top"/>
          </w:tcPr>
          <w:p>
            <w:pPr>
              <w:spacing w:after="0"/>
            </w:pPr>
            <w:r>
              <w:rPr>
                <w:sz w:val="12"/>
              </w:rPr>
              <w:t>MEDAI document taxonomy informed by ExECT clinic-letter scope</w:t>
            </w:r>
          </w:p>
        </w:tc>
      </w:tr>
      <w:tr>
        <w:tc>
          <w:tcPr>
            <w:tcW w:type="dxa" w:w="3389"/>
            <w:vAlign w:val="top"/>
          </w:tcPr>
          <w:p>
            <w:pPr>
              <w:spacing w:after="0"/>
            </w:pPr>
            <w:r>
              <w:rPr>
                <w:sz w:val="12"/>
              </w:rPr>
              <w:t>epilepsy_consult_note</w:t>
            </w:r>
          </w:p>
        </w:tc>
        <w:tc>
          <w:tcPr>
            <w:tcW w:type="dxa" w:w="3389"/>
            <w:vAlign w:val="top"/>
          </w:tcPr>
          <w:p>
            <w:pPr>
              <w:spacing w:after="0"/>
            </w:pPr>
            <w:r>
              <w:rPr>
                <w:sz w:val="12"/>
              </w:rPr>
              <w:t>history; seizure phenotype; differential; epilepsy type/syndrome; investigations; treatment</w:t>
            </w:r>
          </w:p>
        </w:tc>
        <w:tc>
          <w:tcPr>
            <w:tcW w:type="dxa" w:w="3389"/>
            <w:vAlign w:val="top"/>
          </w:tcPr>
          <w:p>
            <w:pPr>
              <w:spacing w:after="0"/>
            </w:pPr>
            <w:r>
              <w:rPr>
                <w:sz w:val="12"/>
              </w:rPr>
              <w:t>MEDAI</w:t>
            </w:r>
          </w:p>
        </w:tc>
      </w:tr>
      <w:tr>
        <w:tc>
          <w:tcPr>
            <w:tcW w:type="dxa" w:w="3389"/>
            <w:vAlign w:val="top"/>
          </w:tcPr>
          <w:p>
            <w:pPr>
              <w:spacing w:after="0"/>
            </w:pPr>
            <w:r>
              <w:rPr>
                <w:sz w:val="12"/>
              </w:rPr>
              <w:t>eeg_report</w:t>
            </w:r>
          </w:p>
        </w:tc>
        <w:tc>
          <w:tcPr>
            <w:tcW w:type="dxa" w:w="3389"/>
            <w:vAlign w:val="top"/>
          </w:tcPr>
          <w:p>
            <w:pPr>
              <w:spacing w:after="0"/>
            </w:pPr>
            <w:r>
              <w:rPr>
                <w:sz w:val="12"/>
              </w:rPr>
              <w:t>study context; background; interictal findings; seizures/events; diagnostic significance</w:t>
            </w:r>
          </w:p>
        </w:tc>
        <w:tc>
          <w:tcPr>
            <w:tcW w:type="dxa" w:w="3389"/>
            <w:vAlign w:val="top"/>
          </w:tcPr>
          <w:p>
            <w:pPr>
              <w:spacing w:after="0"/>
            </w:pPr>
            <w:r>
              <w:rPr>
                <w:sz w:val="12"/>
              </w:rPr>
              <w:t>SCORE17 + MEDAI document class</w:t>
            </w:r>
          </w:p>
        </w:tc>
      </w:tr>
      <w:tr>
        <w:tc>
          <w:tcPr>
            <w:tcW w:type="dxa" w:w="3389"/>
            <w:vAlign w:val="top"/>
          </w:tcPr>
          <w:p>
            <w:pPr>
              <w:spacing w:after="0"/>
            </w:pPr>
            <w:r>
              <w:rPr>
                <w:sz w:val="12"/>
              </w:rPr>
              <w:t>emu_video_eeg_report</w:t>
            </w:r>
          </w:p>
        </w:tc>
        <w:tc>
          <w:tcPr>
            <w:tcW w:type="dxa" w:w="3389"/>
            <w:vAlign w:val="top"/>
          </w:tcPr>
          <w:p>
            <w:pPr>
              <w:spacing w:after="0"/>
            </w:pPr>
            <w:r>
              <w:rPr>
                <w:sz w:val="12"/>
              </w:rPr>
              <w:t>captured events; ictal/interictal EEG; semiology; electroclinical correlation</w:t>
            </w:r>
          </w:p>
        </w:tc>
        <w:tc>
          <w:tcPr>
            <w:tcW w:type="dxa" w:w="3389"/>
            <w:vAlign w:val="top"/>
          </w:tcPr>
          <w:p>
            <w:pPr>
              <w:spacing w:after="0"/>
            </w:pPr>
            <w:r>
              <w:rPr>
                <w:sz w:val="12"/>
              </w:rPr>
              <w:t>SCORE17 + MEDAI</w:t>
            </w:r>
          </w:p>
        </w:tc>
      </w:tr>
      <w:tr>
        <w:tc>
          <w:tcPr>
            <w:tcW w:type="dxa" w:w="3389"/>
            <w:vAlign w:val="top"/>
          </w:tcPr>
          <w:p>
            <w:pPr>
              <w:spacing w:after="0"/>
            </w:pPr>
            <w:r>
              <w:rPr>
                <w:sz w:val="12"/>
              </w:rPr>
              <w:t>mri_radiology_report</w:t>
            </w:r>
          </w:p>
        </w:tc>
        <w:tc>
          <w:tcPr>
            <w:tcW w:type="dxa" w:w="3389"/>
            <w:vAlign w:val="top"/>
          </w:tcPr>
          <w:p>
            <w:pPr>
              <w:spacing w:after="0"/>
            </w:pPr>
            <w:r>
              <w:rPr>
                <w:sz w:val="12"/>
              </w:rPr>
              <w:t>imaging findings; impression; lesion/anatomy/laterality/certainty</w:t>
            </w:r>
          </w:p>
        </w:tc>
        <w:tc>
          <w:tcPr>
            <w:tcW w:type="dxa" w:w="3389"/>
            <w:vAlign w:val="top"/>
          </w:tcPr>
          <w:p>
            <w:pPr>
              <w:spacing w:after="0"/>
            </w:pPr>
            <w:r>
              <w:rPr>
                <w:sz w:val="12"/>
              </w:rPr>
              <w:t>MEDAI; imaging taxonomy remains pending</w:t>
            </w:r>
          </w:p>
        </w:tc>
      </w:tr>
      <w:tr>
        <w:tc>
          <w:tcPr>
            <w:tcW w:type="dxa" w:w="3389"/>
            <w:vAlign w:val="top"/>
          </w:tcPr>
          <w:p>
            <w:pPr>
              <w:spacing w:after="0"/>
            </w:pPr>
            <w:r>
              <w:rPr>
                <w:sz w:val="12"/>
              </w:rPr>
              <w:t>presurgical_evaluation</w:t>
            </w:r>
          </w:p>
        </w:tc>
        <w:tc>
          <w:tcPr>
            <w:tcW w:type="dxa" w:w="3389"/>
            <w:vAlign w:val="top"/>
          </w:tcPr>
          <w:p>
            <w:pPr>
              <w:spacing w:after="0"/>
            </w:pPr>
            <w:r>
              <w:rPr>
                <w:sz w:val="12"/>
              </w:rPr>
              <w:t>semiology; EEG; MRI; neuropsychology; localization hypotheses; candidacy</w:t>
            </w:r>
          </w:p>
        </w:tc>
        <w:tc>
          <w:tcPr>
            <w:tcW w:type="dxa" w:w="3389"/>
            <w:vAlign w:val="top"/>
          </w:tcPr>
          <w:p>
            <w:pPr>
              <w:spacing w:after="0"/>
            </w:pPr>
            <w:r>
              <w:rPr>
                <w:sz w:val="12"/>
              </w:rPr>
              <w:t>MEDAI</w:t>
            </w:r>
          </w:p>
        </w:tc>
      </w:tr>
      <w:tr>
        <w:tc>
          <w:tcPr>
            <w:tcW w:type="dxa" w:w="3389"/>
            <w:vAlign w:val="top"/>
          </w:tcPr>
          <w:p>
            <w:pPr>
              <w:spacing w:after="0"/>
            </w:pPr>
            <w:r>
              <w:rPr>
                <w:sz w:val="12"/>
              </w:rPr>
              <w:t>epilepsy_conference_note</w:t>
            </w:r>
          </w:p>
        </w:tc>
        <w:tc>
          <w:tcPr>
            <w:tcW w:type="dxa" w:w="3389"/>
            <w:vAlign w:val="top"/>
          </w:tcPr>
          <w:p>
            <w:pPr>
              <w:spacing w:after="0"/>
            </w:pPr>
            <w:r>
              <w:rPr>
                <w:sz w:val="12"/>
              </w:rPr>
              <w:t>multimodal evidence summary; consensus; recommendation</w:t>
            </w:r>
          </w:p>
        </w:tc>
        <w:tc>
          <w:tcPr>
            <w:tcW w:type="dxa" w:w="3389"/>
            <w:vAlign w:val="top"/>
          </w:tcPr>
          <w:p>
            <w:pPr>
              <w:spacing w:after="0"/>
            </w:pPr>
            <w:r>
              <w:rPr>
                <w:sz w:val="12"/>
              </w:rPr>
              <w:t>MEDAI</w:t>
            </w:r>
          </w:p>
        </w:tc>
      </w:tr>
      <w:tr>
        <w:tc>
          <w:tcPr>
            <w:tcW w:type="dxa" w:w="3389"/>
            <w:vAlign w:val="top"/>
          </w:tcPr>
          <w:p>
            <w:pPr>
              <w:spacing w:after="0"/>
            </w:pPr>
            <w:r>
              <w:rPr>
                <w:sz w:val="12"/>
              </w:rPr>
              <w:t>procedure_or_surgery_note</w:t>
            </w:r>
          </w:p>
        </w:tc>
        <w:tc>
          <w:tcPr>
            <w:tcW w:type="dxa" w:w="3389"/>
            <w:vAlign w:val="top"/>
          </w:tcPr>
          <w:p>
            <w:pPr>
              <w:spacing w:after="0"/>
            </w:pPr>
            <w:r>
              <w:rPr>
                <w:sz w:val="12"/>
              </w:rPr>
              <w:t>procedure; target/site; operative findings</w:t>
            </w:r>
          </w:p>
        </w:tc>
        <w:tc>
          <w:tcPr>
            <w:tcW w:type="dxa" w:w="3389"/>
            <w:vAlign w:val="top"/>
          </w:tcPr>
          <w:p>
            <w:pPr>
              <w:spacing w:after="0"/>
            </w:pPr>
            <w:r>
              <w:rPr>
                <w:sz w:val="12"/>
              </w:rPr>
              <w:t>MEDAI</w:t>
            </w:r>
          </w:p>
        </w:tc>
      </w:tr>
      <w:tr>
        <w:tc>
          <w:tcPr>
            <w:tcW w:type="dxa" w:w="3389"/>
            <w:vAlign w:val="top"/>
          </w:tcPr>
          <w:p>
            <w:pPr>
              <w:spacing w:after="0"/>
            </w:pPr>
            <w:r>
              <w:rPr>
                <w:sz w:val="12"/>
              </w:rPr>
              <w:t>pathology_report</w:t>
            </w:r>
          </w:p>
        </w:tc>
        <w:tc>
          <w:tcPr>
            <w:tcW w:type="dxa" w:w="3389"/>
            <w:vAlign w:val="top"/>
          </w:tcPr>
          <w:p>
            <w:pPr>
              <w:spacing w:after="0"/>
            </w:pPr>
            <w:r>
              <w:rPr>
                <w:sz w:val="12"/>
              </w:rPr>
              <w:t>histopathologic diagnosis/subtype</w:t>
            </w:r>
          </w:p>
        </w:tc>
        <w:tc>
          <w:tcPr>
            <w:tcW w:type="dxa" w:w="3389"/>
            <w:vAlign w:val="top"/>
          </w:tcPr>
          <w:p>
            <w:pPr>
              <w:spacing w:after="0"/>
            </w:pPr>
            <w:r>
              <w:rPr>
                <w:sz w:val="12"/>
              </w:rPr>
              <w:t>ILAE pathology sources + MEDAI document class</w:t>
            </w:r>
          </w:p>
        </w:tc>
      </w:tr>
      <w:tr>
        <w:tc>
          <w:tcPr>
            <w:tcW w:type="dxa" w:w="3389"/>
            <w:vAlign w:val="top"/>
          </w:tcPr>
          <w:p>
            <w:pPr>
              <w:spacing w:after="0"/>
            </w:pPr>
            <w:r>
              <w:rPr>
                <w:sz w:val="12"/>
              </w:rPr>
              <w:t>discharge_summary</w:t>
            </w:r>
          </w:p>
        </w:tc>
        <w:tc>
          <w:tcPr>
            <w:tcW w:type="dxa" w:w="3389"/>
            <w:vAlign w:val="top"/>
          </w:tcPr>
          <w:p>
            <w:pPr>
              <w:spacing w:after="0"/>
            </w:pPr>
            <w:r>
              <w:rPr>
                <w:sz w:val="12"/>
              </w:rPr>
              <w:t>admission course; diagnosis; medication changes; follow-up</w:t>
            </w:r>
          </w:p>
        </w:tc>
        <w:tc>
          <w:tcPr>
            <w:tcW w:type="dxa" w:w="3389"/>
            <w:vAlign w:val="top"/>
          </w:tcPr>
          <w:p>
            <w:pPr>
              <w:spacing w:after="0"/>
            </w:pPr>
            <w:r>
              <w:rPr>
                <w:sz w:val="12"/>
              </w:rPr>
              <w:t>MEDAI</w:t>
            </w:r>
          </w:p>
        </w:tc>
      </w:tr>
      <w:tr>
        <w:tc>
          <w:tcPr>
            <w:tcW w:type="dxa" w:w="3389"/>
            <w:vAlign w:val="top"/>
          </w:tcPr>
          <w:p>
            <w:pPr>
              <w:spacing w:after="0"/>
            </w:pPr>
            <w:r>
              <w:rPr>
                <w:sz w:val="12"/>
              </w:rPr>
              <w:t>other_clinical_note</w:t>
            </w:r>
          </w:p>
        </w:tc>
        <w:tc>
          <w:tcPr>
            <w:tcW w:type="dxa" w:w="3389"/>
            <w:vAlign w:val="top"/>
          </w:tcPr>
          <w:p>
            <w:pPr>
              <w:spacing w:after="0"/>
            </w:pPr>
            <w:r>
              <w:rPr>
                <w:sz w:val="12"/>
              </w:rPr>
              <w:t>only supported phenotypes; preserve source subtype</w:t>
            </w:r>
          </w:p>
        </w:tc>
        <w:tc>
          <w:tcPr>
            <w:tcW w:type="dxa" w:w="3389"/>
            <w:vAlign w:val="top"/>
          </w:tcPr>
          <w:p>
            <w:pPr>
              <w:spacing w:after="0"/>
            </w:pPr>
            <w:r>
              <w:rPr>
                <w:sz w:val="12"/>
              </w:rPr>
              <w:t>MEDAI fallback</w:t>
            </w:r>
          </w:p>
        </w:tc>
      </w:tr>
    </w:tbl>
    <w:p/>
    <w:p>
      <w:r>
        <w:t>Document type controls provenance and may influence annotation expectations, but it does not redefine the clinical concept. The same concept can appear in multiple document types with different semantic levels or certainty.</w:t>
      </w:r>
    </w:p>
    <w:p>
      <w:pPr>
        <w:pStyle w:val="Heading1"/>
      </w:pPr>
      <w:r>
        <w:t>8. MRI report representation</w:t>
      </w:r>
    </w:p>
    <w:p>
      <w:r>
        <w:t>An MRI report is a clinical text document. Its assertions represent what the radiologist/report says about imaging. They are not raw-image model outputs and they do not automatically become pathology.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3"/>
              </w:rPr>
              <w:t>Report statement</w:t>
            </w:r>
          </w:p>
        </w:tc>
        <w:tc>
          <w:tcPr>
            <w:tcW w:type="dxa" w:w="3389"/>
            <w:shd w:fill="D9EAF7"/>
          </w:tcPr>
          <w:p>
            <w:r>
              <w:rPr>
                <w:b/>
                <w:sz w:val="13"/>
              </w:rPr>
              <w:t>Allowed representation</w:t>
            </w:r>
          </w:p>
        </w:tc>
        <w:tc>
          <w:tcPr>
            <w:tcW w:type="dxa" w:w="3389"/>
            <w:shd w:fill="D9EAF7"/>
          </w:tcPr>
          <w:p>
            <w:r>
              <w:rPr>
                <w:b/>
                <w:sz w:val="13"/>
              </w:rPr>
              <w:t>Not allowed without extra evidence</w:t>
            </w:r>
          </w:p>
        </w:tc>
      </w:tr>
      <w:tr>
        <w:tc>
          <w:tcPr>
            <w:tcW w:type="dxa" w:w="3389"/>
            <w:vAlign w:val="top"/>
          </w:tcPr>
          <w:p>
            <w:pPr>
              <w:spacing w:after="0"/>
            </w:pPr>
            <w:r>
              <w:rPr>
                <w:sz w:val="12"/>
              </w:rPr>
              <w:t>“Left hippocampal atrophy and FLAIR hyperintensity compatible with MTS.”</w:t>
            </w:r>
          </w:p>
        </w:tc>
        <w:tc>
          <w:tcPr>
            <w:tcW w:type="dxa" w:w="3389"/>
            <w:vAlign w:val="top"/>
          </w:tcPr>
          <w:p>
            <w:pPr>
              <w:spacing w:after="0"/>
            </w:pPr>
            <w:r>
              <w:rPr>
                <w:sz w:val="12"/>
              </w:rPr>
              <w:t>DIRECT imaging finding/impression; left; qualified certainty; normalized imaging concept when mapping is frozen.</w:t>
            </w:r>
          </w:p>
        </w:tc>
        <w:tc>
          <w:tcPr>
            <w:tcW w:type="dxa" w:w="3389"/>
            <w:vAlign w:val="top"/>
          </w:tcPr>
          <w:p>
            <w:pPr>
              <w:spacing w:after="0"/>
            </w:pPr>
            <w:r>
              <w:rPr>
                <w:sz w:val="12"/>
              </w:rPr>
              <w:t>ILAE HS histopathology subtype</w:t>
            </w:r>
          </w:p>
        </w:tc>
      </w:tr>
      <w:tr>
        <w:tc>
          <w:tcPr>
            <w:tcW w:type="dxa" w:w="3389"/>
            <w:vAlign w:val="top"/>
          </w:tcPr>
          <w:p>
            <w:pPr>
              <w:spacing w:after="0"/>
            </w:pPr>
            <w:r>
              <w:rPr>
                <w:sz w:val="12"/>
              </w:rPr>
              <w:t>“No focal lesion identified.”</w:t>
            </w:r>
          </w:p>
        </w:tc>
        <w:tc>
          <w:tcPr>
            <w:tcW w:type="dxa" w:w="3389"/>
            <w:vAlign w:val="top"/>
          </w:tcPr>
          <w:p>
            <w:pPr>
              <w:spacing w:after="0"/>
            </w:pPr>
            <w:r>
              <w:rPr>
                <w:sz w:val="12"/>
              </w:rPr>
              <w:t>DIRECT negated/normal lesion assertion with report provenance.</w:t>
            </w:r>
          </w:p>
        </w:tc>
        <w:tc>
          <w:tcPr>
            <w:tcW w:type="dxa" w:w="3389"/>
            <w:vAlign w:val="top"/>
          </w:tcPr>
          <w:p>
            <w:pPr>
              <w:spacing w:after="0"/>
            </w:pPr>
            <w:r>
              <w:rPr>
                <w:sz w:val="12"/>
              </w:rPr>
              <w:t>Conclusion that patient has MRI-negative epilepsy unless that derived construct is separately defined</w:t>
            </w:r>
          </w:p>
        </w:tc>
      </w:tr>
      <w:tr>
        <w:tc>
          <w:tcPr>
            <w:tcW w:type="dxa" w:w="3389"/>
            <w:vAlign w:val="top"/>
          </w:tcPr>
          <w:p>
            <w:pPr>
              <w:spacing w:after="0"/>
            </w:pPr>
            <w:r>
              <w:rPr>
                <w:sz w:val="12"/>
              </w:rPr>
              <w:t>“Possible focal cortical dysplasia.”</w:t>
            </w:r>
          </w:p>
        </w:tc>
        <w:tc>
          <w:tcPr>
            <w:tcW w:type="dxa" w:w="3389"/>
            <w:vAlign w:val="top"/>
          </w:tcPr>
          <w:p>
            <w:pPr>
              <w:spacing w:after="0"/>
            </w:pPr>
            <w:r>
              <w:rPr>
                <w:sz w:val="12"/>
              </w:rPr>
              <w:t>DIRECT uncertain imaging impression.</w:t>
            </w:r>
          </w:p>
        </w:tc>
        <w:tc>
          <w:tcPr>
            <w:tcW w:type="dxa" w:w="3389"/>
            <w:vAlign w:val="top"/>
          </w:tcPr>
          <w:p>
            <w:pPr>
              <w:spacing w:after="0"/>
            </w:pPr>
            <w:r>
              <w:rPr>
                <w:sz w:val="12"/>
              </w:rPr>
              <w:t>Definite FCD or pathology subtype</w:t>
            </w:r>
          </w:p>
        </w:tc>
      </w:tr>
    </w:tbl>
    <w:p/>
    <w:p>
      <w:pPr>
        <w:pStyle w:val="Heading1"/>
      </w:pPr>
      <w:r>
        <w:t>9. EEG/EMU report representation</w:t>
      </w:r>
    </w:p>
    <w:p>
      <w:r>
        <w:t>EEG report text is mapped to structured EEG concepts, with SCORE providing an important source terminology framework. SCORE uses context-sensitive standardized terms and includes seizure-specific modules; exact MedAI term subsets remain a Phase 3D task.</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3"/>
              </w:rPr>
              <w:t>Report statement</w:t>
            </w:r>
          </w:p>
        </w:tc>
        <w:tc>
          <w:tcPr>
            <w:tcW w:type="dxa" w:w="3389"/>
            <w:shd w:fill="D9EAF7"/>
          </w:tcPr>
          <w:p>
            <w:r>
              <w:rPr>
                <w:b/>
                <w:sz w:val="13"/>
              </w:rPr>
              <w:t>Allowed representation</w:t>
            </w:r>
          </w:p>
        </w:tc>
        <w:tc>
          <w:tcPr>
            <w:tcW w:type="dxa" w:w="3389"/>
            <w:shd w:fill="D9EAF7"/>
          </w:tcPr>
          <w:p>
            <w:r>
              <w:rPr>
                <w:b/>
                <w:sz w:val="13"/>
              </w:rPr>
              <w:t>Boundary</w:t>
            </w:r>
          </w:p>
        </w:tc>
      </w:tr>
      <w:tr>
        <w:tc>
          <w:tcPr>
            <w:tcW w:type="dxa" w:w="3389"/>
            <w:vAlign w:val="top"/>
          </w:tcPr>
          <w:p>
            <w:pPr>
              <w:spacing w:after="0"/>
            </w:pPr>
            <w:r>
              <w:rPr>
                <w:sz w:val="12"/>
              </w:rPr>
              <w:t>“Frequent left temporal sharp waves.”</w:t>
            </w:r>
          </w:p>
        </w:tc>
        <w:tc>
          <w:tcPr>
            <w:tcW w:type="dxa" w:w="3389"/>
            <w:vAlign w:val="top"/>
          </w:tcPr>
          <w:p>
            <w:pPr>
              <w:spacing w:after="0"/>
            </w:pPr>
            <w:r>
              <w:rPr>
                <w:sz w:val="12"/>
              </w:rPr>
              <w:t>DIRECT IED assertion; left; temporal.</w:t>
            </w:r>
          </w:p>
        </w:tc>
        <w:tc>
          <w:tcPr>
            <w:tcW w:type="dxa" w:w="3389"/>
            <w:vAlign w:val="top"/>
          </w:tcPr>
          <w:p>
            <w:pPr>
              <w:spacing w:after="0"/>
            </w:pPr>
            <w:r>
              <w:rPr>
                <w:sz w:val="12"/>
              </w:rPr>
              <w:t>Does not automatically establish focal epilepsy.</w:t>
            </w:r>
          </w:p>
        </w:tc>
      </w:tr>
      <w:tr>
        <w:tc>
          <w:tcPr>
            <w:tcW w:type="dxa" w:w="3389"/>
            <w:vAlign w:val="top"/>
          </w:tcPr>
          <w:p>
            <w:pPr>
              <w:spacing w:after="0"/>
            </w:pPr>
            <w:r>
              <w:rPr>
                <w:sz w:val="12"/>
              </w:rPr>
              <w:t>“Three electroclinical seizures arose from the left temporal region.”</w:t>
            </w:r>
          </w:p>
        </w:tc>
        <w:tc>
          <w:tcPr>
            <w:tcW w:type="dxa" w:w="3389"/>
            <w:vAlign w:val="top"/>
          </w:tcPr>
          <w:p>
            <w:pPr>
              <w:spacing w:after="0"/>
            </w:pPr>
            <w:r>
              <w:rPr>
                <w:sz w:val="12"/>
              </w:rPr>
              <w:t>DIRECT captured-seizure + ictal localization assertions.</w:t>
            </w:r>
          </w:p>
        </w:tc>
        <w:tc>
          <w:tcPr>
            <w:tcW w:type="dxa" w:w="3389"/>
            <w:vAlign w:val="top"/>
          </w:tcPr>
          <w:p>
            <w:pPr>
              <w:spacing w:after="0"/>
            </w:pPr>
            <w:r>
              <w:rPr>
                <w:sz w:val="12"/>
              </w:rPr>
              <w:t>Patient-level localization remains separate synthesis.</w:t>
            </w:r>
          </w:p>
        </w:tc>
      </w:tr>
      <w:tr>
        <w:tc>
          <w:tcPr>
            <w:tcW w:type="dxa" w:w="3389"/>
            <w:vAlign w:val="top"/>
          </w:tcPr>
          <w:p>
            <w:pPr>
              <w:spacing w:after="0"/>
            </w:pPr>
            <w:r>
              <w:rPr>
                <w:sz w:val="12"/>
              </w:rPr>
              <w:t>“EEG was abnormal due to diffuse slowing.”</w:t>
            </w:r>
          </w:p>
        </w:tc>
        <w:tc>
          <w:tcPr>
            <w:tcW w:type="dxa" w:w="3389"/>
            <w:vAlign w:val="top"/>
          </w:tcPr>
          <w:p>
            <w:pPr>
              <w:spacing w:after="0"/>
            </w:pPr>
            <w:r>
              <w:rPr>
                <w:sz w:val="12"/>
              </w:rPr>
              <w:t>DIRECT abnormal/background finding.</w:t>
            </w:r>
          </w:p>
        </w:tc>
        <w:tc>
          <w:tcPr>
            <w:tcW w:type="dxa" w:w="3389"/>
            <w:vAlign w:val="top"/>
          </w:tcPr>
          <w:p>
            <w:pPr>
              <w:spacing w:after="0"/>
            </w:pPr>
            <w:r>
              <w:rPr>
                <w:sz w:val="12"/>
              </w:rPr>
              <w:t>Do not map abnormal EEG to IED present.</w:t>
            </w:r>
          </w:p>
        </w:tc>
      </w:tr>
    </w:tbl>
    <w:p/>
    <w:p>
      <w:pPr>
        <w:pStyle w:val="Heading1"/>
      </w:pPr>
      <w:r>
        <w:t>10. Clinical notes, diagnosis and seizure descriptions</w:t>
      </w:r>
    </w:p>
    <w:p>
      <w:r>
        <w:t>The ILAE 2017 framework distinguishes seizure type, epilepsy type and syndrome, while ILAE 2025 distinguishes seizure classifiers from descriptors. MedAI therefore stores these as separate concepts/assertions rather than collapsing a sentence into one generic epilepsy label.</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sz w:val="13"/>
              </w:rPr>
              <w:t>Text pattern</w:t>
            </w:r>
          </w:p>
        </w:tc>
        <w:tc>
          <w:tcPr>
            <w:tcW w:type="dxa" w:w="5083"/>
            <w:shd w:fill="D9EAF7"/>
          </w:tcPr>
          <w:p>
            <w:r>
              <w:rPr>
                <w:b/>
                <w:sz w:val="13"/>
              </w:rPr>
              <w:t>Potential assertions</w:t>
            </w:r>
          </w:p>
        </w:tc>
      </w:tr>
      <w:tr>
        <w:tc>
          <w:tcPr>
            <w:tcW w:type="dxa" w:w="5083"/>
            <w:vAlign w:val="top"/>
          </w:tcPr>
          <w:p>
            <w:pPr>
              <w:spacing w:after="0"/>
            </w:pPr>
            <w:r>
              <w:rPr>
                <w:sz w:val="13"/>
              </w:rPr>
              <w:t>“Focal epilepsy with monthly focal impaired-consciousness seizures.”</w:t>
            </w:r>
          </w:p>
        </w:tc>
        <w:tc>
          <w:tcPr>
            <w:tcW w:type="dxa" w:w="5083"/>
            <w:vAlign w:val="top"/>
          </w:tcPr>
          <w:p>
            <w:pPr>
              <w:spacing w:after="0"/>
            </w:pPr>
            <w:r>
              <w:rPr>
                <w:sz w:val="13"/>
              </w:rPr>
              <w:t>epilepsy type=focal; seizure class/type; consciousness classifier; frequency</w:t>
            </w:r>
          </w:p>
        </w:tc>
      </w:tr>
      <w:tr>
        <w:tc>
          <w:tcPr>
            <w:tcW w:type="dxa" w:w="5083"/>
            <w:vAlign w:val="top"/>
          </w:tcPr>
          <w:p>
            <w:pPr>
              <w:spacing w:after="0"/>
            </w:pPr>
            <w:r>
              <w:rPr>
                <w:sz w:val="13"/>
              </w:rPr>
              <w:t>“History concerning for focal seizures, diagnosis uncertain.”</w:t>
            </w:r>
          </w:p>
        </w:tc>
        <w:tc>
          <w:tcPr>
            <w:tcW w:type="dxa" w:w="5083"/>
            <w:vAlign w:val="top"/>
          </w:tcPr>
          <w:p>
            <w:pPr>
              <w:spacing w:after="0"/>
            </w:pPr>
            <w:r>
              <w:rPr>
                <w:sz w:val="13"/>
              </w:rPr>
              <w:t>uncertain seizure/diagnostic assertion; preserve hedging</w:t>
            </w:r>
          </w:p>
        </w:tc>
      </w:tr>
      <w:tr>
        <w:tc>
          <w:tcPr>
            <w:tcW w:type="dxa" w:w="5083"/>
            <w:vAlign w:val="top"/>
          </w:tcPr>
          <w:p>
            <w:pPr>
              <w:spacing w:after="0"/>
            </w:pPr>
            <w:r>
              <w:rPr>
                <w:sz w:val="13"/>
              </w:rPr>
              <w:t>“JME”</w:t>
            </w:r>
          </w:p>
        </w:tc>
        <w:tc>
          <w:tcPr>
            <w:tcW w:type="dxa" w:w="5083"/>
            <w:vAlign w:val="top"/>
          </w:tcPr>
          <w:p>
            <w:pPr>
              <w:spacing w:after="0"/>
            </w:pPr>
            <w:r>
              <w:rPr>
                <w:sz w:val="13"/>
              </w:rPr>
              <w:t>direct syndrome mention if clinician states it; syndrome criteria are not automatically reconstructed unless a separate derivation rule is validated</w:t>
            </w:r>
          </w:p>
        </w:tc>
      </w:tr>
    </w:tbl>
    <w:p/>
    <w:p>
      <w:pPr>
        <w:pStyle w:val="Heading1"/>
      </w:pPr>
      <w:r>
        <w:t>11. Evidence-span policy</w:t>
      </w:r>
    </w:p>
    <w:p>
      <w:r>
        <w:t>ExECTv2 provides a strong precedent for entity/attribute annotation in epilepsy clinical text and used double annotation plus consensus gold standard. Phase 3C extends that idea to heterogeneous document types and explicit assertion provenance.</w:t>
      </w:r>
    </w:p>
    <w:p>
      <w:pPr>
        <w:pStyle w:val="ListBullet"/>
      </w:pPr>
      <w:r>
        <w:t>Direct gold assertions should link to the smallest sufficient evidence span(s).</w:t>
      </w:r>
    </w:p>
    <w:p>
      <w:pPr>
        <w:pStyle w:val="ListBullet"/>
      </w:pPr>
      <w:r>
        <w:t>Do not expand a span merely to include unrelated context.</w:t>
      </w:r>
    </w:p>
    <w:p>
      <w:pPr>
        <w:pStyle w:val="ListBullet"/>
      </w:pPr>
      <w:r>
        <w:t>Multiple spans may support one assertion when meaning is discontinuous or relational.</w:t>
      </w:r>
    </w:p>
    <w:p>
      <w:pPr>
        <w:pStyle w:val="ListBullet"/>
      </w:pPr>
      <w:r>
        <w:t>Negation and uncertainty cues must remain represented even if they sit outside the core disease phrase.</w:t>
      </w:r>
    </w:p>
    <w:p>
      <w:pPr>
        <w:pStyle w:val="ListBullet"/>
      </w:pPr>
      <w:r>
        <w:t>Normalization never deletes the original surface text.</w:t>
      </w:r>
    </w:p>
    <w:p>
      <w:pPr>
        <w:pStyle w:val="ListBullet"/>
      </w:pPr>
      <w:r>
        <w:t>Derived assertions cite assertion IDs, not fabricated evidence spans.</w:t>
      </w:r>
    </w:p>
    <w:p>
      <w:pPr>
        <w:pStyle w:val="Heading1"/>
      </w:pPr>
      <w:r>
        <w:t>12. Relationship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3"/>
              </w:rPr>
              <w:t>Predicate</w:t>
            </w:r>
          </w:p>
        </w:tc>
        <w:tc>
          <w:tcPr>
            <w:tcW w:type="dxa" w:w="3389"/>
            <w:shd w:fill="D9EAF7"/>
          </w:tcPr>
          <w:p>
            <w:r>
              <w:rPr>
                <w:b/>
                <w:sz w:val="13"/>
              </w:rPr>
              <w:t>Subject → object</w:t>
            </w:r>
          </w:p>
        </w:tc>
        <w:tc>
          <w:tcPr>
            <w:tcW w:type="dxa" w:w="3389"/>
            <w:shd w:fill="D9EAF7"/>
          </w:tcPr>
          <w:p>
            <w:r>
              <w:rPr>
                <w:b/>
                <w:sz w:val="13"/>
              </w:rPr>
              <w:t>Meaning</w:t>
            </w:r>
          </w:p>
        </w:tc>
      </w:tr>
      <w:tr>
        <w:tc>
          <w:tcPr>
            <w:tcW w:type="dxa" w:w="3389"/>
            <w:vAlign w:val="top"/>
          </w:tcPr>
          <w:p>
            <w:pPr>
              <w:spacing w:after="0"/>
            </w:pPr>
            <w:r>
              <w:rPr>
                <w:sz w:val="13"/>
              </w:rPr>
              <w:t>MENTION_SUPPORTS</w:t>
            </w:r>
          </w:p>
        </w:tc>
        <w:tc>
          <w:tcPr>
            <w:tcW w:type="dxa" w:w="3389"/>
            <w:vAlign w:val="top"/>
          </w:tcPr>
          <w:p>
            <w:pPr>
              <w:spacing w:after="0"/>
            </w:pPr>
            <w:r>
              <w:rPr>
                <w:sz w:val="13"/>
              </w:rPr>
              <w:t>EvidenceSpan → PhenotypeAssertion</w:t>
            </w:r>
          </w:p>
        </w:tc>
        <w:tc>
          <w:tcPr>
            <w:tcW w:type="dxa" w:w="3389"/>
            <w:vAlign w:val="top"/>
          </w:tcPr>
          <w:p>
            <w:pPr>
              <w:spacing w:after="0"/>
            </w:pPr>
            <w:r>
              <w:rPr>
                <w:sz w:val="13"/>
              </w:rPr>
              <w:t>Text span supports the direct assertion</w:t>
            </w:r>
          </w:p>
        </w:tc>
      </w:tr>
      <w:tr>
        <w:tc>
          <w:tcPr>
            <w:tcW w:type="dxa" w:w="3389"/>
            <w:vAlign w:val="top"/>
          </w:tcPr>
          <w:p>
            <w:pPr>
              <w:spacing w:after="0"/>
            </w:pPr>
            <w:r>
              <w:rPr>
                <w:sz w:val="13"/>
              </w:rPr>
              <w:t>INSTANCE_OF</w:t>
            </w:r>
          </w:p>
        </w:tc>
        <w:tc>
          <w:tcPr>
            <w:tcW w:type="dxa" w:w="3389"/>
            <w:vAlign w:val="top"/>
          </w:tcPr>
          <w:p>
            <w:pPr>
              <w:spacing w:after="0"/>
            </w:pPr>
            <w:r>
              <w:rPr>
                <w:sz w:val="13"/>
              </w:rPr>
              <w:t>PhenotypeAssertion → SourceConcept</w:t>
            </w:r>
          </w:p>
        </w:tc>
        <w:tc>
          <w:tcPr>
            <w:tcW w:type="dxa" w:w="3389"/>
            <w:vAlign w:val="top"/>
          </w:tcPr>
          <w:p>
            <w:pPr>
              <w:spacing w:after="0"/>
            </w:pPr>
            <w:r>
              <w:rPr>
                <w:sz w:val="13"/>
              </w:rPr>
              <w:t>Assertion instantiates/maps to a source concept</w:t>
            </w:r>
          </w:p>
        </w:tc>
      </w:tr>
      <w:tr>
        <w:tc>
          <w:tcPr>
            <w:tcW w:type="dxa" w:w="3389"/>
            <w:vAlign w:val="top"/>
          </w:tcPr>
          <w:p>
            <w:pPr>
              <w:spacing w:after="0"/>
            </w:pPr>
            <w:r>
              <w:rPr>
                <w:sz w:val="13"/>
              </w:rPr>
              <w:t>NORMALIZES_TO</w:t>
            </w:r>
          </w:p>
        </w:tc>
        <w:tc>
          <w:tcPr>
            <w:tcW w:type="dxa" w:w="3389"/>
            <w:vAlign w:val="top"/>
          </w:tcPr>
          <w:p>
            <w:pPr>
              <w:spacing w:after="0"/>
            </w:pPr>
            <w:r>
              <w:rPr>
                <w:sz w:val="13"/>
              </w:rPr>
              <w:t>DIRECT assertion → NORMALIZED assertion</w:t>
            </w:r>
          </w:p>
        </w:tc>
        <w:tc>
          <w:tcPr>
            <w:tcW w:type="dxa" w:w="3389"/>
            <w:vAlign w:val="top"/>
          </w:tcPr>
          <w:p>
            <w:pPr>
              <w:spacing w:after="0"/>
            </w:pPr>
            <w:r>
              <w:rPr>
                <w:sz w:val="13"/>
              </w:rPr>
              <w:t>Semantic normalization without new clinical inference</w:t>
            </w:r>
          </w:p>
        </w:tc>
      </w:tr>
      <w:tr>
        <w:tc>
          <w:tcPr>
            <w:tcW w:type="dxa" w:w="3389"/>
            <w:vAlign w:val="top"/>
          </w:tcPr>
          <w:p>
            <w:pPr>
              <w:spacing w:after="0"/>
            </w:pPr>
            <w:r>
              <w:rPr>
                <w:sz w:val="13"/>
              </w:rPr>
              <w:t>DERIVED_FROM</w:t>
            </w:r>
          </w:p>
        </w:tc>
        <w:tc>
          <w:tcPr>
            <w:tcW w:type="dxa" w:w="3389"/>
            <w:vAlign w:val="top"/>
          </w:tcPr>
          <w:p>
            <w:pPr>
              <w:spacing w:after="0"/>
            </w:pPr>
            <w:r>
              <w:rPr>
                <w:sz w:val="13"/>
              </w:rPr>
              <w:t>DERIVED assertion → one or more assertions</w:t>
            </w:r>
          </w:p>
        </w:tc>
        <w:tc>
          <w:tcPr>
            <w:tcW w:type="dxa" w:w="3389"/>
            <w:vAlign w:val="top"/>
          </w:tcPr>
          <w:p>
            <w:pPr>
              <w:spacing w:after="0"/>
            </w:pPr>
            <w:r>
              <w:rPr>
                <w:sz w:val="13"/>
              </w:rPr>
              <w:t>Explicit rule-based derivation</w:t>
            </w:r>
          </w:p>
        </w:tc>
      </w:tr>
      <w:tr>
        <w:tc>
          <w:tcPr>
            <w:tcW w:type="dxa" w:w="3389"/>
            <w:vAlign w:val="top"/>
          </w:tcPr>
          <w:p>
            <w:pPr>
              <w:spacing w:after="0"/>
            </w:pPr>
            <w:r>
              <w:rPr>
                <w:sz w:val="13"/>
              </w:rPr>
              <w:t>HAS_ATTRIBUTE</w:t>
            </w:r>
          </w:p>
        </w:tc>
        <w:tc>
          <w:tcPr>
            <w:tcW w:type="dxa" w:w="3389"/>
            <w:vAlign w:val="top"/>
          </w:tcPr>
          <w:p>
            <w:pPr>
              <w:spacing w:after="0"/>
            </w:pPr>
            <w:r>
              <w:rPr>
                <w:sz w:val="13"/>
              </w:rPr>
              <w:t>PhenotypeAssertion → attribute/value</w:t>
            </w:r>
          </w:p>
        </w:tc>
        <w:tc>
          <w:tcPr>
            <w:tcW w:type="dxa" w:w="3389"/>
            <w:vAlign w:val="top"/>
          </w:tcPr>
          <w:p>
            <w:pPr>
              <w:spacing w:after="0"/>
            </w:pPr>
            <w:r>
              <w:rPr>
                <w:sz w:val="13"/>
              </w:rPr>
              <w:t>Laterality, anatomy, certainty, temporality, frequency, etc.</w:t>
            </w:r>
          </w:p>
        </w:tc>
      </w:tr>
      <w:tr>
        <w:tc>
          <w:tcPr>
            <w:tcW w:type="dxa" w:w="3389"/>
            <w:vAlign w:val="top"/>
          </w:tcPr>
          <w:p>
            <w:pPr>
              <w:spacing w:after="0"/>
            </w:pPr>
            <w:r>
              <w:rPr>
                <w:sz w:val="13"/>
              </w:rPr>
              <w:t>OCCURS_IN</w:t>
            </w:r>
          </w:p>
        </w:tc>
        <w:tc>
          <w:tcPr>
            <w:tcW w:type="dxa" w:w="3389"/>
            <w:vAlign w:val="top"/>
          </w:tcPr>
          <w:p>
            <w:pPr>
              <w:spacing w:after="0"/>
            </w:pPr>
            <w:r>
              <w:rPr>
                <w:sz w:val="13"/>
              </w:rPr>
              <w:t>PhenotypeAssertion → ClinicalDocument</w:t>
            </w:r>
          </w:p>
        </w:tc>
        <w:tc>
          <w:tcPr>
            <w:tcW w:type="dxa" w:w="3389"/>
            <w:vAlign w:val="top"/>
          </w:tcPr>
          <w:p>
            <w:pPr>
              <w:spacing w:after="0"/>
            </w:pPr>
            <w:r>
              <w:rPr>
                <w:sz w:val="13"/>
              </w:rPr>
              <w:t>Document provenance</w:t>
            </w:r>
          </w:p>
        </w:tc>
      </w:tr>
      <w:tr>
        <w:tc>
          <w:tcPr>
            <w:tcW w:type="dxa" w:w="3389"/>
            <w:vAlign w:val="top"/>
          </w:tcPr>
          <w:p>
            <w:pPr>
              <w:spacing w:after="0"/>
            </w:pPr>
            <w:r>
              <w:rPr>
                <w:sz w:val="13"/>
              </w:rPr>
              <w:t>ABOUT_PATIENT</w:t>
            </w:r>
          </w:p>
        </w:tc>
        <w:tc>
          <w:tcPr>
            <w:tcW w:type="dxa" w:w="3389"/>
            <w:vAlign w:val="top"/>
          </w:tcPr>
          <w:p>
            <w:pPr>
              <w:spacing w:after="0"/>
            </w:pPr>
            <w:r>
              <w:rPr>
                <w:sz w:val="13"/>
              </w:rPr>
              <w:t>ClinicalDocument/assertion → Patient</w:t>
            </w:r>
          </w:p>
        </w:tc>
        <w:tc>
          <w:tcPr>
            <w:tcW w:type="dxa" w:w="3389"/>
            <w:vAlign w:val="top"/>
          </w:tcPr>
          <w:p>
            <w:pPr>
              <w:spacing w:after="0"/>
            </w:pPr>
            <w:r>
              <w:rPr>
                <w:sz w:val="13"/>
              </w:rPr>
              <w:t>Patient provenance</w:t>
            </w:r>
          </w:p>
        </w:tc>
      </w:tr>
      <w:tr>
        <w:tc>
          <w:tcPr>
            <w:tcW w:type="dxa" w:w="3389"/>
            <w:vAlign w:val="top"/>
          </w:tcPr>
          <w:p>
            <w:pPr>
              <w:spacing w:after="0"/>
            </w:pPr>
            <w:r>
              <w:rPr>
                <w:sz w:val="13"/>
              </w:rPr>
              <w:t>TEMPORALLY_RELATES_TO</w:t>
            </w:r>
          </w:p>
        </w:tc>
        <w:tc>
          <w:tcPr>
            <w:tcW w:type="dxa" w:w="3389"/>
            <w:vAlign w:val="top"/>
          </w:tcPr>
          <w:p>
            <w:pPr>
              <w:spacing w:after="0"/>
            </w:pPr>
            <w:r>
              <w:rPr>
                <w:sz w:val="13"/>
              </w:rPr>
              <w:t>Assertion/event → time/event</w:t>
            </w:r>
          </w:p>
        </w:tc>
        <w:tc>
          <w:tcPr>
            <w:tcW w:type="dxa" w:w="3389"/>
            <w:vAlign w:val="top"/>
          </w:tcPr>
          <w:p>
            <w:pPr>
              <w:spacing w:after="0"/>
            </w:pPr>
            <w:r>
              <w:rPr>
                <w:sz w:val="13"/>
              </w:rPr>
              <w:t>before/after/during/current/historical etc.; exact value set pending</w:t>
            </w:r>
          </w:p>
        </w:tc>
      </w:tr>
      <w:tr>
        <w:tc>
          <w:tcPr>
            <w:tcW w:type="dxa" w:w="3389"/>
            <w:vAlign w:val="top"/>
          </w:tcPr>
          <w:p>
            <w:pPr>
              <w:spacing w:after="0"/>
            </w:pPr>
            <w:r>
              <w:rPr>
                <w:sz w:val="13"/>
              </w:rPr>
              <w:t>CONTRADICTS</w:t>
            </w:r>
          </w:p>
        </w:tc>
        <w:tc>
          <w:tcPr>
            <w:tcW w:type="dxa" w:w="3389"/>
            <w:vAlign w:val="top"/>
          </w:tcPr>
          <w:p>
            <w:pPr>
              <w:spacing w:after="0"/>
            </w:pPr>
            <w:r>
              <w:rPr>
                <w:sz w:val="13"/>
              </w:rPr>
              <w:t>PhenotypeAssertion → PhenotypeAssertion</w:t>
            </w:r>
          </w:p>
        </w:tc>
        <w:tc>
          <w:tcPr>
            <w:tcW w:type="dxa" w:w="3389"/>
            <w:vAlign w:val="top"/>
          </w:tcPr>
          <w:p>
            <w:pPr>
              <w:spacing w:after="0"/>
            </w:pPr>
            <w:r>
              <w:rPr>
                <w:sz w:val="13"/>
              </w:rPr>
              <w:t>Explicitly represent incompatible assertions rather than overwrite</w:t>
            </w:r>
          </w:p>
        </w:tc>
      </w:tr>
      <w:tr>
        <w:tc>
          <w:tcPr>
            <w:tcW w:type="dxa" w:w="3389"/>
            <w:vAlign w:val="top"/>
          </w:tcPr>
          <w:p>
            <w:pPr>
              <w:spacing w:after="0"/>
            </w:pPr>
            <w:r>
              <w:rPr>
                <w:sz w:val="13"/>
              </w:rPr>
              <w:t>CORROBORATES</w:t>
            </w:r>
          </w:p>
        </w:tc>
        <w:tc>
          <w:tcPr>
            <w:tcW w:type="dxa" w:w="3389"/>
            <w:vAlign w:val="top"/>
          </w:tcPr>
          <w:p>
            <w:pPr>
              <w:spacing w:after="0"/>
            </w:pPr>
            <w:r>
              <w:rPr>
                <w:sz w:val="13"/>
              </w:rPr>
              <w:t>PhenotypeAssertion → PhenotypeAssertion</w:t>
            </w:r>
          </w:p>
        </w:tc>
        <w:tc>
          <w:tcPr>
            <w:tcW w:type="dxa" w:w="3389"/>
            <w:vAlign w:val="top"/>
          </w:tcPr>
          <w:p>
            <w:pPr>
              <w:spacing w:after="0"/>
            </w:pPr>
            <w:r>
              <w:rPr>
                <w:sz w:val="13"/>
              </w:rPr>
              <w:t>Optional relation for independent compatible evidence; not equivalent to concordance endpoint</w:t>
            </w:r>
          </w:p>
        </w:tc>
      </w:tr>
    </w:tbl>
    <w:p/>
    <w:p>
      <w:pPr>
        <w:pStyle w:val="Heading1"/>
      </w:pPr>
      <w:r>
        <w:t>13. Provenance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sz w:val="13"/>
              </w:rPr>
              <w:t>Status</w:t>
            </w:r>
          </w:p>
        </w:tc>
        <w:tc>
          <w:tcPr>
            <w:tcW w:type="dxa" w:w="3389"/>
            <w:shd w:fill="D9EAF7"/>
          </w:tcPr>
          <w:p>
            <w:r>
              <w:rPr>
                <w:b/>
                <w:sz w:val="13"/>
              </w:rPr>
              <w:t>Meaning</w:t>
            </w:r>
          </w:p>
        </w:tc>
        <w:tc>
          <w:tcPr>
            <w:tcW w:type="dxa" w:w="3389"/>
            <w:shd w:fill="D9EAF7"/>
          </w:tcPr>
          <w:p>
            <w:r>
              <w:rPr>
                <w:b/>
                <w:sz w:val="13"/>
              </w:rPr>
              <w:t>Minimum requirement</w:t>
            </w:r>
          </w:p>
        </w:tc>
      </w:tr>
      <w:tr>
        <w:tc>
          <w:tcPr>
            <w:tcW w:type="dxa" w:w="3389"/>
            <w:vAlign w:val="top"/>
          </w:tcPr>
          <w:p>
            <w:pPr>
              <w:spacing w:after="0"/>
            </w:pPr>
            <w:r>
              <w:rPr>
                <w:sz w:val="13"/>
              </w:rPr>
              <w:t>SOURCE-DIRECT</w:t>
            </w:r>
          </w:p>
        </w:tc>
        <w:tc>
          <w:tcPr>
            <w:tcW w:type="dxa" w:w="3389"/>
            <w:vAlign w:val="top"/>
          </w:tcPr>
          <w:p>
            <w:pPr>
              <w:spacing w:after="0"/>
            </w:pPr>
            <w:r>
              <w:rPr>
                <w:sz w:val="13"/>
              </w:rPr>
              <w:t>Meaning is explicitly supported by source text</w:t>
            </w:r>
          </w:p>
        </w:tc>
        <w:tc>
          <w:tcPr>
            <w:tcW w:type="dxa" w:w="3389"/>
            <w:vAlign w:val="top"/>
          </w:tcPr>
          <w:p>
            <w:pPr>
              <w:spacing w:after="0"/>
            </w:pPr>
            <w:r>
              <w:rPr>
                <w:sz w:val="13"/>
              </w:rPr>
              <w:t>Evidence span required unless document-level structured source exception</w:t>
            </w:r>
          </w:p>
        </w:tc>
      </w:tr>
      <w:tr>
        <w:tc>
          <w:tcPr>
            <w:tcW w:type="dxa" w:w="3389"/>
            <w:vAlign w:val="top"/>
          </w:tcPr>
          <w:p>
            <w:pPr>
              <w:spacing w:after="0"/>
            </w:pPr>
            <w:r>
              <w:rPr>
                <w:sz w:val="13"/>
              </w:rPr>
              <w:t>SOURCE-NORMALIZED</w:t>
            </w:r>
          </w:p>
        </w:tc>
        <w:tc>
          <w:tcPr>
            <w:tcW w:type="dxa" w:w="3389"/>
            <w:vAlign w:val="top"/>
          </w:tcPr>
          <w:p>
            <w:pPr>
              <w:spacing w:after="0"/>
            </w:pPr>
            <w:r>
              <w:rPr>
                <w:sz w:val="13"/>
              </w:rPr>
              <w:t>Direct text mapped to standardized concept/value</w:t>
            </w:r>
          </w:p>
        </w:tc>
        <w:tc>
          <w:tcPr>
            <w:tcW w:type="dxa" w:w="3389"/>
            <w:vAlign w:val="top"/>
          </w:tcPr>
          <w:p>
            <w:pPr>
              <w:spacing w:after="0"/>
            </w:pPr>
            <w:r>
              <w:rPr>
                <w:sz w:val="13"/>
              </w:rPr>
              <w:t>Must preserve source assertion + mapping</w:t>
            </w:r>
          </w:p>
        </w:tc>
      </w:tr>
      <w:tr>
        <w:tc>
          <w:tcPr>
            <w:tcW w:type="dxa" w:w="3389"/>
            <w:vAlign w:val="top"/>
          </w:tcPr>
          <w:p>
            <w:pPr>
              <w:spacing w:after="0"/>
            </w:pPr>
            <w:r>
              <w:rPr>
                <w:sz w:val="13"/>
              </w:rPr>
              <w:t>MEDAI-DERIVED</w:t>
            </w:r>
          </w:p>
        </w:tc>
        <w:tc>
          <w:tcPr>
            <w:tcW w:type="dxa" w:w="3389"/>
            <w:vAlign w:val="top"/>
          </w:tcPr>
          <w:p>
            <w:pPr>
              <w:spacing w:after="0"/>
            </w:pPr>
            <w:r>
              <w:rPr>
                <w:sz w:val="13"/>
              </w:rPr>
              <w:t>Produced by explicit deterministic/reproducible rule</w:t>
            </w:r>
          </w:p>
        </w:tc>
        <w:tc>
          <w:tcPr>
            <w:tcW w:type="dxa" w:w="3389"/>
            <w:vAlign w:val="top"/>
          </w:tcPr>
          <w:p>
            <w:pPr>
              <w:spacing w:after="0"/>
            </w:pPr>
            <w:r>
              <w:rPr>
                <w:sz w:val="13"/>
              </w:rPr>
              <w:t>Inputs + rule/version required</w:t>
            </w:r>
          </w:p>
        </w:tc>
      </w:tr>
      <w:tr>
        <w:tc>
          <w:tcPr>
            <w:tcW w:type="dxa" w:w="3389"/>
            <w:vAlign w:val="top"/>
          </w:tcPr>
          <w:p>
            <w:pPr>
              <w:spacing w:after="0"/>
            </w:pPr>
            <w:r>
              <w:rPr>
                <w:sz w:val="13"/>
              </w:rPr>
              <w:t>CLINICIAN-DERIVED</w:t>
            </w:r>
          </w:p>
        </w:tc>
        <w:tc>
          <w:tcPr>
            <w:tcW w:type="dxa" w:w="3389"/>
            <w:vAlign w:val="top"/>
          </w:tcPr>
          <w:p>
            <w:pPr>
              <w:spacing w:after="0"/>
            </w:pPr>
            <w:r>
              <w:rPr>
                <w:sz w:val="13"/>
              </w:rPr>
              <w:t>Adjudicated clinical synthesis not literally stated in one span</w:t>
            </w:r>
          </w:p>
        </w:tc>
        <w:tc>
          <w:tcPr>
            <w:tcW w:type="dxa" w:w="3389"/>
            <w:vAlign w:val="top"/>
          </w:tcPr>
          <w:p>
            <w:pPr>
              <w:spacing w:after="0"/>
            </w:pPr>
            <w:r>
              <w:rPr>
                <w:sz w:val="13"/>
              </w:rPr>
              <w:t>Reviewer + rationale required</w:t>
            </w:r>
          </w:p>
        </w:tc>
      </w:tr>
      <w:tr>
        <w:tc>
          <w:tcPr>
            <w:tcW w:type="dxa" w:w="3389"/>
            <w:vAlign w:val="top"/>
          </w:tcPr>
          <w:p>
            <w:pPr>
              <w:spacing w:after="0"/>
            </w:pPr>
            <w:r>
              <w:rPr>
                <w:sz w:val="13"/>
              </w:rPr>
              <w:t>MODEL-PREDICTED</w:t>
            </w:r>
          </w:p>
        </w:tc>
        <w:tc>
          <w:tcPr>
            <w:tcW w:type="dxa" w:w="3389"/>
            <w:vAlign w:val="top"/>
          </w:tcPr>
          <w:p>
            <w:pPr>
              <w:spacing w:after="0"/>
            </w:pPr>
            <w:r>
              <w:rPr>
                <w:sz w:val="13"/>
              </w:rPr>
              <w:t>Produced by NLP/LLM during evaluation</w:t>
            </w:r>
          </w:p>
        </w:tc>
        <w:tc>
          <w:tcPr>
            <w:tcW w:type="dxa" w:w="3389"/>
            <w:vAlign w:val="top"/>
          </w:tcPr>
          <w:p>
            <w:pPr>
              <w:spacing w:after="0"/>
            </w:pPr>
            <w:r>
              <w:rPr>
                <w:sz w:val="13"/>
              </w:rPr>
              <w:t>Model/version/prompt/run provenance required</w:t>
            </w:r>
          </w:p>
        </w:tc>
      </w:tr>
      <w:tr>
        <w:tc>
          <w:tcPr>
            <w:tcW w:type="dxa" w:w="3389"/>
            <w:vAlign w:val="top"/>
          </w:tcPr>
          <w:p>
            <w:pPr>
              <w:spacing w:after="0"/>
            </w:pPr>
            <w:r>
              <w:rPr>
                <w:sz w:val="13"/>
              </w:rPr>
              <w:t>UNRESOLVED</w:t>
            </w:r>
          </w:p>
        </w:tc>
        <w:tc>
          <w:tcPr>
            <w:tcW w:type="dxa" w:w="3389"/>
            <w:vAlign w:val="top"/>
          </w:tcPr>
          <w:p>
            <w:pPr>
              <w:spacing w:after="0"/>
            </w:pPr>
            <w:r>
              <w:rPr>
                <w:sz w:val="13"/>
              </w:rPr>
              <w:t>Insufficient evidence or mapping</w:t>
            </w:r>
          </w:p>
        </w:tc>
        <w:tc>
          <w:tcPr>
            <w:tcW w:type="dxa" w:w="3389"/>
            <w:vAlign w:val="top"/>
          </w:tcPr>
          <w:p>
            <w:pPr>
              <w:spacing w:after="0"/>
            </w:pPr>
            <w:r>
              <w:rPr>
                <w:sz w:val="13"/>
              </w:rPr>
              <w:t>Do not force value</w:t>
            </w:r>
          </w:p>
        </w:tc>
      </w:tr>
    </w:tbl>
    <w:p/>
    <w:tbl>
      <w:tblPr>
        <w:tblStyle w:val="TableGrid"/>
        <w:tblW w:type="auto" w:w="0"/>
        <w:tblLook w:firstColumn="1" w:firstRow="1" w:lastColumn="0" w:lastRow="0" w:noHBand="0" w:noVBand="1" w:val="04A0"/>
      </w:tblPr>
      <w:tblGrid>
        <w:gridCol w:w="10166"/>
      </w:tblGrid>
      <w:tr>
        <w:tc>
          <w:tcPr>
            <w:tcW w:type="dxa" w:w="10166"/>
            <w:shd w:fill="FFF2CC"/>
          </w:tcPr>
          <w:p>
            <w:r>
              <w:rPr>
                <w:b/>
                <w:color w:val="17365D"/>
              </w:rPr>
              <w:t>No silent promotion</w:t>
              <w:br/>
            </w:r>
            <w:r>
              <w:t>SOURCE-DIRECT → SOURCE-NORMALIZED is permitted only as terminology normalization. Any step that adds a clinical conclusion must become MEDAI-DERIVED or CLINICIAN-DERIVED and retain its derivation provenance.</w:t>
            </w:r>
          </w:p>
        </w:tc>
      </w:tr>
    </w:tbl>
    <w:p/>
    <w:p>
      <w:pPr>
        <w:pStyle w:val="Heading1"/>
      </w:pPr>
      <w:r>
        <w:t>14. Worked examples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Pr>
                <w:b/>
                <w:sz w:val="12"/>
              </w:rPr>
              <w:t>Source</w:t>
            </w:r>
          </w:p>
        </w:tc>
        <w:tc>
          <w:tcPr>
            <w:tcW w:type="dxa" w:w="2033"/>
            <w:shd w:fill="D9EAF7"/>
          </w:tcPr>
          <w:p>
            <w:r>
              <w:rPr>
                <w:b/>
                <w:sz w:val="12"/>
              </w:rPr>
              <w:t>Example/state</w:t>
            </w:r>
          </w:p>
        </w:tc>
        <w:tc>
          <w:tcPr>
            <w:tcW w:type="dxa" w:w="2033"/>
            <w:shd w:fill="D9EAF7"/>
          </w:tcPr>
          <w:p>
            <w:r>
              <w:rPr>
                <w:b/>
                <w:sz w:val="12"/>
              </w:rPr>
              <w:t>Layer</w:t>
            </w:r>
          </w:p>
        </w:tc>
        <w:tc>
          <w:tcPr>
            <w:tcW w:type="dxa" w:w="2033"/>
            <w:shd w:fill="D9EAF7"/>
          </w:tcPr>
          <w:p>
            <w:r>
              <w:rPr>
                <w:b/>
                <w:sz w:val="12"/>
              </w:rPr>
              <w:t>Target</w:t>
            </w:r>
          </w:p>
        </w:tc>
        <w:tc>
          <w:tcPr>
            <w:tcW w:type="dxa" w:w="2033"/>
            <w:shd w:fill="D9EAF7"/>
          </w:tcPr>
          <w:p>
            <w:r>
              <w:rPr>
                <w:b/>
                <w:sz w:val="12"/>
              </w:rPr>
              <w:t>Boundary</w:t>
            </w:r>
          </w:p>
        </w:tc>
      </w:tr>
      <w:tr>
        <w:tc>
          <w:tcPr>
            <w:tcW w:type="dxa" w:w="2033"/>
            <w:vAlign w:val="top"/>
          </w:tcPr>
          <w:p>
            <w:pPr>
              <w:spacing w:after="0"/>
            </w:pPr>
            <w:r>
              <w:rPr>
                <w:sz w:val="11"/>
              </w:rPr>
              <w:t>EEG report</w:t>
            </w:r>
          </w:p>
        </w:tc>
        <w:tc>
          <w:tcPr>
            <w:tcW w:type="dxa" w:w="2033"/>
            <w:vAlign w:val="top"/>
          </w:tcPr>
          <w:p>
            <w:pPr>
              <w:spacing w:after="0"/>
            </w:pPr>
            <w:r>
              <w:rPr>
                <w:sz w:val="11"/>
              </w:rPr>
              <w:t>Frequent left temporal sharp waves were present during sleep.</w:t>
            </w:r>
          </w:p>
        </w:tc>
        <w:tc>
          <w:tcPr>
            <w:tcW w:type="dxa" w:w="2033"/>
            <w:vAlign w:val="top"/>
          </w:tcPr>
          <w:p>
            <w:pPr>
              <w:spacing w:after="0"/>
            </w:pPr>
            <w:r>
              <w:rPr>
                <w:sz w:val="11"/>
              </w:rPr>
              <w:t>DIRECT</w:t>
            </w:r>
          </w:p>
        </w:tc>
        <w:tc>
          <w:tcPr>
            <w:tcW w:type="dxa" w:w="2033"/>
            <w:vAlign w:val="top"/>
          </w:tcPr>
          <w:p>
            <w:pPr>
              <w:spacing w:after="0"/>
            </w:pPr>
            <w:r>
              <w:rPr>
                <w:sz w:val="11"/>
              </w:rPr>
              <w:t>interictal epileptiform activity</w:t>
            </w:r>
          </w:p>
        </w:tc>
        <w:tc>
          <w:tcPr>
            <w:tcW w:type="dxa" w:w="2033"/>
            <w:vAlign w:val="top"/>
          </w:tcPr>
          <w:p>
            <w:pPr>
              <w:spacing w:after="0"/>
            </w:pPr>
            <w:r>
              <w:rPr>
                <w:sz w:val="11"/>
              </w:rPr>
              <w:t>The text supports an EEG finding. It does not by itself establish epilepsy type or etiology.</w:t>
            </w:r>
          </w:p>
        </w:tc>
      </w:tr>
      <w:tr>
        <w:tc>
          <w:tcPr>
            <w:tcW w:type="dxa" w:w="2033"/>
            <w:vAlign w:val="top"/>
          </w:tcPr>
          <w:p>
            <w:pPr>
              <w:spacing w:after="0"/>
            </w:pPr>
            <w:r>
              <w:rPr>
                <w:sz w:val="11"/>
              </w:rPr>
              <w:t>MRI report</w:t>
            </w:r>
          </w:p>
        </w:tc>
        <w:tc>
          <w:tcPr>
            <w:tcW w:type="dxa" w:w="2033"/>
            <w:vAlign w:val="top"/>
          </w:tcPr>
          <w:p>
            <w:pPr>
              <w:spacing w:after="0"/>
            </w:pPr>
            <w:r>
              <w:rPr>
                <w:sz w:val="11"/>
              </w:rPr>
              <w:t>Left hippocampal atrophy and increased FLAIR signal are compatible with mesial temporal sclerosis.</w:t>
            </w:r>
          </w:p>
        </w:tc>
        <w:tc>
          <w:tcPr>
            <w:tcW w:type="dxa" w:w="2033"/>
            <w:vAlign w:val="top"/>
          </w:tcPr>
          <w:p>
            <w:pPr>
              <w:spacing w:after="0"/>
            </w:pPr>
            <w:r>
              <w:rPr>
                <w:sz w:val="11"/>
              </w:rPr>
              <w:t>DIRECT</w:t>
            </w:r>
          </w:p>
        </w:tc>
        <w:tc>
          <w:tcPr>
            <w:tcW w:type="dxa" w:w="2033"/>
            <w:vAlign w:val="top"/>
          </w:tcPr>
          <w:p>
            <w:pPr>
              <w:spacing w:after="0"/>
            </w:pPr>
            <w:r>
              <w:rPr>
                <w:sz w:val="11"/>
              </w:rPr>
              <w:t>imaging-level hippocampal sclerosis impression</w:t>
            </w:r>
          </w:p>
        </w:tc>
        <w:tc>
          <w:tcPr>
            <w:tcW w:type="dxa" w:w="2033"/>
            <w:vAlign w:val="top"/>
          </w:tcPr>
          <w:p>
            <w:pPr>
              <w:spacing w:after="0"/>
            </w:pPr>
            <w:r>
              <w:rPr>
                <w:sz w:val="11"/>
              </w:rPr>
              <w:t>Do not assign ILAE histopathologic HS type.</w:t>
            </w:r>
          </w:p>
        </w:tc>
      </w:tr>
      <w:tr>
        <w:tc>
          <w:tcPr>
            <w:tcW w:type="dxa" w:w="2033"/>
            <w:vAlign w:val="top"/>
          </w:tcPr>
          <w:p>
            <w:pPr>
              <w:spacing w:after="0"/>
            </w:pPr>
            <w:r>
              <w:rPr>
                <w:sz w:val="11"/>
              </w:rPr>
              <w:t>Progress note</w:t>
            </w:r>
          </w:p>
        </w:tc>
        <w:tc>
          <w:tcPr>
            <w:tcW w:type="dxa" w:w="2033"/>
            <w:vAlign w:val="top"/>
          </w:tcPr>
          <w:p>
            <w:pPr>
              <w:spacing w:after="0"/>
            </w:pPr>
            <w:r>
              <w:rPr>
                <w:sz w:val="11"/>
              </w:rPr>
              <w:t>She continues to have two to three focal impaired-consciousness seizures per month.</w:t>
            </w:r>
          </w:p>
        </w:tc>
        <w:tc>
          <w:tcPr>
            <w:tcW w:type="dxa" w:w="2033"/>
            <w:vAlign w:val="top"/>
          </w:tcPr>
          <w:p>
            <w:pPr>
              <w:spacing w:after="0"/>
            </w:pPr>
            <w:r>
              <w:rPr>
                <w:sz w:val="11"/>
              </w:rPr>
              <w:t>DIRECT</w:t>
            </w:r>
          </w:p>
        </w:tc>
        <w:tc>
          <w:tcPr>
            <w:tcW w:type="dxa" w:w="2033"/>
            <w:vAlign w:val="top"/>
          </w:tcPr>
          <w:p>
            <w:pPr>
              <w:spacing w:after="0"/>
            </w:pPr>
            <w:r>
              <w:rPr>
                <w:sz w:val="11"/>
              </w:rPr>
              <w:t>seizure class/type + frequency</w:t>
            </w:r>
          </w:p>
        </w:tc>
        <w:tc>
          <w:tcPr>
            <w:tcW w:type="dxa" w:w="2033"/>
            <w:vAlign w:val="top"/>
          </w:tcPr>
          <w:p>
            <w:pPr>
              <w:spacing w:after="0"/>
            </w:pPr>
            <w:r>
              <w:rPr>
                <w:sz w:val="11"/>
              </w:rPr>
              <w:t>Separate seizure classification assertion from frequency assertion if annotation granularity requires.</w:t>
            </w:r>
          </w:p>
        </w:tc>
      </w:tr>
      <w:tr>
        <w:tc>
          <w:tcPr>
            <w:tcW w:type="dxa" w:w="2033"/>
            <w:vAlign w:val="top"/>
          </w:tcPr>
          <w:p>
            <w:pPr>
              <w:spacing w:after="0"/>
            </w:pPr>
            <w:r>
              <w:rPr>
                <w:sz w:val="11"/>
              </w:rPr>
              <w:t>Progress note</w:t>
            </w:r>
          </w:p>
        </w:tc>
        <w:tc>
          <w:tcPr>
            <w:tcW w:type="dxa" w:w="2033"/>
            <w:vAlign w:val="top"/>
          </w:tcPr>
          <w:p>
            <w:pPr>
              <w:spacing w:after="0"/>
            </w:pPr>
            <w:r>
              <w:rPr>
                <w:sz w:val="11"/>
              </w:rPr>
              <w:t>Levetiracetam was stopped because of mood adverse effects.</w:t>
            </w:r>
          </w:p>
        </w:tc>
        <w:tc>
          <w:tcPr>
            <w:tcW w:type="dxa" w:w="2033"/>
            <w:vAlign w:val="top"/>
          </w:tcPr>
          <w:p>
            <w:pPr>
              <w:spacing w:after="0"/>
            </w:pPr>
            <w:r>
              <w:rPr>
                <w:sz w:val="11"/>
              </w:rPr>
              <w:t>DIRECT</w:t>
            </w:r>
          </w:p>
        </w:tc>
        <w:tc>
          <w:tcPr>
            <w:tcW w:type="dxa" w:w="2033"/>
            <w:vAlign w:val="top"/>
          </w:tcPr>
          <w:p>
            <w:pPr>
              <w:spacing w:after="0"/>
            </w:pPr>
            <w:r>
              <w:rPr>
                <w:sz w:val="11"/>
              </w:rPr>
              <w:t>ASM exposure + discontinuation reason</w:t>
            </w:r>
          </w:p>
        </w:tc>
        <w:tc>
          <w:tcPr>
            <w:tcW w:type="dxa" w:w="2033"/>
            <w:vAlign w:val="top"/>
          </w:tcPr>
          <w:p>
            <w:pPr>
              <w:spacing w:after="0"/>
            </w:pPr>
            <w:r>
              <w:rPr>
                <w:sz w:val="11"/>
              </w:rPr>
              <w:t>Does not by itself establish an adequate failed trial for DRE.</w:t>
            </w:r>
          </w:p>
        </w:tc>
      </w:tr>
      <w:tr>
        <w:tc>
          <w:tcPr>
            <w:tcW w:type="dxa" w:w="2033"/>
            <w:vAlign w:val="top"/>
          </w:tcPr>
          <w:p>
            <w:pPr>
              <w:spacing w:after="0"/>
            </w:pPr>
            <w:r>
              <w:rPr>
                <w:sz w:val="11"/>
              </w:rPr>
              <w:t>Cross-document</w:t>
            </w:r>
          </w:p>
        </w:tc>
        <w:tc>
          <w:tcPr>
            <w:tcW w:type="dxa" w:w="2033"/>
            <w:vAlign w:val="top"/>
          </w:tcPr>
          <w:p>
            <w:pPr>
              <w:spacing w:after="0"/>
            </w:pPr>
            <w:r>
              <w:rPr>
                <w:sz w:val="11"/>
              </w:rPr>
              <w:t>Two qualifying ASM failures are documented and seizures persist.</w:t>
            </w:r>
          </w:p>
        </w:tc>
        <w:tc>
          <w:tcPr>
            <w:tcW w:type="dxa" w:w="2033"/>
            <w:vAlign w:val="top"/>
          </w:tcPr>
          <w:p>
            <w:pPr>
              <w:spacing w:after="0"/>
            </w:pPr>
            <w:r>
              <w:rPr>
                <w:sz w:val="11"/>
              </w:rPr>
              <w:t>DERIVED</w:t>
            </w:r>
          </w:p>
        </w:tc>
        <w:tc>
          <w:tcPr>
            <w:tcW w:type="dxa" w:w="2033"/>
            <w:vAlign w:val="top"/>
          </w:tcPr>
          <w:p>
            <w:pPr>
              <w:spacing w:after="0"/>
            </w:pPr>
            <w:r>
              <w:rPr>
                <w:sz w:val="11"/>
              </w:rPr>
              <w:t>DRE candidate state</w:t>
            </w:r>
          </w:p>
        </w:tc>
        <w:tc>
          <w:tcPr>
            <w:tcW w:type="dxa" w:w="2033"/>
            <w:vAlign w:val="top"/>
          </w:tcPr>
          <w:p>
            <w:pPr>
              <w:spacing w:after="0"/>
            </w:pPr>
            <w:r>
              <w:rPr>
                <w:sz w:val="11"/>
              </w:rPr>
              <w:t>Requires frozen DRE derivation rule; never pretend one sentence stated the conclusion.</w:t>
            </w:r>
          </w:p>
        </w:tc>
      </w:tr>
      <w:tr>
        <w:tc>
          <w:tcPr>
            <w:tcW w:type="dxa" w:w="2033"/>
            <w:vAlign w:val="top"/>
          </w:tcPr>
          <w:p>
            <w:pPr>
              <w:spacing w:after="0"/>
            </w:pPr>
            <w:r>
              <w:rPr>
                <w:sz w:val="11"/>
              </w:rPr>
              <w:t>MRI + EEG reports</w:t>
            </w:r>
          </w:p>
        </w:tc>
        <w:tc>
          <w:tcPr>
            <w:tcW w:type="dxa" w:w="2033"/>
            <w:vAlign w:val="top"/>
          </w:tcPr>
          <w:p>
            <w:pPr>
              <w:spacing w:after="0"/>
            </w:pPr>
            <w:r>
              <w:rPr>
                <w:sz w:val="11"/>
              </w:rPr>
              <w:t>MRI left temporal lesion and EEG left temporal ictal onset.</w:t>
            </w:r>
          </w:p>
        </w:tc>
        <w:tc>
          <w:tcPr>
            <w:tcW w:type="dxa" w:w="2033"/>
            <w:vAlign w:val="top"/>
          </w:tcPr>
          <w:p>
            <w:pPr>
              <w:spacing w:after="0"/>
            </w:pPr>
            <w:r>
              <w:rPr>
                <w:sz w:val="11"/>
              </w:rPr>
              <w:t>PATIENT_SYNTHESIS</w:t>
            </w:r>
          </w:p>
        </w:tc>
        <w:tc>
          <w:tcPr>
            <w:tcW w:type="dxa" w:w="2033"/>
            <w:vAlign w:val="top"/>
          </w:tcPr>
          <w:p>
            <w:pPr>
              <w:spacing w:after="0"/>
            </w:pPr>
            <w:r>
              <w:rPr>
                <w:sz w:val="11"/>
              </w:rPr>
              <w:t>multimodal concordance</w:t>
            </w:r>
          </w:p>
        </w:tc>
        <w:tc>
          <w:tcPr>
            <w:tcW w:type="dxa" w:w="2033"/>
            <w:vAlign w:val="top"/>
          </w:tcPr>
          <w:p>
            <w:pPr>
              <w:spacing w:after="0"/>
            </w:pPr>
            <w:r>
              <w:rPr>
                <w:sz w:val="11"/>
              </w:rPr>
              <w:t>Phase 3C permits representation but does not freeze the concordance rule.</w:t>
            </w:r>
          </w:p>
        </w:tc>
      </w:tr>
    </w:tbl>
    <w:p/>
    <w:p>
      <w:pPr>
        <w:pStyle w:val="Heading1"/>
      </w:pPr>
      <w:r>
        <w:t>15. Longitudinal and conflicting documentation</w:t>
      </w:r>
    </w:p>
    <w:p>
      <w:r>
        <w:t>Clinical records evolve. Phase 3C therefore treats assertions as time-stamped statements rather than overwriting the patient with one timeless label.</w:t>
      </w:r>
    </w:p>
    <w:p>
      <w:pPr>
        <w:pStyle w:val="ListBullet"/>
      </w:pPr>
      <w:r>
        <w:t>A prior diagnosis and a later revised diagnosis can coexist as separate assertions.</w:t>
      </w:r>
    </w:p>
    <w:p>
      <w:pPr>
        <w:pStyle w:val="ListBullet"/>
      </w:pPr>
      <w:r>
        <w:t>A historical seizure frequency should not overwrite a current frequency.</w:t>
      </w:r>
    </w:p>
    <w:p>
      <w:pPr>
        <w:pStyle w:val="ListBullet"/>
      </w:pPr>
      <w:r>
        <w:t>Conflicting MRI/EEG/clinical statements remain source-specific until adjudicated or synthesized.</w:t>
      </w:r>
    </w:p>
    <w:p>
      <w:pPr>
        <w:pStyle w:val="ListBullet"/>
      </w:pPr>
      <w:r>
        <w:t>A PatientPhenotypeView must declare its as-of date and derivation policy.</w:t>
      </w:r>
    </w:p>
    <w:p>
      <w:pPr>
        <w:pStyle w:val="ListBullet"/>
      </w:pPr>
      <w:r>
        <w:t>Document chronology is part of the phenotype representation, not merely metadata.</w:t>
      </w:r>
    </w:p>
    <w:p>
      <w:pPr>
        <w:pStyle w:val="Heading1"/>
      </w:pPr>
      <w:r>
        <w:t>16. What Phase 3C deliberately does not decide</w:t>
      </w:r>
    </w:p>
    <w:p>
      <w:pPr>
        <w:pStyle w:val="ListBullet"/>
      </w:pPr>
      <w:r>
        <w:t>Exact MRI lesion vocabulary and external mappings.</w:t>
      </w:r>
    </w:p>
    <w:p>
      <w:pPr>
        <w:pStyle w:val="ListBullet"/>
      </w:pPr>
      <w:r>
        <w:t>Exact SCORE EEG subset/value hierarchy.</w:t>
      </w:r>
    </w:p>
    <w:p>
      <w:pPr>
        <w:pStyle w:val="ListBullet"/>
      </w:pPr>
      <w:r>
        <w:t>Complete certainty and temporality value sets.</w:t>
      </w:r>
    </w:p>
    <w:p>
      <w:pPr>
        <w:pStyle w:val="ListBullet"/>
      </w:pPr>
      <w:r>
        <w:t>Syndrome-diagnosis derivation rules.</w:t>
      </w:r>
    </w:p>
    <w:p>
      <w:pPr>
        <w:pStyle w:val="ListBullet"/>
      </w:pPr>
      <w:r>
        <w:t>DRE computational derivation rule.</w:t>
      </w:r>
    </w:p>
    <w:p>
      <w:pPr>
        <w:pStyle w:val="ListBullet"/>
      </w:pPr>
      <w:r>
        <w:t>Multimodal concordance/localization categories.</w:t>
      </w:r>
    </w:p>
    <w:p>
      <w:pPr>
        <w:pStyle w:val="ListBullet"/>
      </w:pPr>
      <w:r>
        <w:t>Raw MRI/EEG feature schemas.</w:t>
      </w:r>
    </w:p>
    <w:p>
      <w:pPr>
        <w:pStyle w:val="ListBullet"/>
      </w:pPr>
      <w:r>
        <w:t>Final human annotation span rules for every phenotype.</w:t>
      </w:r>
    </w:p>
    <w:p>
      <w:pPr>
        <w:pStyle w:val="Heading1"/>
      </w:pPr>
      <w:r>
        <w:t>17. Unresolved design registry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sz w:val="12"/>
              </w:rPr>
              <w:t>Item</w:t>
            </w:r>
          </w:p>
        </w:tc>
        <w:tc>
          <w:tcPr>
            <w:tcW w:type="dxa" w:w="2541"/>
            <w:shd w:fill="D9EAF7"/>
          </w:tcPr>
          <w:p>
            <w:r>
              <w:rPr>
                <w:b/>
                <w:sz w:val="12"/>
              </w:rPr>
              <w:t>Issue</w:t>
            </w:r>
          </w:p>
        </w:tc>
        <w:tc>
          <w:tcPr>
            <w:tcW w:type="dxa" w:w="2541"/>
            <w:shd w:fill="D9EAF7"/>
          </w:tcPr>
          <w:p>
            <w:r>
              <w:rPr>
                <w:b/>
                <w:sz w:val="12"/>
              </w:rPr>
              <w:t>Target</w:t>
            </w:r>
          </w:p>
        </w:tc>
        <w:tc>
          <w:tcPr>
            <w:tcW w:type="dxa" w:w="2541"/>
            <w:shd w:fill="D9EAF7"/>
          </w:tcPr>
          <w:p>
            <w:r>
              <w:rPr>
                <w:b/>
                <w:sz w:val="12"/>
              </w:rPr>
              <w:t>Priority</w:t>
            </w:r>
          </w:p>
        </w:tc>
      </w:tr>
      <w:tr>
        <w:tc>
          <w:tcPr>
            <w:tcW w:type="dxa" w:w="2541"/>
            <w:vAlign w:val="top"/>
          </w:tcPr>
          <w:p>
            <w:pPr>
              <w:spacing w:after="0"/>
            </w:pPr>
            <w:r>
              <w:rPr>
                <w:sz w:val="12"/>
              </w:rPr>
              <w:t>Assertion certainty scale</w:t>
            </w:r>
          </w:p>
        </w:tc>
        <w:tc>
          <w:tcPr>
            <w:tcW w:type="dxa" w:w="2541"/>
            <w:vAlign w:val="top"/>
          </w:tcPr>
          <w:p>
            <w:pPr>
              <w:spacing w:after="0"/>
            </w:pPr>
            <w:r>
              <w:rPr>
                <w:sz w:val="12"/>
              </w:rPr>
              <w:t>ExECT used certainty levels for selected entities, but MedAI needs a cross-document certainty representation compatible with radiology/EEG/diagnosis language.</w:t>
            </w:r>
          </w:p>
        </w:tc>
        <w:tc>
          <w:tcPr>
            <w:tcW w:type="dxa" w:w="2541"/>
            <w:vAlign w:val="top"/>
          </w:tcPr>
          <w:p>
            <w:pPr>
              <w:spacing w:after="0"/>
            </w:pPr>
            <w:r>
              <w:rPr>
                <w:sz w:val="12"/>
              </w:rPr>
              <w:t>Phase 3D/4</w:t>
            </w:r>
          </w:p>
        </w:tc>
        <w:tc>
          <w:tcPr>
            <w:tcW w:type="dxa" w:w="2541"/>
            <w:vAlign w:val="top"/>
          </w:tcPr>
          <w:p>
            <w:pPr>
              <w:spacing w:after="0"/>
            </w:pPr>
            <w:r>
              <w:rPr>
                <w:sz w:val="12"/>
              </w:rPr>
              <w:t>HIGH</w:t>
            </w:r>
          </w:p>
        </w:tc>
      </w:tr>
      <w:tr>
        <w:tc>
          <w:tcPr>
            <w:tcW w:type="dxa" w:w="2541"/>
            <w:vAlign w:val="top"/>
          </w:tcPr>
          <w:p>
            <w:pPr>
              <w:spacing w:after="0"/>
            </w:pPr>
            <w:r>
              <w:rPr>
                <w:sz w:val="12"/>
              </w:rPr>
              <w:t>Temporality value set</w:t>
            </w:r>
          </w:p>
        </w:tc>
        <w:tc>
          <w:tcPr>
            <w:tcW w:type="dxa" w:w="2541"/>
            <w:vAlign w:val="top"/>
          </w:tcPr>
          <w:p>
            <w:pPr>
              <w:spacing w:after="0"/>
            </w:pPr>
            <w:r>
              <w:rPr>
                <w:sz w:val="12"/>
              </w:rPr>
              <w:t>Need explicit current/historical/planned/relative-time model and relation to SZFreqExtract temporal attributes.</w:t>
            </w:r>
          </w:p>
        </w:tc>
        <w:tc>
          <w:tcPr>
            <w:tcW w:type="dxa" w:w="2541"/>
            <w:vAlign w:val="top"/>
          </w:tcPr>
          <w:p>
            <w:pPr>
              <w:spacing w:after="0"/>
            </w:pPr>
            <w:r>
              <w:rPr>
                <w:sz w:val="12"/>
              </w:rPr>
              <w:t>Phase 3D/4</w:t>
            </w:r>
          </w:p>
        </w:tc>
        <w:tc>
          <w:tcPr>
            <w:tcW w:type="dxa" w:w="2541"/>
            <w:vAlign w:val="top"/>
          </w:tcPr>
          <w:p>
            <w:pPr>
              <w:spacing w:after="0"/>
            </w:pPr>
            <w:r>
              <w:rPr>
                <w:sz w:val="12"/>
              </w:rPr>
              <w:t>HIGH</w:t>
            </w:r>
          </w:p>
        </w:tc>
      </w:tr>
      <w:tr>
        <w:tc>
          <w:tcPr>
            <w:tcW w:type="dxa" w:w="2541"/>
            <w:vAlign w:val="top"/>
          </w:tcPr>
          <w:p>
            <w:pPr>
              <w:spacing w:after="0"/>
            </w:pPr>
            <w:r>
              <w:rPr>
                <w:sz w:val="12"/>
              </w:rPr>
              <w:t>Experiencer</w:t>
            </w:r>
          </w:p>
        </w:tc>
        <w:tc>
          <w:tcPr>
            <w:tcW w:type="dxa" w:w="2541"/>
            <w:vAlign w:val="top"/>
          </w:tcPr>
          <w:p>
            <w:pPr>
              <w:spacing w:after="0"/>
            </w:pPr>
            <w:r>
              <w:rPr>
                <w:sz w:val="12"/>
              </w:rPr>
              <w:t>Need rule for patient vs family/other mentions in clinical notes.</w:t>
            </w:r>
          </w:p>
        </w:tc>
        <w:tc>
          <w:tcPr>
            <w:tcW w:type="dxa" w:w="2541"/>
            <w:vAlign w:val="top"/>
          </w:tcPr>
          <w:p>
            <w:pPr>
              <w:spacing w:after="0"/>
            </w:pPr>
            <w:r>
              <w:rPr>
                <w:sz w:val="12"/>
              </w:rPr>
              <w:t>Phase 4</w:t>
            </w:r>
          </w:p>
        </w:tc>
        <w:tc>
          <w:tcPr>
            <w:tcW w:type="dxa" w:w="2541"/>
            <w:vAlign w:val="top"/>
          </w:tcPr>
          <w:p>
            <w:pPr>
              <w:spacing w:after="0"/>
            </w:pPr>
            <w:r>
              <w:rPr>
                <w:sz w:val="12"/>
              </w:rPr>
              <w:t>MEDIUM</w:t>
            </w:r>
          </w:p>
        </w:tc>
      </w:tr>
      <w:tr>
        <w:tc>
          <w:tcPr>
            <w:tcW w:type="dxa" w:w="2541"/>
            <w:vAlign w:val="top"/>
          </w:tcPr>
          <w:p>
            <w:pPr>
              <w:spacing w:after="0"/>
            </w:pPr>
            <w:r>
              <w:rPr>
                <w:sz w:val="12"/>
              </w:rPr>
              <w:t>Coreference</w:t>
            </w:r>
          </w:p>
        </w:tc>
        <w:tc>
          <w:tcPr>
            <w:tcW w:type="dxa" w:w="2541"/>
            <w:vAlign w:val="top"/>
          </w:tcPr>
          <w:p>
            <w:pPr>
              <w:spacing w:after="0"/>
            </w:pPr>
            <w:r>
              <w:rPr>
                <w:sz w:val="12"/>
              </w:rPr>
              <w:t>Need policy for pronouns/elliptical references and repeated mentions.</w:t>
            </w:r>
          </w:p>
        </w:tc>
        <w:tc>
          <w:tcPr>
            <w:tcW w:type="dxa" w:w="2541"/>
            <w:vAlign w:val="top"/>
          </w:tcPr>
          <w:p>
            <w:pPr>
              <w:spacing w:after="0"/>
            </w:pPr>
            <w:r>
              <w:rPr>
                <w:sz w:val="12"/>
              </w:rPr>
              <w:t>Phase 4</w:t>
            </w:r>
          </w:p>
        </w:tc>
        <w:tc>
          <w:tcPr>
            <w:tcW w:type="dxa" w:w="2541"/>
            <w:vAlign w:val="top"/>
          </w:tcPr>
          <w:p>
            <w:pPr>
              <w:spacing w:after="0"/>
            </w:pPr>
            <w:r>
              <w:rPr>
                <w:sz w:val="12"/>
              </w:rPr>
              <w:t>HIGH</w:t>
            </w:r>
          </w:p>
        </w:tc>
      </w:tr>
      <w:tr>
        <w:tc>
          <w:tcPr>
            <w:tcW w:type="dxa" w:w="2541"/>
            <w:vAlign w:val="top"/>
          </w:tcPr>
          <w:p>
            <w:pPr>
              <w:spacing w:after="0"/>
            </w:pPr>
            <w:r>
              <w:rPr>
                <w:sz w:val="12"/>
              </w:rPr>
              <w:t>Document section provenance</w:t>
            </w:r>
          </w:p>
        </w:tc>
        <w:tc>
          <w:tcPr>
            <w:tcW w:type="dxa" w:w="2541"/>
            <w:vAlign w:val="top"/>
          </w:tcPr>
          <w:p>
            <w:pPr>
              <w:spacing w:after="0"/>
            </w:pPr>
            <w:r>
              <w:rPr>
                <w:sz w:val="12"/>
              </w:rPr>
              <w:t>Need section identifiers/heading normalization for heterogeneous notes.</w:t>
            </w:r>
          </w:p>
        </w:tc>
        <w:tc>
          <w:tcPr>
            <w:tcW w:type="dxa" w:w="2541"/>
            <w:vAlign w:val="top"/>
          </w:tcPr>
          <w:p>
            <w:pPr>
              <w:spacing w:after="0"/>
            </w:pPr>
            <w:r>
              <w:rPr>
                <w:sz w:val="12"/>
              </w:rPr>
              <w:t>Phase 4</w:t>
            </w:r>
          </w:p>
        </w:tc>
        <w:tc>
          <w:tcPr>
            <w:tcW w:type="dxa" w:w="2541"/>
            <w:vAlign w:val="top"/>
          </w:tcPr>
          <w:p>
            <w:pPr>
              <w:spacing w:after="0"/>
            </w:pPr>
            <w:r>
              <w:rPr>
                <w:sz w:val="12"/>
              </w:rPr>
              <w:t>MEDIUM</w:t>
            </w:r>
          </w:p>
        </w:tc>
      </w:tr>
      <w:tr>
        <w:tc>
          <w:tcPr>
            <w:tcW w:type="dxa" w:w="2541"/>
            <w:vAlign w:val="top"/>
          </w:tcPr>
          <w:p>
            <w:pPr>
              <w:spacing w:after="0"/>
            </w:pPr>
            <w:r>
              <w:rPr>
                <w:sz w:val="12"/>
              </w:rPr>
              <w:t>MRI concept normalization</w:t>
            </w:r>
          </w:p>
        </w:tc>
        <w:tc>
          <w:tcPr>
            <w:tcW w:type="dxa" w:w="2541"/>
            <w:vAlign w:val="top"/>
          </w:tcPr>
          <w:p>
            <w:pPr>
              <w:spacing w:after="0"/>
            </w:pPr>
            <w:r>
              <w:rPr>
                <w:sz w:val="12"/>
              </w:rPr>
              <w:t>Dedicated MRI-report phenotype vocabulary/mappings still unresolved from 3B.</w:t>
            </w:r>
          </w:p>
        </w:tc>
        <w:tc>
          <w:tcPr>
            <w:tcW w:type="dxa" w:w="2541"/>
            <w:vAlign w:val="top"/>
          </w:tcPr>
          <w:p>
            <w:pPr>
              <w:spacing w:after="0"/>
            </w:pPr>
            <w:r>
              <w:rPr>
                <w:sz w:val="12"/>
              </w:rPr>
              <w:t>Phase 3D</w:t>
            </w:r>
          </w:p>
        </w:tc>
        <w:tc>
          <w:tcPr>
            <w:tcW w:type="dxa" w:w="2541"/>
            <w:vAlign w:val="top"/>
          </w:tcPr>
          <w:p>
            <w:pPr>
              <w:spacing w:after="0"/>
            </w:pPr>
            <w:r>
              <w:rPr>
                <w:sz w:val="12"/>
              </w:rPr>
              <w:t>HIGH</w:t>
            </w:r>
          </w:p>
        </w:tc>
      </w:tr>
      <w:tr>
        <w:tc>
          <w:tcPr>
            <w:tcW w:type="dxa" w:w="2541"/>
            <w:vAlign w:val="top"/>
          </w:tcPr>
          <w:p>
            <w:pPr>
              <w:spacing w:after="0"/>
            </w:pPr>
            <w:r>
              <w:rPr>
                <w:sz w:val="12"/>
              </w:rPr>
              <w:t>Detailed EEG concept normalization</w:t>
            </w:r>
          </w:p>
        </w:tc>
        <w:tc>
          <w:tcPr>
            <w:tcW w:type="dxa" w:w="2541"/>
            <w:vAlign w:val="top"/>
          </w:tcPr>
          <w:p>
            <w:pPr>
              <w:spacing w:after="0"/>
            </w:pPr>
            <w:r>
              <w:rPr>
                <w:sz w:val="12"/>
              </w:rPr>
              <w:t>Exact SCORE subset and mappings still unresolved from 3B.</w:t>
            </w:r>
          </w:p>
        </w:tc>
        <w:tc>
          <w:tcPr>
            <w:tcW w:type="dxa" w:w="2541"/>
            <w:vAlign w:val="top"/>
          </w:tcPr>
          <w:p>
            <w:pPr>
              <w:spacing w:after="0"/>
            </w:pPr>
            <w:r>
              <w:rPr>
                <w:sz w:val="12"/>
              </w:rPr>
              <w:t>Phase 3D</w:t>
            </w:r>
          </w:p>
        </w:tc>
        <w:tc>
          <w:tcPr>
            <w:tcW w:type="dxa" w:w="2541"/>
            <w:vAlign w:val="top"/>
          </w:tcPr>
          <w:p>
            <w:pPr>
              <w:spacing w:after="0"/>
            </w:pPr>
            <w:r>
              <w:rPr>
                <w:sz w:val="12"/>
              </w:rPr>
              <w:t>HIGH</w:t>
            </w:r>
          </w:p>
        </w:tc>
      </w:tr>
      <w:tr>
        <w:tc>
          <w:tcPr>
            <w:tcW w:type="dxa" w:w="2541"/>
            <w:vAlign w:val="top"/>
          </w:tcPr>
          <w:p>
            <w:pPr>
              <w:spacing w:after="0"/>
            </w:pPr>
            <w:r>
              <w:rPr>
                <w:sz w:val="12"/>
              </w:rPr>
              <w:t>Syndrome criteria</w:t>
            </w:r>
          </w:p>
        </w:tc>
        <w:tc>
          <w:tcPr>
            <w:tcW w:type="dxa" w:w="2541"/>
            <w:vAlign w:val="top"/>
          </w:tcPr>
          <w:p>
            <w:pPr>
              <w:spacing w:after="0"/>
            </w:pPr>
            <w:r>
              <w:rPr>
                <w:sz w:val="12"/>
              </w:rPr>
              <w:t>Syndrome-specific criteria must be source-extracted before derived syndrome assertions.</w:t>
            </w:r>
          </w:p>
        </w:tc>
        <w:tc>
          <w:tcPr>
            <w:tcW w:type="dxa" w:w="2541"/>
            <w:vAlign w:val="top"/>
          </w:tcPr>
          <w:p>
            <w:pPr>
              <w:spacing w:after="0"/>
            </w:pPr>
            <w:r>
              <w:rPr>
                <w:sz w:val="12"/>
              </w:rPr>
              <w:t>Phase 3D</w:t>
            </w:r>
          </w:p>
        </w:tc>
        <w:tc>
          <w:tcPr>
            <w:tcW w:type="dxa" w:w="2541"/>
            <w:vAlign w:val="top"/>
          </w:tcPr>
          <w:p>
            <w:pPr>
              <w:spacing w:after="0"/>
            </w:pPr>
            <w:r>
              <w:rPr>
                <w:sz w:val="12"/>
              </w:rPr>
              <w:t>HIGH</w:t>
            </w:r>
          </w:p>
        </w:tc>
      </w:tr>
      <w:tr>
        <w:tc>
          <w:tcPr>
            <w:tcW w:type="dxa" w:w="2541"/>
            <w:vAlign w:val="top"/>
          </w:tcPr>
          <w:p>
            <w:pPr>
              <w:spacing w:after="0"/>
            </w:pPr>
            <w:r>
              <w:rPr>
                <w:sz w:val="12"/>
              </w:rPr>
              <w:t>DRE derivation</w:t>
            </w:r>
          </w:p>
        </w:tc>
        <w:tc>
          <w:tcPr>
            <w:tcW w:type="dxa" w:w="2541"/>
            <w:vAlign w:val="top"/>
          </w:tcPr>
          <w:p>
            <w:pPr>
              <w:spacing w:after="0"/>
            </w:pPr>
            <w:r>
              <w:rPr>
                <w:sz w:val="12"/>
              </w:rPr>
              <w:t>Freeze exact computational rule including trial adequacy, appropriateness, tolerability, outcome and sustained seizure freedom.</w:t>
            </w:r>
          </w:p>
        </w:tc>
        <w:tc>
          <w:tcPr>
            <w:tcW w:type="dxa" w:w="2541"/>
            <w:vAlign w:val="top"/>
          </w:tcPr>
          <w:p>
            <w:pPr>
              <w:spacing w:after="0"/>
            </w:pPr>
            <w:r>
              <w:rPr>
                <w:sz w:val="12"/>
              </w:rPr>
              <w:t>Phase 3D/4</w:t>
            </w:r>
          </w:p>
        </w:tc>
        <w:tc>
          <w:tcPr>
            <w:tcW w:type="dxa" w:w="2541"/>
            <w:vAlign w:val="top"/>
          </w:tcPr>
          <w:p>
            <w:pPr>
              <w:spacing w:after="0"/>
            </w:pPr>
            <w:r>
              <w:rPr>
                <w:sz w:val="12"/>
              </w:rPr>
              <w:t>HIGH</w:t>
            </w:r>
          </w:p>
        </w:tc>
      </w:tr>
      <w:tr>
        <w:tc>
          <w:tcPr>
            <w:tcW w:type="dxa" w:w="2541"/>
            <w:vAlign w:val="top"/>
          </w:tcPr>
          <w:p>
            <w:pPr>
              <w:spacing w:after="0"/>
            </w:pPr>
            <w:r>
              <w:rPr>
                <w:sz w:val="12"/>
              </w:rPr>
              <w:t>Cross-document conflict resolution</w:t>
            </w:r>
          </w:p>
        </w:tc>
        <w:tc>
          <w:tcPr>
            <w:tcW w:type="dxa" w:w="2541"/>
            <w:vAlign w:val="top"/>
          </w:tcPr>
          <w:p>
            <w:pPr>
              <w:spacing w:after="0"/>
            </w:pPr>
            <w:r>
              <w:rPr>
                <w:sz w:val="12"/>
              </w:rPr>
              <w:t>Define when to retain, supersede, or adjudicate conflicting assertions across time.</w:t>
            </w:r>
          </w:p>
        </w:tc>
        <w:tc>
          <w:tcPr>
            <w:tcW w:type="dxa" w:w="2541"/>
            <w:vAlign w:val="top"/>
          </w:tcPr>
          <w:p>
            <w:pPr>
              <w:spacing w:after="0"/>
            </w:pPr>
            <w:r>
              <w:rPr>
                <w:sz w:val="12"/>
              </w:rPr>
              <w:t>Phase 4</w:t>
            </w:r>
          </w:p>
        </w:tc>
        <w:tc>
          <w:tcPr>
            <w:tcW w:type="dxa" w:w="2541"/>
            <w:vAlign w:val="top"/>
          </w:tcPr>
          <w:p>
            <w:pPr>
              <w:spacing w:after="0"/>
            </w:pPr>
            <w:r>
              <w:rPr>
                <w:sz w:val="12"/>
              </w:rPr>
              <w:t>HIGH</w:t>
            </w:r>
          </w:p>
        </w:tc>
      </w:tr>
      <w:tr>
        <w:tc>
          <w:tcPr>
            <w:tcW w:type="dxa" w:w="2541"/>
            <w:vAlign w:val="top"/>
          </w:tcPr>
          <w:p>
            <w:pPr>
              <w:spacing w:after="0"/>
            </w:pPr>
            <w:r>
              <w:rPr>
                <w:sz w:val="12"/>
              </w:rPr>
              <w:t>Concordance/localization synthesis</w:t>
            </w:r>
          </w:p>
        </w:tc>
        <w:tc>
          <w:tcPr>
            <w:tcW w:type="dxa" w:w="2541"/>
            <w:vAlign w:val="top"/>
          </w:tcPr>
          <w:p>
            <w:pPr>
              <w:spacing w:after="0"/>
            </w:pPr>
            <w:r>
              <w:rPr>
                <w:sz w:val="12"/>
              </w:rPr>
              <w:t>No source-backed universal value set frozen; remain MEDAI-PROPOSED.</w:t>
            </w:r>
          </w:p>
        </w:tc>
        <w:tc>
          <w:tcPr>
            <w:tcW w:type="dxa" w:w="2541"/>
            <w:vAlign w:val="top"/>
          </w:tcPr>
          <w:p>
            <w:pPr>
              <w:spacing w:after="0"/>
            </w:pPr>
            <w:r>
              <w:rPr>
                <w:sz w:val="12"/>
              </w:rPr>
              <w:t>Later paper / Phase 3D</w:t>
            </w:r>
          </w:p>
        </w:tc>
        <w:tc>
          <w:tcPr>
            <w:tcW w:type="dxa" w:w="2541"/>
            <w:vAlign w:val="top"/>
          </w:tcPr>
          <w:p>
            <w:pPr>
              <w:spacing w:after="0"/>
            </w:pPr>
            <w:r>
              <w:rPr>
                <w:sz w:val="12"/>
              </w:rPr>
              <w:t>HIGH</w:t>
            </w:r>
          </w:p>
        </w:tc>
      </w:tr>
    </w:tbl>
    <w:p/>
    <w:p>
      <w:pPr>
        <w:pStyle w:val="Heading1"/>
      </w:pPr>
      <w:r>
        <w:t>18. Machine-readable deliverables</w:t>
      </w:r>
    </w:p>
    <w:p>
      <w:pPr>
        <w:pStyle w:val="ListBullet"/>
      </w:pPr>
      <w:r>
        <w:t>MedAI_Phase3C_Object_Model_v1.0.csv</w:t>
      </w:r>
    </w:p>
    <w:p>
      <w:pPr>
        <w:pStyle w:val="ListBullet"/>
      </w:pPr>
      <w:r>
        <w:t>MedAI_Phase3C_Assertion_Types_v1.0.csv</w:t>
      </w:r>
    </w:p>
    <w:p>
      <w:pPr>
        <w:pStyle w:val="ListBullet"/>
      </w:pPr>
      <w:r>
        <w:t>MedAI_Phase3C_Document_Types_v1.0.csv</w:t>
      </w:r>
    </w:p>
    <w:p>
      <w:pPr>
        <w:pStyle w:val="ListBullet"/>
      </w:pPr>
      <w:r>
        <w:t>MedAI_Phase3C_Relationship_Model_v1.0.csv</w:t>
      </w:r>
    </w:p>
    <w:p>
      <w:pPr>
        <w:pStyle w:val="ListBullet"/>
      </w:pPr>
      <w:r>
        <w:t>MedAI_Phase3C_Provenance_Status_v1.0.csv</w:t>
      </w:r>
    </w:p>
    <w:p>
      <w:pPr>
        <w:pStyle w:val="ListBullet"/>
      </w:pPr>
      <w:r>
        <w:t>MedAI_Phase3C_Worked_Examples_v1.0.csv</w:t>
      </w:r>
    </w:p>
    <w:p>
      <w:pPr>
        <w:pStyle w:val="ListBullet"/>
      </w:pPr>
      <w:r>
        <w:t>MedAI_Phase3C_Unresolved_Design_Items_v1.0.csv</w:t>
      </w:r>
    </w:p>
    <w:p>
      <w:pPr>
        <w:pStyle w:val="ListBullet"/>
      </w:pPr>
      <w:r>
        <w:t>MedAI_Phase3C_PhenotypeAssertion_Schema_v1.0.json</w:t>
      </w:r>
    </w:p>
    <w:p>
      <w:pPr>
        <w:pStyle w:val="Heading1"/>
      </w:pPr>
      <w:r>
        <w:t>19. Gate decision</w:t>
      </w:r>
    </w:p>
    <w:tbl>
      <w:tblPr>
        <w:tblStyle w:val="TableGrid"/>
        <w:tblW w:type="auto" w:w="0"/>
        <w:tblLook w:firstColumn="1" w:firstRow="1" w:lastColumn="0" w:lastRow="0" w:noHBand="0" w:noVBand="1" w:val="04A0"/>
      </w:tblPr>
      <w:tblGrid>
        <w:gridCol w:w="10166"/>
      </w:tblGrid>
      <w:tr>
        <w:tc>
          <w:tcPr>
            <w:tcW w:type="dxa" w:w="10166"/>
            <w:shd w:fill="E2F0D9"/>
          </w:tcPr>
          <w:p>
            <w:r>
              <w:rPr>
                <w:b/>
                <w:color w:val="17365D"/>
              </w:rPr>
              <w:t>PHASE 3C CORE MODEL: PASS</w:t>
              <w:br/>
            </w:r>
            <w:r>
              <w:t>MedAI now has a document-centered representation that cleanly separates source text, evidence, standardized concepts, and derived patient-level conclusions. This model is suitable as the architectural basis for Phase 3D, but the unresolved terminology/value sets must be closed before the final annotation manual and large-scale synthetic generation.</w:t>
            </w:r>
          </w:p>
        </w:tc>
      </w:tr>
    </w:tbl>
    <w:p/>
    <w:p>
      <w:r>
        <w:t>Next: Phase 3D — MedAI Application Profile &amp; Generation Value Sets. It should select the exact source concepts/attributes supported in v1, freeze project-defined values, map each item to Phase 3B, and explicitly label every non-source construct.</w:t>
      </w:r>
    </w:p>
    <w:p>
      <w:pPr>
        <w:pStyle w:val="Heading1"/>
      </w:pPr>
      <w:r>
        <w:t>20. Source basis</w:t>
      </w:r>
    </w:p>
    <w:p>
      <w:r>
        <w:t>1. ILAE. Updated classification of epileptic seizures. 2025. DOI 10.1111/epi.18338.</w:t>
      </w:r>
    </w:p>
    <w:p>
      <w:r>
        <w:t>2. Scheffer IE, et al. ILAE classification of the epilepsies. Epilepsia. 2017;58:512–521. DOI 10.1111/epi.13709.</w:t>
      </w:r>
    </w:p>
    <w:p>
      <w:r>
        <w:t>3. Beniczky S, et al. Standardized computer-based organized reporting of EEG: SCORE — Second version. Clin Neurophysiol. 2017;128:2334–2346. DOI 10.1016/j.clinph.2017.07.418.</w:t>
      </w:r>
    </w:p>
    <w:p>
      <w:r>
        <w:t>4. Fonferko-Shadrach B, et al. Annotation of epilepsy clinic letters for natural language processing. J Biomed Semantics. 2024;15:17. DOI 10.1186/s13326-024-00316-z.</w:t>
      </w:r>
    </w:p>
    <w:p>
      <w:r>
        <w:t>5. MedAI Phase 3B Source Taxonomy Reconstruction v1.0.</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