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8"/>
        </w:rPr>
        <w:t>MedAI</w:t>
      </w:r>
    </w:p>
    <w:p>
      <w:pPr>
        <w:jc w:val="center"/>
      </w:pPr>
      <w:r>
        <w:rPr>
          <w:b/>
          <w:color w:val="2F5597"/>
          <w:sz w:val="38"/>
        </w:rPr>
        <w:t>Phase 3D / 4.1 — Application Profile &amp; Value-Set Closure</w:t>
      </w:r>
    </w:p>
    <w:p>
      <w:pPr>
        <w:jc w:val="center"/>
      </w:pPr>
      <w:r>
        <w:rPr>
          <w:sz w:val="22"/>
        </w:rPr>
        <w:t>Version 1.0 • 25 September 2026</w:t>
        <w:br/>
        <w:t>Evidence-backed semantic closure before synthetic patient generation</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Evidence policy</w:t>
              <w:br/>
            </w:r>
            <w:r>
              <w:t>This phase freezes only categories/value sets supported by the audited source base. Where the evidence package is incomplete, the field is LIMITED, SOURCE_TEXT_ONLY, or BLOCKED. No missing ontology term, code, RXCUI, MRI category, SCORE node, syndrome criterion, or derived endpoint is guessed.</w:t>
            </w:r>
          </w:p>
        </w:tc>
      </w:tr>
    </w:tbl>
    <w:p/>
    <w:p>
      <w:r>
        <w:br w:type="page"/>
      </w:r>
    </w:p>
    <w:p>
      <w:pPr>
        <w:pStyle w:val="Heading1"/>
      </w:pPr>
      <w:r>
        <w:t>1. Why this closure phase is necessary</w:t>
      </w:r>
    </w:p>
    <w:p>
      <w:r>
        <w:t>Phase 4 established annotation behavior but deliberately remained conditional because Phase 3D had not been completed. This closure phase defines which MedAI v1 concepts may be normalized to canonical values, which may only preserve source wording, and which are prohibited from becoming gold labels or synthetic-generation truth.</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Three-state semantic gate</w:t>
              <w:br/>
            </w:r>
            <w:r>
              <w:t>FROZEN = source-backed canonical values may be used.</w:t>
              <w:br/>
              <w:t>LIMITED / SOURCE_TEXT_ONLY = annotate/generate text only within the documented boundary; do not claim a complete canonical ontology.</w:t>
              <w:br/>
              <w:t>BLOCKED = no canonical gold or synthetic truth until the source artifact/rule is extracted and frozen.</w:t>
            </w:r>
          </w:p>
        </w:tc>
      </w:tr>
    </w:tbl>
    <w:p/>
    <w:p>
      <w:pPr>
        <w:pStyle w:val="Heading1"/>
      </w:pPr>
      <w:r>
        <w:t>2. Frozen application profile</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shd w:fill="D9EAF7"/>
          </w:tcPr>
          <w:p>
            <w:r>
              <w:rPr>
                <w:b/>
                <w:sz w:val="11"/>
              </w:rPr>
              <w:t>ID</w:t>
            </w:r>
          </w:p>
        </w:tc>
        <w:tc>
          <w:tcPr>
            <w:tcW w:type="dxa" w:w="1469"/>
            <w:shd w:fill="D9EAF7"/>
          </w:tcPr>
          <w:p>
            <w:r>
              <w:rPr>
                <w:b/>
                <w:sz w:val="11"/>
              </w:rPr>
              <w:t>Field</w:t>
            </w:r>
          </w:p>
        </w:tc>
        <w:tc>
          <w:tcPr>
            <w:tcW w:type="dxa" w:w="1469"/>
            <w:shd w:fill="D9EAF7"/>
          </w:tcPr>
          <w:p>
            <w:r>
              <w:rPr>
                <w:b/>
                <w:sz w:val="11"/>
              </w:rPr>
              <w:t>Layer</w:t>
            </w:r>
          </w:p>
        </w:tc>
        <w:tc>
          <w:tcPr>
            <w:tcW w:type="dxa" w:w="1469"/>
            <w:shd w:fill="D9EAF7"/>
          </w:tcPr>
          <w:p>
            <w:r>
              <w:rPr>
                <w:b/>
                <w:sz w:val="11"/>
              </w:rPr>
              <w:t>Source</w:t>
            </w:r>
          </w:p>
        </w:tc>
        <w:tc>
          <w:tcPr>
            <w:tcW w:type="dxa" w:w="1469"/>
            <w:shd w:fill="D9EAF7"/>
          </w:tcPr>
          <w:p>
            <w:r>
              <w:rPr>
                <w:b/>
                <w:sz w:val="11"/>
              </w:rPr>
              <w:t>Provenance</w:t>
            </w:r>
          </w:p>
        </w:tc>
        <w:tc>
          <w:tcPr>
            <w:tcW w:type="dxa" w:w="1469"/>
            <w:shd w:fill="D9EAF7"/>
          </w:tcPr>
          <w:p>
            <w:r>
              <w:rPr>
                <w:b/>
                <w:sz w:val="11"/>
              </w:rPr>
              <w:t>Status</w:t>
            </w:r>
          </w:p>
        </w:tc>
        <w:tc>
          <w:tcPr>
            <w:tcW w:type="dxa" w:w="1469"/>
            <w:shd w:fill="D9EAF7"/>
          </w:tcPr>
          <w:p>
            <w:r>
              <w:rPr>
                <w:b/>
                <w:sz w:val="11"/>
              </w:rPr>
              <w:t>Policy</w:t>
            </w:r>
          </w:p>
        </w:tc>
      </w:tr>
      <w:tr>
        <w:tc>
          <w:tcPr>
            <w:tcW w:type="dxa" w:w="1469"/>
            <w:vAlign w:val="top"/>
          </w:tcPr>
          <w:p>
            <w:pPr>
              <w:spacing w:after="0"/>
            </w:pPr>
            <w:r>
              <w:rPr>
                <w:sz w:val="11"/>
              </w:rPr>
              <w:t>EP_TYPE</w:t>
            </w:r>
          </w:p>
        </w:tc>
        <w:tc>
          <w:tcPr>
            <w:tcW w:type="dxa" w:w="1469"/>
            <w:vAlign w:val="top"/>
          </w:tcPr>
          <w:p>
            <w:pPr>
              <w:spacing w:after="0"/>
            </w:pPr>
            <w:r>
              <w:rPr>
                <w:sz w:val="11"/>
              </w:rPr>
              <w:t>Epilepsy type</w:t>
            </w:r>
          </w:p>
        </w:tc>
        <w:tc>
          <w:tcPr>
            <w:tcW w:type="dxa" w:w="1469"/>
            <w:vAlign w:val="top"/>
          </w:tcPr>
          <w:p>
            <w:pPr>
              <w:spacing w:after="0"/>
            </w:pPr>
            <w:r>
              <w:rPr>
                <w:sz w:val="11"/>
              </w:rPr>
              <w:t>DIRECT/NORMALIZED</w:t>
            </w:r>
          </w:p>
        </w:tc>
        <w:tc>
          <w:tcPr>
            <w:tcW w:type="dxa" w:w="1469"/>
            <w:vAlign w:val="top"/>
          </w:tcPr>
          <w:p>
            <w:pPr>
              <w:spacing w:after="0"/>
            </w:pPr>
            <w:r>
              <w:rPr>
                <w:sz w:val="11"/>
              </w:rPr>
              <w:t>ILAE17</w:t>
            </w:r>
          </w:p>
        </w:tc>
        <w:tc>
          <w:tcPr>
            <w:tcW w:type="dxa" w:w="1469"/>
            <w:vAlign w:val="top"/>
          </w:tcPr>
          <w:p>
            <w:pPr>
              <w:spacing w:after="0"/>
            </w:pPr>
            <w:r>
              <w:rPr>
                <w:sz w:val="11"/>
              </w:rPr>
              <w:t>SOURCE-DEFINED</w:t>
            </w:r>
          </w:p>
        </w:tc>
        <w:tc>
          <w:tcPr>
            <w:tcW w:type="dxa" w:w="1469"/>
            <w:vAlign w:val="top"/>
          </w:tcPr>
          <w:p>
            <w:pPr>
              <w:spacing w:after="0"/>
            </w:pPr>
            <w:r>
              <w:rPr>
                <w:sz w:val="11"/>
              </w:rPr>
              <w:t>FROZEN</w:t>
            </w:r>
          </w:p>
        </w:tc>
        <w:tc>
          <w:tcPr>
            <w:tcW w:type="dxa" w:w="1469"/>
            <w:vAlign w:val="top"/>
          </w:tcPr>
          <w:p>
            <w:pPr>
              <w:spacing w:after="0"/>
            </w:pPr>
            <w:r>
              <w:rPr>
                <w:sz w:val="11"/>
              </w:rPr>
              <w:t>Focal; Generalized; Combined generalized and focal; Unknown</w:t>
            </w:r>
          </w:p>
        </w:tc>
      </w:tr>
      <w:tr>
        <w:tc>
          <w:tcPr>
            <w:tcW w:type="dxa" w:w="1469"/>
            <w:vAlign w:val="top"/>
          </w:tcPr>
          <w:p>
            <w:pPr>
              <w:spacing w:after="0"/>
            </w:pPr>
            <w:r>
              <w:rPr>
                <w:sz w:val="11"/>
              </w:rPr>
              <w:t>SZ_MAIN</w:t>
            </w:r>
          </w:p>
        </w:tc>
        <w:tc>
          <w:tcPr>
            <w:tcW w:type="dxa" w:w="1469"/>
            <w:vAlign w:val="top"/>
          </w:tcPr>
          <w:p>
            <w:pPr>
              <w:spacing w:after="0"/>
            </w:pPr>
            <w:r>
              <w:rPr>
                <w:sz w:val="11"/>
              </w:rPr>
              <w:t>Seizure main class</w:t>
            </w:r>
          </w:p>
        </w:tc>
        <w:tc>
          <w:tcPr>
            <w:tcW w:type="dxa" w:w="1469"/>
            <w:vAlign w:val="top"/>
          </w:tcPr>
          <w:p>
            <w:pPr>
              <w:spacing w:after="0"/>
            </w:pPr>
            <w:r>
              <w:rPr>
                <w:sz w:val="11"/>
              </w:rPr>
              <w:t>DIRECT/NORMALIZED</w:t>
            </w:r>
          </w:p>
        </w:tc>
        <w:tc>
          <w:tcPr>
            <w:tcW w:type="dxa" w:w="1469"/>
            <w:vAlign w:val="top"/>
          </w:tcPr>
          <w:p>
            <w:pPr>
              <w:spacing w:after="0"/>
            </w:pPr>
            <w:r>
              <w:rPr>
                <w:sz w:val="11"/>
              </w:rPr>
              <w:t>ILAE25</w:t>
            </w:r>
          </w:p>
        </w:tc>
        <w:tc>
          <w:tcPr>
            <w:tcW w:type="dxa" w:w="1469"/>
            <w:vAlign w:val="top"/>
          </w:tcPr>
          <w:p>
            <w:pPr>
              <w:spacing w:after="0"/>
            </w:pPr>
            <w:r>
              <w:rPr>
                <w:sz w:val="11"/>
              </w:rPr>
              <w:t>SOURCE-DEFINED</w:t>
            </w:r>
          </w:p>
        </w:tc>
        <w:tc>
          <w:tcPr>
            <w:tcW w:type="dxa" w:w="1469"/>
            <w:vAlign w:val="top"/>
          </w:tcPr>
          <w:p>
            <w:pPr>
              <w:spacing w:after="0"/>
            </w:pPr>
            <w:r>
              <w:rPr>
                <w:sz w:val="11"/>
              </w:rPr>
              <w:t>FROZEN</w:t>
            </w:r>
          </w:p>
        </w:tc>
        <w:tc>
          <w:tcPr>
            <w:tcW w:type="dxa" w:w="1469"/>
            <w:vAlign w:val="top"/>
          </w:tcPr>
          <w:p>
            <w:pPr>
              <w:spacing w:after="0"/>
            </w:pPr>
            <w:r>
              <w:rPr>
                <w:sz w:val="11"/>
              </w:rPr>
              <w:t>Focal; Generalized; Unknown whether focal or generalized; Unclassified</w:t>
            </w:r>
          </w:p>
        </w:tc>
      </w:tr>
      <w:tr>
        <w:tc>
          <w:tcPr>
            <w:tcW w:type="dxa" w:w="1469"/>
            <w:vAlign w:val="top"/>
          </w:tcPr>
          <w:p>
            <w:pPr>
              <w:spacing w:after="0"/>
            </w:pPr>
            <w:r>
              <w:rPr>
                <w:sz w:val="11"/>
              </w:rPr>
              <w:t>SZ_TYPE</w:t>
            </w:r>
          </w:p>
        </w:tc>
        <w:tc>
          <w:tcPr>
            <w:tcW w:type="dxa" w:w="1469"/>
            <w:vAlign w:val="top"/>
          </w:tcPr>
          <w:p>
            <w:pPr>
              <w:spacing w:after="0"/>
            </w:pPr>
            <w:r>
              <w:rPr>
                <w:sz w:val="11"/>
              </w:rPr>
              <w:t>Seizure type</w:t>
            </w:r>
          </w:p>
        </w:tc>
        <w:tc>
          <w:tcPr>
            <w:tcW w:type="dxa" w:w="1469"/>
            <w:vAlign w:val="top"/>
          </w:tcPr>
          <w:p>
            <w:pPr>
              <w:spacing w:after="0"/>
            </w:pPr>
            <w:r>
              <w:rPr>
                <w:sz w:val="11"/>
              </w:rPr>
              <w:t>DIRECT/NORMALIZED</w:t>
            </w:r>
          </w:p>
        </w:tc>
        <w:tc>
          <w:tcPr>
            <w:tcW w:type="dxa" w:w="1469"/>
            <w:vAlign w:val="top"/>
          </w:tcPr>
          <w:p>
            <w:pPr>
              <w:spacing w:after="0"/>
            </w:pPr>
            <w:r>
              <w:rPr>
                <w:sz w:val="11"/>
              </w:rPr>
              <w:t>ILAE25</w:t>
            </w:r>
          </w:p>
        </w:tc>
        <w:tc>
          <w:tcPr>
            <w:tcW w:type="dxa" w:w="1469"/>
            <w:vAlign w:val="top"/>
          </w:tcPr>
          <w:p>
            <w:pPr>
              <w:spacing w:after="0"/>
            </w:pPr>
            <w:r>
              <w:rPr>
                <w:sz w:val="11"/>
              </w:rPr>
              <w:t>SOURCE-DEFINED</w:t>
            </w:r>
          </w:p>
        </w:tc>
        <w:tc>
          <w:tcPr>
            <w:tcW w:type="dxa" w:w="1469"/>
            <w:vAlign w:val="top"/>
          </w:tcPr>
          <w:p>
            <w:pPr>
              <w:spacing w:after="0"/>
            </w:pPr>
            <w:r>
              <w:rPr>
                <w:sz w:val="11"/>
              </w:rPr>
              <w:t>FROZEN</w:t>
            </w:r>
          </w:p>
        </w:tc>
        <w:tc>
          <w:tcPr>
            <w:tcW w:type="dxa" w:w="1469"/>
            <w:vAlign w:val="top"/>
          </w:tcPr>
          <w:p>
            <w:pPr>
              <w:spacing w:after="0"/>
            </w:pPr>
            <w:r>
              <w:rPr>
                <w:sz w:val="11"/>
              </w:rPr>
              <w:t>Use only verified ILAE 2025 Table-1 types in Phase 3B; no invented subtype</w:t>
            </w:r>
          </w:p>
        </w:tc>
      </w:tr>
      <w:tr>
        <w:tc>
          <w:tcPr>
            <w:tcW w:type="dxa" w:w="1469"/>
            <w:vAlign w:val="top"/>
          </w:tcPr>
          <w:p>
            <w:pPr>
              <w:spacing w:after="0"/>
            </w:pPr>
            <w:r>
              <w:rPr>
                <w:sz w:val="11"/>
              </w:rPr>
              <w:t>SZ_CONSC</w:t>
            </w:r>
          </w:p>
        </w:tc>
        <w:tc>
          <w:tcPr>
            <w:tcW w:type="dxa" w:w="1469"/>
            <w:vAlign w:val="top"/>
          </w:tcPr>
          <w:p>
            <w:pPr>
              <w:spacing w:after="0"/>
            </w:pPr>
            <w:r>
              <w:rPr>
                <w:sz w:val="11"/>
              </w:rPr>
              <w:t>Consciousness classifier</w:t>
            </w:r>
          </w:p>
        </w:tc>
        <w:tc>
          <w:tcPr>
            <w:tcW w:type="dxa" w:w="1469"/>
            <w:vAlign w:val="top"/>
          </w:tcPr>
          <w:p>
            <w:pPr>
              <w:spacing w:after="0"/>
            </w:pPr>
            <w:r>
              <w:rPr>
                <w:sz w:val="11"/>
              </w:rPr>
              <w:t>DIRECT/NORMALIZED</w:t>
            </w:r>
          </w:p>
        </w:tc>
        <w:tc>
          <w:tcPr>
            <w:tcW w:type="dxa" w:w="1469"/>
            <w:vAlign w:val="top"/>
          </w:tcPr>
          <w:p>
            <w:pPr>
              <w:spacing w:after="0"/>
            </w:pPr>
            <w:r>
              <w:rPr>
                <w:sz w:val="11"/>
              </w:rPr>
              <w:t>ILAE25</w:t>
            </w:r>
          </w:p>
        </w:tc>
        <w:tc>
          <w:tcPr>
            <w:tcW w:type="dxa" w:w="1469"/>
            <w:vAlign w:val="top"/>
          </w:tcPr>
          <w:p>
            <w:pPr>
              <w:spacing w:after="0"/>
            </w:pPr>
            <w:r>
              <w:rPr>
                <w:sz w:val="11"/>
              </w:rPr>
              <w:t>SOURCE-DEFINED</w:t>
            </w:r>
          </w:p>
        </w:tc>
        <w:tc>
          <w:tcPr>
            <w:tcW w:type="dxa" w:w="1469"/>
            <w:vAlign w:val="top"/>
          </w:tcPr>
          <w:p>
            <w:pPr>
              <w:spacing w:after="0"/>
            </w:pPr>
            <w:r>
              <w:rPr>
                <w:sz w:val="11"/>
              </w:rPr>
              <w:t>FROZEN_WITH_BOUNDARY</w:t>
            </w:r>
          </w:p>
        </w:tc>
        <w:tc>
          <w:tcPr>
            <w:tcW w:type="dxa" w:w="1469"/>
            <w:vAlign w:val="top"/>
          </w:tcPr>
          <w:p>
            <w:pPr>
              <w:spacing w:after="0"/>
            </w:pPr>
            <w:r>
              <w:rPr>
                <w:sz w:val="11"/>
              </w:rPr>
              <w:t>Preserved; Impaired; if unknown do not force sub-classification</w:t>
            </w:r>
          </w:p>
        </w:tc>
      </w:tr>
      <w:tr>
        <w:tc>
          <w:tcPr>
            <w:tcW w:type="dxa" w:w="1469"/>
            <w:vAlign w:val="top"/>
          </w:tcPr>
          <w:p>
            <w:pPr>
              <w:spacing w:after="0"/>
            </w:pPr>
            <w:r>
              <w:rPr>
                <w:sz w:val="11"/>
              </w:rPr>
              <w:t>SZ_DESC</w:t>
            </w:r>
          </w:p>
        </w:tc>
        <w:tc>
          <w:tcPr>
            <w:tcW w:type="dxa" w:w="1469"/>
            <w:vAlign w:val="top"/>
          </w:tcPr>
          <w:p>
            <w:pPr>
              <w:spacing w:after="0"/>
            </w:pPr>
            <w:r>
              <w:rPr>
                <w:sz w:val="11"/>
              </w:rPr>
              <w:t>Seizure descriptors</w:t>
            </w:r>
          </w:p>
        </w:tc>
        <w:tc>
          <w:tcPr>
            <w:tcW w:type="dxa" w:w="1469"/>
            <w:vAlign w:val="top"/>
          </w:tcPr>
          <w:p>
            <w:pPr>
              <w:spacing w:after="0"/>
            </w:pPr>
            <w:r>
              <w:rPr>
                <w:sz w:val="11"/>
              </w:rPr>
              <w:t>DIRECT</w:t>
            </w:r>
          </w:p>
        </w:tc>
        <w:tc>
          <w:tcPr>
            <w:tcW w:type="dxa" w:w="1469"/>
            <w:vAlign w:val="top"/>
          </w:tcPr>
          <w:p>
            <w:pPr>
              <w:spacing w:after="0"/>
            </w:pPr>
            <w:r>
              <w:rPr>
                <w:sz w:val="11"/>
              </w:rPr>
              <w:t>ILAE25</w:t>
            </w:r>
          </w:p>
        </w:tc>
        <w:tc>
          <w:tcPr>
            <w:tcW w:type="dxa" w:w="1469"/>
            <w:vAlign w:val="top"/>
          </w:tcPr>
          <w:p>
            <w:pPr>
              <w:spacing w:after="0"/>
            </w:pPr>
            <w:r>
              <w:rPr>
                <w:sz w:val="11"/>
              </w:rPr>
              <w:t>SOURCE-CONCEPT</w:t>
            </w:r>
          </w:p>
        </w:tc>
        <w:tc>
          <w:tcPr>
            <w:tcW w:type="dxa" w:w="1469"/>
            <w:vAlign w:val="top"/>
          </w:tcPr>
          <w:p>
            <w:pPr>
              <w:spacing w:after="0"/>
            </w:pPr>
            <w:r>
              <w:rPr>
                <w:sz w:val="11"/>
              </w:rPr>
              <w:t>LIMITED</w:t>
            </w:r>
          </w:p>
        </w:tc>
        <w:tc>
          <w:tcPr>
            <w:tcW w:type="dxa" w:w="1469"/>
            <w:vAlign w:val="top"/>
          </w:tcPr>
          <w:p>
            <w:pPr>
              <w:spacing w:after="0"/>
            </w:pPr>
            <w:r>
              <w:rPr>
                <w:sz w:val="11"/>
              </w:rPr>
              <w:t>Preserve source wording; detailed glossary mapping blocked</w:t>
            </w:r>
          </w:p>
        </w:tc>
      </w:tr>
      <w:tr>
        <w:tc>
          <w:tcPr>
            <w:tcW w:type="dxa" w:w="1469"/>
            <w:vAlign w:val="top"/>
          </w:tcPr>
          <w:p>
            <w:pPr>
              <w:spacing w:after="0"/>
            </w:pPr>
            <w:r>
              <w:rPr>
                <w:sz w:val="11"/>
              </w:rPr>
              <w:t>SZ_FREQ</w:t>
            </w:r>
          </w:p>
        </w:tc>
        <w:tc>
          <w:tcPr>
            <w:tcW w:type="dxa" w:w="1469"/>
            <w:vAlign w:val="top"/>
          </w:tcPr>
          <w:p>
            <w:pPr>
              <w:spacing w:after="0"/>
            </w:pPr>
            <w:r>
              <w:rPr>
                <w:sz w:val="11"/>
              </w:rPr>
              <w:t>Seizure frequency</w:t>
            </w:r>
          </w:p>
        </w:tc>
        <w:tc>
          <w:tcPr>
            <w:tcW w:type="dxa" w:w="1469"/>
            <w:vAlign w:val="top"/>
          </w:tcPr>
          <w:p>
            <w:pPr>
              <w:spacing w:after="0"/>
            </w:pPr>
            <w:r>
              <w:rPr>
                <w:sz w:val="11"/>
              </w:rPr>
              <w:t>DIRECT/NORMALIZED</w:t>
            </w:r>
          </w:p>
        </w:tc>
        <w:tc>
          <w:tcPr>
            <w:tcW w:type="dxa" w:w="1469"/>
            <w:vAlign w:val="top"/>
          </w:tcPr>
          <w:p>
            <w:pPr>
              <w:spacing w:after="0"/>
            </w:pPr>
            <w:r>
              <w:rPr>
                <w:sz w:val="11"/>
              </w:rPr>
              <w:t>ExECT24;SZFreq25</w:t>
            </w:r>
          </w:p>
        </w:tc>
        <w:tc>
          <w:tcPr>
            <w:tcW w:type="dxa" w:w="1469"/>
            <w:vAlign w:val="top"/>
          </w:tcPr>
          <w:p>
            <w:pPr>
              <w:spacing w:after="0"/>
            </w:pPr>
            <w:r>
              <w:rPr>
                <w:sz w:val="11"/>
              </w:rPr>
              <w:t>PUBLISHED-METHOD</w:t>
            </w:r>
          </w:p>
        </w:tc>
        <w:tc>
          <w:tcPr>
            <w:tcW w:type="dxa" w:w="1469"/>
            <w:vAlign w:val="top"/>
          </w:tcPr>
          <w:p>
            <w:pPr>
              <w:spacing w:after="0"/>
            </w:pPr>
            <w:r>
              <w:rPr>
                <w:sz w:val="11"/>
              </w:rPr>
              <w:t>FROZEN_CORE</w:t>
            </w:r>
          </w:p>
        </w:tc>
        <w:tc>
          <w:tcPr>
            <w:tcW w:type="dxa" w:w="1469"/>
            <w:vAlign w:val="top"/>
          </w:tcPr>
          <w:p>
            <w:pPr>
              <w:spacing w:after="0"/>
            </w:pPr>
            <w:r>
              <w:rPr>
                <w:sz w:val="11"/>
              </w:rPr>
              <w:t>Quantity/range + temporal unit/anchor where explicitly stated</w:t>
            </w:r>
          </w:p>
        </w:tc>
      </w:tr>
      <w:tr>
        <w:tc>
          <w:tcPr>
            <w:tcW w:type="dxa" w:w="1469"/>
            <w:vAlign w:val="top"/>
          </w:tcPr>
          <w:p>
            <w:pPr>
              <w:spacing w:after="0"/>
            </w:pPr>
            <w:r>
              <w:rPr>
                <w:sz w:val="11"/>
              </w:rPr>
              <w:t>ET_CLASS</w:t>
            </w:r>
          </w:p>
        </w:tc>
        <w:tc>
          <w:tcPr>
            <w:tcW w:type="dxa" w:w="1469"/>
            <w:vAlign w:val="top"/>
          </w:tcPr>
          <w:p>
            <w:pPr>
              <w:spacing w:after="0"/>
            </w:pPr>
            <w:r>
              <w:rPr>
                <w:sz w:val="11"/>
              </w:rPr>
              <w:t>Etiology category</w:t>
            </w:r>
          </w:p>
        </w:tc>
        <w:tc>
          <w:tcPr>
            <w:tcW w:type="dxa" w:w="1469"/>
            <w:vAlign w:val="top"/>
          </w:tcPr>
          <w:p>
            <w:pPr>
              <w:spacing w:after="0"/>
            </w:pPr>
            <w:r>
              <w:rPr>
                <w:sz w:val="11"/>
              </w:rPr>
              <w:t>DIRECT/NORMALIZED</w:t>
            </w:r>
          </w:p>
        </w:tc>
        <w:tc>
          <w:tcPr>
            <w:tcW w:type="dxa" w:w="1469"/>
            <w:vAlign w:val="top"/>
          </w:tcPr>
          <w:p>
            <w:pPr>
              <w:spacing w:after="0"/>
            </w:pPr>
            <w:r>
              <w:rPr>
                <w:sz w:val="11"/>
              </w:rPr>
              <w:t>ILAE17</w:t>
            </w:r>
          </w:p>
        </w:tc>
        <w:tc>
          <w:tcPr>
            <w:tcW w:type="dxa" w:w="1469"/>
            <w:vAlign w:val="top"/>
          </w:tcPr>
          <w:p>
            <w:pPr>
              <w:spacing w:after="0"/>
            </w:pPr>
            <w:r>
              <w:rPr>
                <w:sz w:val="11"/>
              </w:rPr>
              <w:t>SOURCE-DEFINED</w:t>
            </w:r>
          </w:p>
        </w:tc>
        <w:tc>
          <w:tcPr>
            <w:tcW w:type="dxa" w:w="1469"/>
            <w:vAlign w:val="top"/>
          </w:tcPr>
          <w:p>
            <w:pPr>
              <w:spacing w:after="0"/>
            </w:pPr>
            <w:r>
              <w:rPr>
                <w:sz w:val="11"/>
              </w:rPr>
              <w:t>FROZEN</w:t>
            </w:r>
          </w:p>
        </w:tc>
        <w:tc>
          <w:tcPr>
            <w:tcW w:type="dxa" w:w="1469"/>
            <w:vAlign w:val="top"/>
          </w:tcPr>
          <w:p>
            <w:pPr>
              <w:spacing w:after="0"/>
            </w:pPr>
            <w:r>
              <w:rPr>
                <w:sz w:val="11"/>
              </w:rPr>
              <w:t>Structural; Genetic; Infectious; Metabolic; Immune; Unknown</w:t>
            </w:r>
          </w:p>
        </w:tc>
      </w:tr>
      <w:tr>
        <w:tc>
          <w:tcPr>
            <w:tcW w:type="dxa" w:w="1469"/>
            <w:vAlign w:val="top"/>
          </w:tcPr>
          <w:p>
            <w:pPr>
              <w:spacing w:after="0"/>
            </w:pPr>
            <w:r>
              <w:rPr>
                <w:sz w:val="11"/>
              </w:rPr>
              <w:t>SYN_MENTION</w:t>
            </w:r>
          </w:p>
        </w:tc>
        <w:tc>
          <w:tcPr>
            <w:tcW w:type="dxa" w:w="1469"/>
            <w:vAlign w:val="top"/>
          </w:tcPr>
          <w:p>
            <w:pPr>
              <w:spacing w:after="0"/>
            </w:pPr>
            <w:r>
              <w:rPr>
                <w:sz w:val="11"/>
              </w:rPr>
              <w:t>Epilepsy syndrome mention</w:t>
            </w:r>
          </w:p>
        </w:tc>
        <w:tc>
          <w:tcPr>
            <w:tcW w:type="dxa" w:w="1469"/>
            <w:vAlign w:val="top"/>
          </w:tcPr>
          <w:p>
            <w:pPr>
              <w:spacing w:after="0"/>
            </w:pPr>
            <w:r>
              <w:rPr>
                <w:sz w:val="11"/>
              </w:rPr>
              <w:t>DIRECT</w:t>
            </w:r>
          </w:p>
        </w:tc>
        <w:tc>
          <w:tcPr>
            <w:tcW w:type="dxa" w:w="1469"/>
            <w:vAlign w:val="top"/>
          </w:tcPr>
          <w:p>
            <w:pPr>
              <w:spacing w:after="0"/>
            </w:pPr>
            <w:r>
              <w:rPr>
                <w:sz w:val="11"/>
              </w:rPr>
              <w:t>ILAE22</w:t>
            </w:r>
          </w:p>
        </w:tc>
        <w:tc>
          <w:tcPr>
            <w:tcW w:type="dxa" w:w="1469"/>
            <w:vAlign w:val="top"/>
          </w:tcPr>
          <w:p>
            <w:pPr>
              <w:spacing w:after="0"/>
            </w:pPr>
            <w:r>
              <w:rPr>
                <w:sz w:val="11"/>
              </w:rPr>
              <w:t>SOURCE-CONCEPT</w:t>
            </w:r>
          </w:p>
        </w:tc>
        <w:tc>
          <w:tcPr>
            <w:tcW w:type="dxa" w:w="1469"/>
            <w:vAlign w:val="top"/>
          </w:tcPr>
          <w:p>
            <w:pPr>
              <w:spacing w:after="0"/>
            </w:pPr>
            <w:r>
              <w:rPr>
                <w:sz w:val="11"/>
              </w:rPr>
              <w:t>FROZEN_DIRECT_ONLY</w:t>
            </w:r>
          </w:p>
        </w:tc>
        <w:tc>
          <w:tcPr>
            <w:tcW w:type="dxa" w:w="1469"/>
            <w:vAlign w:val="top"/>
          </w:tcPr>
          <w:p>
            <w:pPr>
              <w:spacing w:after="0"/>
            </w:pPr>
            <w:r>
              <w:rPr>
                <w:sz w:val="11"/>
              </w:rPr>
              <w:t>Direct clinician mention only; no derived syndrome diagnosis</w:t>
            </w:r>
          </w:p>
        </w:tc>
      </w:tr>
      <w:tr>
        <w:tc>
          <w:tcPr>
            <w:tcW w:type="dxa" w:w="1469"/>
            <w:vAlign w:val="top"/>
          </w:tcPr>
          <w:p>
            <w:pPr>
              <w:spacing w:after="0"/>
            </w:pPr>
            <w:r>
              <w:rPr>
                <w:sz w:val="11"/>
              </w:rPr>
              <w:t>EEG_RESULT</w:t>
            </w:r>
          </w:p>
        </w:tc>
        <w:tc>
          <w:tcPr>
            <w:tcW w:type="dxa" w:w="1469"/>
            <w:vAlign w:val="top"/>
          </w:tcPr>
          <w:p>
            <w:pPr>
              <w:spacing w:after="0"/>
            </w:pPr>
            <w:r>
              <w:rPr>
                <w:sz w:val="11"/>
              </w:rPr>
              <w:t>EEG investigation result</w:t>
            </w:r>
          </w:p>
        </w:tc>
        <w:tc>
          <w:tcPr>
            <w:tcW w:type="dxa" w:w="1469"/>
            <w:vAlign w:val="top"/>
          </w:tcPr>
          <w:p>
            <w:pPr>
              <w:spacing w:after="0"/>
            </w:pPr>
            <w:r>
              <w:rPr>
                <w:sz w:val="11"/>
              </w:rPr>
              <w:t>DIRECT</w:t>
            </w:r>
          </w:p>
        </w:tc>
        <w:tc>
          <w:tcPr>
            <w:tcW w:type="dxa" w:w="1469"/>
            <w:vAlign w:val="top"/>
          </w:tcPr>
          <w:p>
            <w:pPr>
              <w:spacing w:after="0"/>
            </w:pPr>
            <w:r>
              <w:rPr>
                <w:sz w:val="11"/>
              </w:rPr>
              <w:t>ExECT24</w:t>
            </w:r>
          </w:p>
        </w:tc>
        <w:tc>
          <w:tcPr>
            <w:tcW w:type="dxa" w:w="1469"/>
            <w:vAlign w:val="top"/>
          </w:tcPr>
          <w:p>
            <w:pPr>
              <w:spacing w:after="0"/>
            </w:pPr>
            <w:r>
              <w:rPr>
                <w:sz w:val="11"/>
              </w:rPr>
              <w:t>PUBLISHED-METHOD</w:t>
            </w:r>
          </w:p>
        </w:tc>
        <w:tc>
          <w:tcPr>
            <w:tcW w:type="dxa" w:w="1469"/>
            <w:vAlign w:val="top"/>
          </w:tcPr>
          <w:p>
            <w:pPr>
              <w:spacing w:after="0"/>
            </w:pPr>
            <w:r>
              <w:rPr>
                <w:sz w:val="11"/>
              </w:rPr>
              <w:t>FROZEN_CORE</w:t>
            </w:r>
          </w:p>
        </w:tc>
        <w:tc>
          <w:tcPr>
            <w:tcW w:type="dxa" w:w="1469"/>
            <w:vAlign w:val="top"/>
          </w:tcPr>
          <w:p>
            <w:pPr>
              <w:spacing w:after="0"/>
            </w:pPr>
            <w:r>
              <w:rPr>
                <w:sz w:val="11"/>
              </w:rPr>
              <w:t>Normal; Abnormal; Not stated only in ExECT-compatible investigation layer</w:t>
            </w:r>
          </w:p>
        </w:tc>
      </w:tr>
      <w:tr>
        <w:tc>
          <w:tcPr>
            <w:tcW w:type="dxa" w:w="1469"/>
            <w:vAlign w:val="top"/>
          </w:tcPr>
          <w:p>
            <w:pPr>
              <w:spacing w:after="0"/>
            </w:pPr>
            <w:r>
              <w:rPr>
                <w:sz w:val="11"/>
              </w:rPr>
              <w:t>EEG_FEATURE</w:t>
            </w:r>
          </w:p>
        </w:tc>
        <w:tc>
          <w:tcPr>
            <w:tcW w:type="dxa" w:w="1469"/>
            <w:vAlign w:val="top"/>
          </w:tcPr>
          <w:p>
            <w:pPr>
              <w:spacing w:after="0"/>
            </w:pPr>
            <w:r>
              <w:rPr>
                <w:sz w:val="11"/>
              </w:rPr>
              <w:t>EEG feature/assertion</w:t>
            </w:r>
          </w:p>
        </w:tc>
        <w:tc>
          <w:tcPr>
            <w:tcW w:type="dxa" w:w="1469"/>
            <w:vAlign w:val="top"/>
          </w:tcPr>
          <w:p>
            <w:pPr>
              <w:spacing w:after="0"/>
            </w:pPr>
            <w:r>
              <w:rPr>
                <w:sz w:val="11"/>
              </w:rPr>
              <w:t>DIRECT/NORMALIZED</w:t>
            </w:r>
          </w:p>
        </w:tc>
        <w:tc>
          <w:tcPr>
            <w:tcW w:type="dxa" w:w="1469"/>
            <w:vAlign w:val="top"/>
          </w:tcPr>
          <w:p>
            <w:pPr>
              <w:spacing w:after="0"/>
            </w:pPr>
            <w:r>
              <w:rPr>
                <w:sz w:val="11"/>
              </w:rPr>
              <w:t>SCORE17</w:t>
            </w:r>
          </w:p>
        </w:tc>
        <w:tc>
          <w:tcPr>
            <w:tcW w:type="dxa" w:w="1469"/>
            <w:vAlign w:val="top"/>
          </w:tcPr>
          <w:p>
            <w:pPr>
              <w:spacing w:after="0"/>
            </w:pPr>
            <w:r>
              <w:rPr>
                <w:sz w:val="11"/>
              </w:rPr>
              <w:t>SOURCE-CONCEPT</w:t>
            </w:r>
          </w:p>
        </w:tc>
        <w:tc>
          <w:tcPr>
            <w:tcW w:type="dxa" w:w="1469"/>
            <w:vAlign w:val="top"/>
          </w:tcPr>
          <w:p>
            <w:pPr>
              <w:spacing w:after="0"/>
            </w:pPr>
            <w:r>
              <w:rPr>
                <w:sz w:val="11"/>
              </w:rPr>
              <w:t>LIMITED</w:t>
            </w:r>
          </w:p>
        </w:tc>
        <w:tc>
          <w:tcPr>
            <w:tcW w:type="dxa" w:w="1469"/>
            <w:vAlign w:val="top"/>
          </w:tcPr>
          <w:p>
            <w:pPr>
              <w:spacing w:after="0"/>
            </w:pPr>
            <w:r>
              <w:rPr>
                <w:sz w:val="11"/>
              </w:rPr>
              <w:t>Source wording + only verified SCORE-level mappings; detailed term tree blocked</w:t>
            </w:r>
          </w:p>
        </w:tc>
      </w:tr>
      <w:tr>
        <w:tc>
          <w:tcPr>
            <w:tcW w:type="dxa" w:w="1469"/>
            <w:vAlign w:val="top"/>
          </w:tcPr>
          <w:p>
            <w:pPr>
              <w:spacing w:after="0"/>
            </w:pPr>
            <w:r>
              <w:rPr>
                <w:sz w:val="11"/>
              </w:rPr>
              <w:t>MRI_RESULT</w:t>
            </w:r>
          </w:p>
        </w:tc>
        <w:tc>
          <w:tcPr>
            <w:tcW w:type="dxa" w:w="1469"/>
            <w:vAlign w:val="top"/>
          </w:tcPr>
          <w:p>
            <w:pPr>
              <w:spacing w:after="0"/>
            </w:pPr>
            <w:r>
              <w:rPr>
                <w:sz w:val="11"/>
              </w:rPr>
              <w:t>MRI investigation result</w:t>
            </w:r>
          </w:p>
        </w:tc>
        <w:tc>
          <w:tcPr>
            <w:tcW w:type="dxa" w:w="1469"/>
            <w:vAlign w:val="top"/>
          </w:tcPr>
          <w:p>
            <w:pPr>
              <w:spacing w:after="0"/>
            </w:pPr>
            <w:r>
              <w:rPr>
                <w:sz w:val="11"/>
              </w:rPr>
              <w:t>DIRECT</w:t>
            </w:r>
          </w:p>
        </w:tc>
        <w:tc>
          <w:tcPr>
            <w:tcW w:type="dxa" w:w="1469"/>
            <w:vAlign w:val="top"/>
          </w:tcPr>
          <w:p>
            <w:pPr>
              <w:spacing w:after="0"/>
            </w:pPr>
            <w:r>
              <w:rPr>
                <w:sz w:val="11"/>
              </w:rPr>
              <w:t>ExECT24</w:t>
            </w:r>
          </w:p>
        </w:tc>
        <w:tc>
          <w:tcPr>
            <w:tcW w:type="dxa" w:w="1469"/>
            <w:vAlign w:val="top"/>
          </w:tcPr>
          <w:p>
            <w:pPr>
              <w:spacing w:after="0"/>
            </w:pPr>
            <w:r>
              <w:rPr>
                <w:sz w:val="11"/>
              </w:rPr>
              <w:t>PUBLISHED-METHOD</w:t>
            </w:r>
          </w:p>
        </w:tc>
        <w:tc>
          <w:tcPr>
            <w:tcW w:type="dxa" w:w="1469"/>
            <w:vAlign w:val="top"/>
          </w:tcPr>
          <w:p>
            <w:pPr>
              <w:spacing w:after="0"/>
            </w:pPr>
            <w:r>
              <w:rPr>
                <w:sz w:val="11"/>
              </w:rPr>
              <w:t>FROZEN_CORE</w:t>
            </w:r>
          </w:p>
        </w:tc>
        <w:tc>
          <w:tcPr>
            <w:tcW w:type="dxa" w:w="1469"/>
            <w:vAlign w:val="top"/>
          </w:tcPr>
          <w:p>
            <w:pPr>
              <w:spacing w:after="0"/>
            </w:pPr>
            <w:r>
              <w:rPr>
                <w:sz w:val="11"/>
              </w:rPr>
              <w:t>Normal; Abnormal; Not stated only in ExECT-compatible investigation layer</w:t>
            </w:r>
          </w:p>
        </w:tc>
      </w:tr>
      <w:tr>
        <w:tc>
          <w:tcPr>
            <w:tcW w:type="dxa" w:w="1469"/>
            <w:vAlign w:val="top"/>
          </w:tcPr>
          <w:p>
            <w:pPr>
              <w:spacing w:after="0"/>
            </w:pPr>
            <w:r>
              <w:rPr>
                <w:sz w:val="11"/>
              </w:rPr>
              <w:t>MRI_FINDING</w:t>
            </w:r>
          </w:p>
        </w:tc>
        <w:tc>
          <w:tcPr>
            <w:tcW w:type="dxa" w:w="1469"/>
            <w:vAlign w:val="top"/>
          </w:tcPr>
          <w:p>
            <w:pPr>
              <w:spacing w:after="0"/>
            </w:pPr>
            <w:r>
              <w:rPr>
                <w:sz w:val="11"/>
              </w:rPr>
              <w:t>MRI finding/impression</w:t>
            </w:r>
          </w:p>
        </w:tc>
        <w:tc>
          <w:tcPr>
            <w:tcW w:type="dxa" w:w="1469"/>
            <w:vAlign w:val="top"/>
          </w:tcPr>
          <w:p>
            <w:pPr>
              <w:spacing w:after="0"/>
            </w:pPr>
            <w:r>
              <w:rPr>
                <w:sz w:val="11"/>
              </w:rPr>
              <w:t>DIRECT</w:t>
            </w:r>
          </w:p>
        </w:tc>
        <w:tc>
          <w:tcPr>
            <w:tcW w:type="dxa" w:w="1469"/>
            <w:vAlign w:val="top"/>
          </w:tcPr>
          <w:p>
            <w:pPr>
              <w:spacing w:after="0"/>
            </w:pPr>
            <w:r>
              <w:rPr>
                <w:sz w:val="11"/>
              </w:rPr>
              <w:t>MedAI3C + source text</w:t>
            </w:r>
          </w:p>
        </w:tc>
        <w:tc>
          <w:tcPr>
            <w:tcW w:type="dxa" w:w="1469"/>
            <w:vAlign w:val="top"/>
          </w:tcPr>
          <w:p>
            <w:pPr>
              <w:spacing w:after="0"/>
            </w:pPr>
            <w:r>
              <w:rPr>
                <w:sz w:val="11"/>
              </w:rPr>
              <w:t>MEDAI-APPLICATION</w:t>
            </w:r>
          </w:p>
        </w:tc>
        <w:tc>
          <w:tcPr>
            <w:tcW w:type="dxa" w:w="1469"/>
            <w:vAlign w:val="top"/>
          </w:tcPr>
          <w:p>
            <w:pPr>
              <w:spacing w:after="0"/>
            </w:pPr>
            <w:r>
              <w:rPr>
                <w:sz w:val="11"/>
              </w:rPr>
              <w:t>SOURCE_TEXT_ONLY</w:t>
            </w:r>
          </w:p>
        </w:tc>
        <w:tc>
          <w:tcPr>
            <w:tcW w:type="dxa" w:w="1469"/>
            <w:vAlign w:val="top"/>
          </w:tcPr>
          <w:p>
            <w:pPr>
              <w:spacing w:after="0"/>
            </w:pPr>
            <w:r>
              <w:rPr>
                <w:sz w:val="11"/>
              </w:rPr>
              <w:t>Preserve report wording; canonical lesion taxonomy blocked</w:t>
            </w:r>
          </w:p>
        </w:tc>
      </w:tr>
      <w:tr>
        <w:tc>
          <w:tcPr>
            <w:tcW w:type="dxa" w:w="1469"/>
            <w:vAlign w:val="top"/>
          </w:tcPr>
          <w:p>
            <w:pPr>
              <w:spacing w:after="0"/>
            </w:pPr>
            <w:r>
              <w:rPr>
                <w:sz w:val="11"/>
              </w:rPr>
              <w:t>ASM</w:t>
            </w:r>
          </w:p>
        </w:tc>
        <w:tc>
          <w:tcPr>
            <w:tcW w:type="dxa" w:w="1469"/>
            <w:vAlign w:val="top"/>
          </w:tcPr>
          <w:p>
            <w:pPr>
              <w:spacing w:after="0"/>
            </w:pPr>
            <w:r>
              <w:rPr>
                <w:sz w:val="11"/>
              </w:rPr>
              <w:t>Antiseizure medication</w:t>
            </w:r>
          </w:p>
        </w:tc>
        <w:tc>
          <w:tcPr>
            <w:tcW w:type="dxa" w:w="1469"/>
            <w:vAlign w:val="top"/>
          </w:tcPr>
          <w:p>
            <w:pPr>
              <w:spacing w:after="0"/>
            </w:pPr>
            <w:r>
              <w:rPr>
                <w:sz w:val="11"/>
              </w:rPr>
              <w:t>DIRECT/NORMALIZED</w:t>
            </w:r>
          </w:p>
        </w:tc>
        <w:tc>
          <w:tcPr>
            <w:tcW w:type="dxa" w:w="1469"/>
            <w:vAlign w:val="top"/>
          </w:tcPr>
          <w:p>
            <w:pPr>
              <w:spacing w:after="0"/>
            </w:pPr>
            <w:r>
              <w:rPr>
                <w:sz w:val="11"/>
              </w:rPr>
              <w:t>RxNorm;ExECT24</w:t>
            </w:r>
          </w:p>
        </w:tc>
        <w:tc>
          <w:tcPr>
            <w:tcW w:type="dxa" w:w="1469"/>
            <w:vAlign w:val="top"/>
          </w:tcPr>
          <w:p>
            <w:pPr>
              <w:spacing w:after="0"/>
            </w:pPr>
            <w:r>
              <w:rPr>
                <w:sz w:val="11"/>
              </w:rPr>
              <w:t>STANDARD+PUBLISHED</w:t>
            </w:r>
          </w:p>
        </w:tc>
        <w:tc>
          <w:tcPr>
            <w:tcW w:type="dxa" w:w="1469"/>
            <w:vAlign w:val="top"/>
          </w:tcPr>
          <w:p>
            <w:pPr>
              <w:spacing w:after="0"/>
            </w:pPr>
            <w:r>
              <w:rPr>
                <w:sz w:val="11"/>
              </w:rPr>
              <w:t>FROZEN_METHOD</w:t>
            </w:r>
          </w:p>
        </w:tc>
        <w:tc>
          <w:tcPr>
            <w:tcW w:type="dxa" w:w="1469"/>
            <w:vAlign w:val="top"/>
          </w:tcPr>
          <w:p>
            <w:pPr>
              <w:spacing w:after="0"/>
            </w:pPr>
            <w:r>
              <w:rPr>
                <w:sz w:val="11"/>
              </w:rPr>
              <w:t>Normalize drug identity to RxNorm only after exact RXCUI lookup; never guess IDs</w:t>
            </w:r>
          </w:p>
        </w:tc>
      </w:tr>
      <w:tr>
        <w:tc>
          <w:tcPr>
            <w:tcW w:type="dxa" w:w="1469"/>
            <w:vAlign w:val="top"/>
          </w:tcPr>
          <w:p>
            <w:pPr>
              <w:spacing w:after="0"/>
            </w:pPr>
            <w:r>
              <w:rPr>
                <w:sz w:val="11"/>
              </w:rPr>
              <w:t>ASM_DOSE</w:t>
            </w:r>
          </w:p>
        </w:tc>
        <w:tc>
          <w:tcPr>
            <w:tcW w:type="dxa" w:w="1469"/>
            <w:vAlign w:val="top"/>
          </w:tcPr>
          <w:p>
            <w:pPr>
              <w:spacing w:after="0"/>
            </w:pPr>
            <w:r>
              <w:rPr>
                <w:sz w:val="11"/>
              </w:rPr>
              <w:t>Medication dose/frequency</w:t>
            </w:r>
          </w:p>
        </w:tc>
        <w:tc>
          <w:tcPr>
            <w:tcW w:type="dxa" w:w="1469"/>
            <w:vAlign w:val="top"/>
          </w:tcPr>
          <w:p>
            <w:pPr>
              <w:spacing w:after="0"/>
            </w:pPr>
            <w:r>
              <w:rPr>
                <w:sz w:val="11"/>
              </w:rPr>
              <w:t>DIRECT</w:t>
            </w:r>
          </w:p>
        </w:tc>
        <w:tc>
          <w:tcPr>
            <w:tcW w:type="dxa" w:w="1469"/>
            <w:vAlign w:val="top"/>
          </w:tcPr>
          <w:p>
            <w:pPr>
              <w:spacing w:after="0"/>
            </w:pPr>
            <w:r>
              <w:rPr>
                <w:sz w:val="11"/>
              </w:rPr>
              <w:t>ExECT24</w:t>
            </w:r>
          </w:p>
        </w:tc>
        <w:tc>
          <w:tcPr>
            <w:tcW w:type="dxa" w:w="1469"/>
            <w:vAlign w:val="top"/>
          </w:tcPr>
          <w:p>
            <w:pPr>
              <w:spacing w:after="0"/>
            </w:pPr>
            <w:r>
              <w:rPr>
                <w:sz w:val="11"/>
              </w:rPr>
              <w:t>PUBLISHED-METHOD</w:t>
            </w:r>
          </w:p>
        </w:tc>
        <w:tc>
          <w:tcPr>
            <w:tcW w:type="dxa" w:w="1469"/>
            <w:vAlign w:val="top"/>
          </w:tcPr>
          <w:p>
            <w:pPr>
              <w:spacing w:after="0"/>
            </w:pPr>
            <w:r>
              <w:rPr>
                <w:sz w:val="11"/>
              </w:rPr>
              <w:t>FROZEN_CORE</w:t>
            </w:r>
          </w:p>
        </w:tc>
        <w:tc>
          <w:tcPr>
            <w:tcW w:type="dxa" w:w="1469"/>
            <w:vAlign w:val="top"/>
          </w:tcPr>
          <w:p>
            <w:pPr>
              <w:spacing w:after="0"/>
            </w:pPr>
            <w:r>
              <w:rPr>
                <w:sz w:val="11"/>
              </w:rPr>
              <w:t>Explicit dose/unit/frequency only</w:t>
            </w:r>
          </w:p>
        </w:tc>
      </w:tr>
      <w:tr>
        <w:tc>
          <w:tcPr>
            <w:tcW w:type="dxa" w:w="1469"/>
            <w:vAlign w:val="top"/>
          </w:tcPr>
          <w:p>
            <w:pPr>
              <w:spacing w:after="0"/>
            </w:pPr>
            <w:r>
              <w:rPr>
                <w:sz w:val="11"/>
              </w:rPr>
              <w:t>DRE_DIRECT</w:t>
            </w:r>
          </w:p>
        </w:tc>
        <w:tc>
          <w:tcPr>
            <w:tcW w:type="dxa" w:w="1469"/>
            <w:vAlign w:val="top"/>
          </w:tcPr>
          <w:p>
            <w:pPr>
              <w:spacing w:after="0"/>
            </w:pPr>
            <w:r>
              <w:rPr>
                <w:sz w:val="11"/>
              </w:rPr>
              <w:t>Clinician-stated drug-resistant epilepsy</w:t>
            </w:r>
          </w:p>
        </w:tc>
        <w:tc>
          <w:tcPr>
            <w:tcW w:type="dxa" w:w="1469"/>
            <w:vAlign w:val="top"/>
          </w:tcPr>
          <w:p>
            <w:pPr>
              <w:spacing w:after="0"/>
            </w:pPr>
            <w:r>
              <w:rPr>
                <w:sz w:val="11"/>
              </w:rPr>
              <w:t>DIRECT</w:t>
            </w:r>
          </w:p>
        </w:tc>
        <w:tc>
          <w:tcPr>
            <w:tcW w:type="dxa" w:w="1469"/>
            <w:vAlign w:val="top"/>
          </w:tcPr>
          <w:p>
            <w:pPr>
              <w:spacing w:after="0"/>
            </w:pPr>
            <w:r>
              <w:rPr>
                <w:sz w:val="11"/>
              </w:rPr>
              <w:t>DRE10;MedAI3C</w:t>
            </w:r>
          </w:p>
        </w:tc>
        <w:tc>
          <w:tcPr>
            <w:tcW w:type="dxa" w:w="1469"/>
            <w:vAlign w:val="top"/>
          </w:tcPr>
          <w:p>
            <w:pPr>
              <w:spacing w:after="0"/>
            </w:pPr>
            <w:r>
              <w:rPr>
                <w:sz w:val="11"/>
              </w:rPr>
              <w:t>SOURCE-CONCEPT+APPLICATION</w:t>
            </w:r>
          </w:p>
        </w:tc>
        <w:tc>
          <w:tcPr>
            <w:tcW w:type="dxa" w:w="1469"/>
            <w:vAlign w:val="top"/>
          </w:tcPr>
          <w:p>
            <w:pPr>
              <w:spacing w:after="0"/>
            </w:pPr>
            <w:r>
              <w:rPr>
                <w:sz w:val="11"/>
              </w:rPr>
              <w:t>FROZEN_DIRECT_ONLY</w:t>
            </w:r>
          </w:p>
        </w:tc>
        <w:tc>
          <w:tcPr>
            <w:tcW w:type="dxa" w:w="1469"/>
            <w:vAlign w:val="top"/>
          </w:tcPr>
          <w:p>
            <w:pPr>
              <w:spacing w:after="0"/>
            </w:pPr>
            <w:r>
              <w:rPr>
                <w:sz w:val="11"/>
              </w:rPr>
              <w:t>Capture direct statement; criteria verification separate</w:t>
            </w:r>
          </w:p>
        </w:tc>
      </w:tr>
      <w:tr>
        <w:tc>
          <w:tcPr>
            <w:tcW w:type="dxa" w:w="1469"/>
            <w:vAlign w:val="top"/>
          </w:tcPr>
          <w:p>
            <w:pPr>
              <w:spacing w:after="0"/>
            </w:pPr>
            <w:r>
              <w:rPr>
                <w:sz w:val="11"/>
              </w:rPr>
              <w:t>DRE_DERIVED</w:t>
            </w:r>
          </w:p>
        </w:tc>
        <w:tc>
          <w:tcPr>
            <w:tcW w:type="dxa" w:w="1469"/>
            <w:vAlign w:val="top"/>
          </w:tcPr>
          <w:p>
            <w:pPr>
              <w:spacing w:after="0"/>
            </w:pPr>
            <w:r>
              <w:rPr>
                <w:sz w:val="11"/>
              </w:rPr>
              <w:t>Criteria-derived drug-resistant epilepsy</w:t>
            </w:r>
          </w:p>
        </w:tc>
        <w:tc>
          <w:tcPr>
            <w:tcW w:type="dxa" w:w="1469"/>
            <w:vAlign w:val="top"/>
          </w:tcPr>
          <w:p>
            <w:pPr>
              <w:spacing w:after="0"/>
            </w:pPr>
            <w:r>
              <w:rPr>
                <w:sz w:val="11"/>
              </w:rPr>
              <w:t>DERIVED</w:t>
            </w:r>
          </w:p>
        </w:tc>
        <w:tc>
          <w:tcPr>
            <w:tcW w:type="dxa" w:w="1469"/>
            <w:vAlign w:val="top"/>
          </w:tcPr>
          <w:p>
            <w:pPr>
              <w:spacing w:after="0"/>
            </w:pPr>
            <w:r>
              <w:rPr>
                <w:sz w:val="11"/>
              </w:rPr>
              <w:t>DRE10</w:t>
            </w:r>
          </w:p>
        </w:tc>
        <w:tc>
          <w:tcPr>
            <w:tcW w:type="dxa" w:w="1469"/>
            <w:vAlign w:val="top"/>
          </w:tcPr>
          <w:p>
            <w:pPr>
              <w:spacing w:after="0"/>
            </w:pPr>
            <w:r>
              <w:rPr>
                <w:sz w:val="11"/>
              </w:rPr>
              <w:t>SOURCE-DEFINITION</w:t>
            </w:r>
          </w:p>
        </w:tc>
        <w:tc>
          <w:tcPr>
            <w:tcW w:type="dxa" w:w="1469"/>
            <w:vAlign w:val="top"/>
          </w:tcPr>
          <w:p>
            <w:pPr>
              <w:spacing w:after="0"/>
            </w:pPr>
            <w:r>
              <w:rPr>
                <w:sz w:val="11"/>
              </w:rPr>
              <w:t>BLOCKED</w:t>
            </w:r>
          </w:p>
        </w:tc>
        <w:tc>
          <w:tcPr>
            <w:tcW w:type="dxa" w:w="1469"/>
            <w:vAlign w:val="top"/>
          </w:tcPr>
          <w:p>
            <w:pPr>
              <w:spacing w:after="0"/>
            </w:pPr>
            <w:r>
              <w:rPr>
                <w:sz w:val="11"/>
              </w:rPr>
              <w:t>Exact computational trial rule not frozen</w:t>
            </w:r>
          </w:p>
        </w:tc>
      </w:tr>
      <w:tr>
        <w:tc>
          <w:tcPr>
            <w:tcW w:type="dxa" w:w="1469"/>
            <w:vAlign w:val="top"/>
          </w:tcPr>
          <w:p>
            <w:pPr>
              <w:spacing w:after="0"/>
            </w:pPr>
            <w:r>
              <w:rPr>
                <w:sz w:val="11"/>
              </w:rPr>
              <w:t>TIME</w:t>
            </w:r>
          </w:p>
        </w:tc>
        <w:tc>
          <w:tcPr>
            <w:tcW w:type="dxa" w:w="1469"/>
            <w:vAlign w:val="top"/>
          </w:tcPr>
          <w:p>
            <w:pPr>
              <w:spacing w:after="0"/>
            </w:pPr>
            <w:r>
              <w:rPr>
                <w:sz w:val="11"/>
              </w:rPr>
              <w:t>Temporal expression</w:t>
            </w:r>
          </w:p>
        </w:tc>
        <w:tc>
          <w:tcPr>
            <w:tcW w:type="dxa" w:w="1469"/>
            <w:vAlign w:val="top"/>
          </w:tcPr>
          <w:p>
            <w:pPr>
              <w:spacing w:after="0"/>
            </w:pPr>
            <w:r>
              <w:rPr>
                <w:sz w:val="11"/>
              </w:rPr>
              <w:t>DIRECT</w:t>
            </w:r>
          </w:p>
        </w:tc>
        <w:tc>
          <w:tcPr>
            <w:tcW w:type="dxa" w:w="1469"/>
            <w:vAlign w:val="top"/>
          </w:tcPr>
          <w:p>
            <w:pPr>
              <w:spacing w:after="0"/>
            </w:pPr>
            <w:r>
              <w:rPr>
                <w:sz w:val="11"/>
              </w:rPr>
              <w:t>ExECT24;SZFreq25</w:t>
            </w:r>
          </w:p>
        </w:tc>
        <w:tc>
          <w:tcPr>
            <w:tcW w:type="dxa" w:w="1469"/>
            <w:vAlign w:val="top"/>
          </w:tcPr>
          <w:p>
            <w:pPr>
              <w:spacing w:after="0"/>
            </w:pPr>
            <w:r>
              <w:rPr>
                <w:sz w:val="11"/>
              </w:rPr>
              <w:t>PUBLISHED-METHOD</w:t>
            </w:r>
          </w:p>
        </w:tc>
        <w:tc>
          <w:tcPr>
            <w:tcW w:type="dxa" w:w="1469"/>
            <w:vAlign w:val="top"/>
          </w:tcPr>
          <w:p>
            <w:pPr>
              <w:spacing w:after="0"/>
            </w:pPr>
            <w:r>
              <w:rPr>
                <w:sz w:val="11"/>
              </w:rPr>
              <w:t>FROZEN_SOURCE_FIELDS</w:t>
            </w:r>
          </w:p>
        </w:tc>
        <w:tc>
          <w:tcPr>
            <w:tcW w:type="dxa" w:w="1469"/>
            <w:vAlign w:val="top"/>
          </w:tcPr>
          <w:p>
            <w:pPr>
              <w:spacing w:after="0"/>
            </w:pPr>
            <w:r>
              <w:rPr>
                <w:sz w:val="11"/>
              </w:rPr>
              <w:t>Age/date/time-since/relative period where explicitly represented; universal ontology blocked</w:t>
            </w:r>
          </w:p>
        </w:tc>
      </w:tr>
      <w:tr>
        <w:tc>
          <w:tcPr>
            <w:tcW w:type="dxa" w:w="1469"/>
            <w:vAlign w:val="top"/>
          </w:tcPr>
          <w:p>
            <w:pPr>
              <w:spacing w:after="0"/>
            </w:pPr>
            <w:r>
              <w:rPr>
                <w:sz w:val="11"/>
              </w:rPr>
              <w:t>POLARITY</w:t>
            </w:r>
          </w:p>
        </w:tc>
        <w:tc>
          <w:tcPr>
            <w:tcW w:type="dxa" w:w="1469"/>
            <w:vAlign w:val="top"/>
          </w:tcPr>
          <w:p>
            <w:pPr>
              <w:spacing w:after="0"/>
            </w:pPr>
            <w:r>
              <w:rPr>
                <w:sz w:val="11"/>
              </w:rPr>
              <w:t>Assertion polarity</w:t>
            </w:r>
          </w:p>
        </w:tc>
        <w:tc>
          <w:tcPr>
            <w:tcW w:type="dxa" w:w="1469"/>
            <w:vAlign w:val="top"/>
          </w:tcPr>
          <w:p>
            <w:pPr>
              <w:spacing w:after="0"/>
            </w:pPr>
            <w:r>
              <w:rPr>
                <w:sz w:val="11"/>
              </w:rPr>
              <w:t>DIRECT</w:t>
            </w:r>
          </w:p>
        </w:tc>
        <w:tc>
          <w:tcPr>
            <w:tcW w:type="dxa" w:w="1469"/>
            <w:vAlign w:val="top"/>
          </w:tcPr>
          <w:p>
            <w:pPr>
              <w:spacing w:after="0"/>
            </w:pPr>
            <w:r>
              <w:rPr>
                <w:sz w:val="11"/>
              </w:rPr>
              <w:t>ExECT19/24 + MedAI3C</w:t>
            </w:r>
          </w:p>
        </w:tc>
        <w:tc>
          <w:tcPr>
            <w:tcW w:type="dxa" w:w="1469"/>
            <w:vAlign w:val="top"/>
          </w:tcPr>
          <w:p>
            <w:pPr>
              <w:spacing w:after="0"/>
            </w:pPr>
            <w:r>
              <w:rPr>
                <w:sz w:val="11"/>
              </w:rPr>
              <w:t>ADAPTED</w:t>
            </w:r>
          </w:p>
        </w:tc>
        <w:tc>
          <w:tcPr>
            <w:tcW w:type="dxa" w:w="1469"/>
            <w:vAlign w:val="top"/>
          </w:tcPr>
          <w:p>
            <w:pPr>
              <w:spacing w:after="0"/>
            </w:pPr>
            <w:r>
              <w:rPr>
                <w:sz w:val="11"/>
              </w:rPr>
              <w:t>FROZEN_CORE</w:t>
            </w:r>
          </w:p>
        </w:tc>
        <w:tc>
          <w:tcPr>
            <w:tcW w:type="dxa" w:w="1469"/>
            <w:vAlign w:val="top"/>
          </w:tcPr>
          <w:p>
            <w:pPr>
              <w:spacing w:after="0"/>
            </w:pPr>
            <w:r>
              <w:rPr>
                <w:sz w:val="11"/>
              </w:rPr>
              <w:t>Affirmed/negated/uncertain as annotation state; do not claim universal clinical ontology</w:t>
            </w:r>
          </w:p>
        </w:tc>
      </w:tr>
      <w:tr>
        <w:tc>
          <w:tcPr>
            <w:tcW w:type="dxa" w:w="1469"/>
            <w:vAlign w:val="top"/>
          </w:tcPr>
          <w:p>
            <w:pPr>
              <w:spacing w:after="0"/>
            </w:pPr>
            <w:r>
              <w:rPr>
                <w:sz w:val="11"/>
              </w:rPr>
              <w:t>LATERALITY</w:t>
            </w:r>
          </w:p>
        </w:tc>
        <w:tc>
          <w:tcPr>
            <w:tcW w:type="dxa" w:w="1469"/>
            <w:vAlign w:val="top"/>
          </w:tcPr>
          <w:p>
            <w:pPr>
              <w:spacing w:after="0"/>
            </w:pPr>
            <w:r>
              <w:rPr>
                <w:sz w:val="11"/>
              </w:rPr>
              <w:t>Laterality modifier</w:t>
            </w:r>
          </w:p>
        </w:tc>
        <w:tc>
          <w:tcPr>
            <w:tcW w:type="dxa" w:w="1469"/>
            <w:vAlign w:val="top"/>
          </w:tcPr>
          <w:p>
            <w:pPr>
              <w:spacing w:after="0"/>
            </w:pPr>
            <w:r>
              <w:rPr>
                <w:sz w:val="11"/>
              </w:rPr>
              <w:t>DIRECT</w:t>
            </w:r>
          </w:p>
        </w:tc>
        <w:tc>
          <w:tcPr>
            <w:tcW w:type="dxa" w:w="1469"/>
            <w:vAlign w:val="top"/>
          </w:tcPr>
          <w:p>
            <w:pPr>
              <w:spacing w:after="0"/>
            </w:pPr>
            <w:r>
              <w:rPr>
                <w:sz w:val="11"/>
              </w:rPr>
              <w:t>source text; ILAE25 for somatotopic descriptors</w:t>
            </w:r>
          </w:p>
        </w:tc>
        <w:tc>
          <w:tcPr>
            <w:tcW w:type="dxa" w:w="1469"/>
            <w:vAlign w:val="top"/>
          </w:tcPr>
          <w:p>
            <w:pPr>
              <w:spacing w:after="0"/>
            </w:pPr>
            <w:r>
              <w:rPr>
                <w:sz w:val="11"/>
              </w:rPr>
              <w:t>MEDAI-APPLICATION</w:t>
            </w:r>
          </w:p>
        </w:tc>
        <w:tc>
          <w:tcPr>
            <w:tcW w:type="dxa" w:w="1469"/>
            <w:vAlign w:val="top"/>
          </w:tcPr>
          <w:p>
            <w:pPr>
              <w:spacing w:after="0"/>
            </w:pPr>
            <w:r>
              <w:rPr>
                <w:sz w:val="11"/>
              </w:rPr>
              <w:t>SOURCE_TEXT_ONLY</w:t>
            </w:r>
          </w:p>
        </w:tc>
        <w:tc>
          <w:tcPr>
            <w:tcW w:type="dxa" w:w="1469"/>
            <w:vAlign w:val="top"/>
          </w:tcPr>
          <w:p>
            <w:pPr>
              <w:spacing w:after="0"/>
            </w:pPr>
            <w:r>
              <w:rPr>
                <w:sz w:val="11"/>
              </w:rPr>
              <w:t>Preserve explicit laterality; universal cross-domain value set not claimed as ILAE</w:t>
            </w:r>
          </w:p>
        </w:tc>
      </w:tr>
      <w:tr>
        <w:tc>
          <w:tcPr>
            <w:tcW w:type="dxa" w:w="1469"/>
            <w:vAlign w:val="top"/>
          </w:tcPr>
          <w:p>
            <w:pPr>
              <w:spacing w:after="0"/>
            </w:pPr>
            <w:r>
              <w:rPr>
                <w:sz w:val="11"/>
              </w:rPr>
              <w:t>CONCORD</w:t>
            </w:r>
          </w:p>
        </w:tc>
        <w:tc>
          <w:tcPr>
            <w:tcW w:type="dxa" w:w="1469"/>
            <w:vAlign w:val="top"/>
          </w:tcPr>
          <w:p>
            <w:pPr>
              <w:spacing w:after="0"/>
            </w:pPr>
            <w:r>
              <w:rPr>
                <w:sz w:val="11"/>
              </w:rPr>
              <w:t>Multimodal concordance</w:t>
            </w:r>
          </w:p>
        </w:tc>
        <w:tc>
          <w:tcPr>
            <w:tcW w:type="dxa" w:w="1469"/>
            <w:vAlign w:val="top"/>
          </w:tcPr>
          <w:p>
            <w:pPr>
              <w:spacing w:after="0"/>
            </w:pPr>
            <w:r>
              <w:rPr>
                <w:sz w:val="11"/>
              </w:rPr>
              <w:t>PATIENT_SYNTHESIS</w:t>
            </w:r>
          </w:p>
        </w:tc>
        <w:tc>
          <w:tcPr>
            <w:tcW w:type="dxa" w:w="1469"/>
            <w:vAlign w:val="top"/>
          </w:tcPr>
          <w:p>
            <w:pPr>
              <w:spacing w:after="0"/>
            </w:pPr>
            <w:r>
              <w:rPr>
                <w:sz w:val="11"/>
              </w:rPr>
              <w:t>MedAI</w:t>
            </w:r>
          </w:p>
        </w:tc>
        <w:tc>
          <w:tcPr>
            <w:tcW w:type="dxa" w:w="1469"/>
            <w:vAlign w:val="top"/>
          </w:tcPr>
          <w:p>
            <w:pPr>
              <w:spacing w:after="0"/>
            </w:pPr>
            <w:r>
              <w:rPr>
                <w:sz w:val="11"/>
              </w:rPr>
              <w:t>MEDAI-PROPOSED</w:t>
            </w:r>
          </w:p>
        </w:tc>
        <w:tc>
          <w:tcPr>
            <w:tcW w:type="dxa" w:w="1469"/>
            <w:vAlign w:val="top"/>
          </w:tcPr>
          <w:p>
            <w:pPr>
              <w:spacing w:after="0"/>
            </w:pPr>
            <w:r>
              <w:rPr>
                <w:sz w:val="11"/>
              </w:rPr>
              <w:t>BLOCKED</w:t>
            </w:r>
          </w:p>
        </w:tc>
        <w:tc>
          <w:tcPr>
            <w:tcW w:type="dxa" w:w="1469"/>
            <w:vAlign w:val="top"/>
          </w:tcPr>
          <w:p>
            <w:pPr>
              <w:spacing w:after="0"/>
            </w:pPr>
            <w:r>
              <w:rPr>
                <w:sz w:val="11"/>
              </w:rPr>
              <w:t>No source-backed universal value set frozen</w:t>
            </w:r>
          </w:p>
        </w:tc>
      </w:tr>
    </w:tbl>
    <w:p/>
    <w:p>
      <w:pPr>
        <w:pStyle w:val="Heading1"/>
      </w:pPr>
      <w:r>
        <w:t>3. Frozen source-defined value sets</w:t>
      </w:r>
    </w:p>
    <w:p>
      <w:r>
        <w:t>Only the following compact value sets are frozen as canonical in this release. They are intentionally smaller than the eventual MedAI ontology.</w:t>
      </w:r>
    </w:p>
    <w:p>
      <w:pPr>
        <w:pStyle w:val="Heading2"/>
      </w:pPr>
      <w:r>
        <w:t>VS_ASSERTION_POLARITY</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3"/>
              </w:rPr>
              <w:t>Code</w:t>
            </w:r>
          </w:p>
        </w:tc>
        <w:tc>
          <w:tcPr>
            <w:tcW w:type="dxa" w:w="2056"/>
            <w:shd w:fill="D9EAF7"/>
          </w:tcPr>
          <w:p>
            <w:r>
              <w:rPr>
                <w:b/>
                <w:sz w:val="13"/>
              </w:rPr>
              <w:t>Label</w:t>
            </w:r>
          </w:p>
        </w:tc>
        <w:tc>
          <w:tcPr>
            <w:tcW w:type="dxa" w:w="2056"/>
            <w:shd w:fill="D9EAF7"/>
          </w:tcPr>
          <w:p>
            <w:r>
              <w:rPr>
                <w:b/>
                <w:sz w:val="13"/>
              </w:rPr>
              <w:t>Source</w:t>
            </w:r>
          </w:p>
        </w:tc>
        <w:tc>
          <w:tcPr>
            <w:tcW w:type="dxa" w:w="2056"/>
            <w:shd w:fill="D9EAF7"/>
          </w:tcPr>
          <w:p>
            <w:r>
              <w:rPr>
                <w:b/>
                <w:sz w:val="13"/>
              </w:rPr>
              <w:t>Provenance</w:t>
            </w:r>
          </w:p>
        </w:tc>
        <w:tc>
          <w:tcPr>
            <w:tcW w:type="dxa" w:w="2056"/>
            <w:shd w:fill="D9EAF7"/>
          </w:tcPr>
          <w:p>
            <w:r>
              <w:rPr>
                <w:b/>
                <w:sz w:val="13"/>
              </w:rPr>
              <w:t>Boundary</w:t>
            </w:r>
          </w:p>
        </w:tc>
      </w:tr>
      <w:tr>
        <w:tc>
          <w:tcPr>
            <w:tcW w:type="dxa" w:w="2056"/>
            <w:vAlign w:val="top"/>
          </w:tcPr>
          <w:p>
            <w:pPr>
              <w:spacing w:after="0"/>
            </w:pPr>
            <w:r>
              <w:rPr>
                <w:sz w:val="12"/>
              </w:rPr>
              <w:t>affirmed</w:t>
            </w:r>
          </w:p>
        </w:tc>
        <w:tc>
          <w:tcPr>
            <w:tcW w:type="dxa" w:w="2056"/>
            <w:vAlign w:val="top"/>
          </w:tcPr>
          <w:p>
            <w:pPr>
              <w:spacing w:after="0"/>
            </w:pPr>
            <w:r>
              <w:rPr>
                <w:sz w:val="12"/>
              </w:rPr>
              <w:t>Affirmed</w:t>
            </w:r>
          </w:p>
        </w:tc>
        <w:tc>
          <w:tcPr>
            <w:tcW w:type="dxa" w:w="2056"/>
            <w:vAlign w:val="top"/>
          </w:tcPr>
          <w:p>
            <w:pPr>
              <w:spacing w:after="0"/>
            </w:pPr>
            <w:r>
              <w:rPr>
                <w:sz w:val="12"/>
              </w:rPr>
              <w:t>ExECT19/24 + MedAI3C</w:t>
            </w:r>
          </w:p>
        </w:tc>
        <w:tc>
          <w:tcPr>
            <w:tcW w:type="dxa" w:w="2056"/>
            <w:vAlign w:val="top"/>
          </w:tcPr>
          <w:p>
            <w:pPr>
              <w:spacing w:after="0"/>
            </w:pPr>
            <w:r>
              <w:rPr>
                <w:sz w:val="12"/>
              </w:rPr>
              <w:t>MEDAI-ADAPTED</w:t>
            </w:r>
          </w:p>
        </w:tc>
        <w:tc>
          <w:tcPr>
            <w:tcW w:type="dxa" w:w="2056"/>
            <w:vAlign w:val="top"/>
          </w:tcPr>
          <w:p>
            <w:pPr>
              <w:spacing w:after="0"/>
            </w:pPr>
            <w:r>
              <w:rPr>
                <w:sz w:val="12"/>
              </w:rPr>
              <w:t>Operational assertion state; not claimed as ILAE taxonomy.</w:t>
            </w:r>
          </w:p>
        </w:tc>
      </w:tr>
      <w:tr>
        <w:tc>
          <w:tcPr>
            <w:tcW w:type="dxa" w:w="2056"/>
            <w:vAlign w:val="top"/>
          </w:tcPr>
          <w:p>
            <w:pPr>
              <w:spacing w:after="0"/>
            </w:pPr>
            <w:r>
              <w:rPr>
                <w:sz w:val="12"/>
              </w:rPr>
              <w:t>negated</w:t>
            </w:r>
          </w:p>
        </w:tc>
        <w:tc>
          <w:tcPr>
            <w:tcW w:type="dxa" w:w="2056"/>
            <w:vAlign w:val="top"/>
          </w:tcPr>
          <w:p>
            <w:pPr>
              <w:spacing w:after="0"/>
            </w:pPr>
            <w:r>
              <w:rPr>
                <w:sz w:val="12"/>
              </w:rPr>
              <w:t>Negated</w:t>
            </w:r>
          </w:p>
        </w:tc>
        <w:tc>
          <w:tcPr>
            <w:tcW w:type="dxa" w:w="2056"/>
            <w:vAlign w:val="top"/>
          </w:tcPr>
          <w:p>
            <w:pPr>
              <w:spacing w:after="0"/>
            </w:pPr>
            <w:r>
              <w:rPr>
                <w:sz w:val="12"/>
              </w:rPr>
              <w:t>ExECT19/24 + MedAI3C</w:t>
            </w:r>
          </w:p>
        </w:tc>
        <w:tc>
          <w:tcPr>
            <w:tcW w:type="dxa" w:w="2056"/>
            <w:vAlign w:val="top"/>
          </w:tcPr>
          <w:p>
            <w:pPr>
              <w:spacing w:after="0"/>
            </w:pPr>
            <w:r>
              <w:rPr>
                <w:sz w:val="12"/>
              </w:rPr>
              <w:t>MEDAI-ADAPTED</w:t>
            </w:r>
          </w:p>
        </w:tc>
        <w:tc>
          <w:tcPr>
            <w:tcW w:type="dxa" w:w="2056"/>
            <w:vAlign w:val="top"/>
          </w:tcPr>
          <w:p>
            <w:pPr>
              <w:spacing w:after="0"/>
            </w:pPr>
            <w:r>
              <w:rPr>
                <w:sz w:val="12"/>
              </w:rPr>
              <w:t>Operational assertion state; not claimed as ILAE taxonomy.</w:t>
            </w:r>
          </w:p>
        </w:tc>
      </w:tr>
      <w:tr>
        <w:tc>
          <w:tcPr>
            <w:tcW w:type="dxa" w:w="2056"/>
            <w:vAlign w:val="top"/>
          </w:tcPr>
          <w:p>
            <w:pPr>
              <w:spacing w:after="0"/>
            </w:pPr>
            <w:r>
              <w:rPr>
                <w:sz w:val="12"/>
              </w:rPr>
              <w:t>uncertain</w:t>
            </w:r>
          </w:p>
        </w:tc>
        <w:tc>
          <w:tcPr>
            <w:tcW w:type="dxa" w:w="2056"/>
            <w:vAlign w:val="top"/>
          </w:tcPr>
          <w:p>
            <w:pPr>
              <w:spacing w:after="0"/>
            </w:pPr>
            <w:r>
              <w:rPr>
                <w:sz w:val="12"/>
              </w:rPr>
              <w:t>Uncertain</w:t>
            </w:r>
          </w:p>
        </w:tc>
        <w:tc>
          <w:tcPr>
            <w:tcW w:type="dxa" w:w="2056"/>
            <w:vAlign w:val="top"/>
          </w:tcPr>
          <w:p>
            <w:pPr>
              <w:spacing w:after="0"/>
            </w:pPr>
            <w:r>
              <w:rPr>
                <w:sz w:val="12"/>
              </w:rPr>
              <w:t>ExECT19/24 + MedAI3C</w:t>
            </w:r>
          </w:p>
        </w:tc>
        <w:tc>
          <w:tcPr>
            <w:tcW w:type="dxa" w:w="2056"/>
            <w:vAlign w:val="top"/>
          </w:tcPr>
          <w:p>
            <w:pPr>
              <w:spacing w:after="0"/>
            </w:pPr>
            <w:r>
              <w:rPr>
                <w:sz w:val="12"/>
              </w:rPr>
              <w:t>MEDAI-ADAPTED</w:t>
            </w:r>
          </w:p>
        </w:tc>
        <w:tc>
          <w:tcPr>
            <w:tcW w:type="dxa" w:w="2056"/>
            <w:vAlign w:val="top"/>
          </w:tcPr>
          <w:p>
            <w:pPr>
              <w:spacing w:after="0"/>
            </w:pPr>
            <w:r>
              <w:rPr>
                <w:sz w:val="12"/>
              </w:rPr>
              <w:t>Operational assertion state; not claimed as ILAE taxonomy.</w:t>
            </w:r>
          </w:p>
        </w:tc>
      </w:tr>
    </w:tbl>
    <w:p/>
    <w:p>
      <w:pPr>
        <w:pStyle w:val="Heading2"/>
      </w:pPr>
      <w:r>
        <w:t>VS_EP_TYPE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3"/>
              </w:rPr>
              <w:t>Code</w:t>
            </w:r>
          </w:p>
        </w:tc>
        <w:tc>
          <w:tcPr>
            <w:tcW w:type="dxa" w:w="2056"/>
            <w:shd w:fill="D9EAF7"/>
          </w:tcPr>
          <w:p>
            <w:r>
              <w:rPr>
                <w:b/>
                <w:sz w:val="13"/>
              </w:rPr>
              <w:t>Label</w:t>
            </w:r>
          </w:p>
        </w:tc>
        <w:tc>
          <w:tcPr>
            <w:tcW w:type="dxa" w:w="2056"/>
            <w:shd w:fill="D9EAF7"/>
          </w:tcPr>
          <w:p>
            <w:r>
              <w:rPr>
                <w:b/>
                <w:sz w:val="13"/>
              </w:rPr>
              <w:t>Source</w:t>
            </w:r>
          </w:p>
        </w:tc>
        <w:tc>
          <w:tcPr>
            <w:tcW w:type="dxa" w:w="2056"/>
            <w:shd w:fill="D9EAF7"/>
          </w:tcPr>
          <w:p>
            <w:r>
              <w:rPr>
                <w:b/>
                <w:sz w:val="13"/>
              </w:rPr>
              <w:t>Provenance</w:t>
            </w:r>
          </w:p>
        </w:tc>
        <w:tc>
          <w:tcPr>
            <w:tcW w:type="dxa" w:w="2056"/>
            <w:shd w:fill="D9EAF7"/>
          </w:tcPr>
          <w:p>
            <w:r>
              <w:rPr>
                <w:b/>
                <w:sz w:val="13"/>
              </w:rPr>
              <w:t>Boundary</w:t>
            </w:r>
          </w:p>
        </w:tc>
      </w:tr>
      <w:tr>
        <w:tc>
          <w:tcPr>
            <w:tcW w:type="dxa" w:w="2056"/>
            <w:vAlign w:val="top"/>
          </w:tcPr>
          <w:p>
            <w:pPr>
              <w:spacing w:after="0"/>
            </w:pPr>
            <w:r>
              <w:rPr>
                <w:sz w:val="12"/>
              </w:rPr>
              <w:t>focal</w:t>
            </w:r>
          </w:p>
        </w:tc>
        <w:tc>
          <w:tcPr>
            <w:tcW w:type="dxa" w:w="2056"/>
            <w:vAlign w:val="top"/>
          </w:tcPr>
          <w:p>
            <w:pPr>
              <w:spacing w:after="0"/>
            </w:pPr>
            <w:r>
              <w:rPr>
                <w:sz w:val="12"/>
              </w:rPr>
              <w:t>Focal</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generalized</w:t>
            </w:r>
          </w:p>
        </w:tc>
        <w:tc>
          <w:tcPr>
            <w:tcW w:type="dxa" w:w="2056"/>
            <w:vAlign w:val="top"/>
          </w:tcPr>
          <w:p>
            <w:pPr>
              <w:spacing w:after="0"/>
            </w:pPr>
            <w:r>
              <w:rPr>
                <w:sz w:val="12"/>
              </w:rPr>
              <w:t>Generalized</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combined_generalized_and_focal</w:t>
            </w:r>
          </w:p>
        </w:tc>
        <w:tc>
          <w:tcPr>
            <w:tcW w:type="dxa" w:w="2056"/>
            <w:vAlign w:val="top"/>
          </w:tcPr>
          <w:p>
            <w:pPr>
              <w:spacing w:after="0"/>
            </w:pPr>
            <w:r>
              <w:rPr>
                <w:sz w:val="12"/>
              </w:rPr>
              <w:t>Combined generalized and focal</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unknown</w:t>
            </w:r>
          </w:p>
        </w:tc>
        <w:tc>
          <w:tcPr>
            <w:tcW w:type="dxa" w:w="2056"/>
            <w:vAlign w:val="top"/>
          </w:tcPr>
          <w:p>
            <w:pPr>
              <w:spacing w:after="0"/>
            </w:pPr>
            <w:r>
              <w:rPr>
                <w:sz w:val="12"/>
              </w:rPr>
              <w:t>Unknown</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bl>
    <w:p/>
    <w:p>
      <w:pPr>
        <w:pStyle w:val="Heading2"/>
      </w:pPr>
      <w:r>
        <w:t>VS_ET_CLASS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3"/>
              </w:rPr>
              <w:t>Code</w:t>
            </w:r>
          </w:p>
        </w:tc>
        <w:tc>
          <w:tcPr>
            <w:tcW w:type="dxa" w:w="2056"/>
            <w:shd w:fill="D9EAF7"/>
          </w:tcPr>
          <w:p>
            <w:r>
              <w:rPr>
                <w:b/>
                <w:sz w:val="13"/>
              </w:rPr>
              <w:t>Label</w:t>
            </w:r>
          </w:p>
        </w:tc>
        <w:tc>
          <w:tcPr>
            <w:tcW w:type="dxa" w:w="2056"/>
            <w:shd w:fill="D9EAF7"/>
          </w:tcPr>
          <w:p>
            <w:r>
              <w:rPr>
                <w:b/>
                <w:sz w:val="13"/>
              </w:rPr>
              <w:t>Source</w:t>
            </w:r>
          </w:p>
        </w:tc>
        <w:tc>
          <w:tcPr>
            <w:tcW w:type="dxa" w:w="2056"/>
            <w:shd w:fill="D9EAF7"/>
          </w:tcPr>
          <w:p>
            <w:r>
              <w:rPr>
                <w:b/>
                <w:sz w:val="13"/>
              </w:rPr>
              <w:t>Provenance</w:t>
            </w:r>
          </w:p>
        </w:tc>
        <w:tc>
          <w:tcPr>
            <w:tcW w:type="dxa" w:w="2056"/>
            <w:shd w:fill="D9EAF7"/>
          </w:tcPr>
          <w:p>
            <w:r>
              <w:rPr>
                <w:b/>
                <w:sz w:val="13"/>
              </w:rPr>
              <w:t>Boundary</w:t>
            </w:r>
          </w:p>
        </w:tc>
      </w:tr>
      <w:tr>
        <w:tc>
          <w:tcPr>
            <w:tcW w:type="dxa" w:w="2056"/>
            <w:vAlign w:val="top"/>
          </w:tcPr>
          <w:p>
            <w:pPr>
              <w:spacing w:after="0"/>
            </w:pPr>
            <w:r>
              <w:rPr>
                <w:sz w:val="12"/>
              </w:rPr>
              <w:t>structural</w:t>
            </w:r>
          </w:p>
        </w:tc>
        <w:tc>
          <w:tcPr>
            <w:tcW w:type="dxa" w:w="2056"/>
            <w:vAlign w:val="top"/>
          </w:tcPr>
          <w:p>
            <w:pPr>
              <w:spacing w:after="0"/>
            </w:pPr>
            <w:r>
              <w:rPr>
                <w:sz w:val="12"/>
              </w:rPr>
              <w:t>Structural</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genetic</w:t>
            </w:r>
          </w:p>
        </w:tc>
        <w:tc>
          <w:tcPr>
            <w:tcW w:type="dxa" w:w="2056"/>
            <w:vAlign w:val="top"/>
          </w:tcPr>
          <w:p>
            <w:pPr>
              <w:spacing w:after="0"/>
            </w:pPr>
            <w:r>
              <w:rPr>
                <w:sz w:val="12"/>
              </w:rPr>
              <w:t>Genetic</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infectious</w:t>
            </w:r>
          </w:p>
        </w:tc>
        <w:tc>
          <w:tcPr>
            <w:tcW w:type="dxa" w:w="2056"/>
            <w:vAlign w:val="top"/>
          </w:tcPr>
          <w:p>
            <w:pPr>
              <w:spacing w:after="0"/>
            </w:pPr>
            <w:r>
              <w:rPr>
                <w:sz w:val="12"/>
              </w:rPr>
              <w:t>Infectious</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metabolic</w:t>
            </w:r>
          </w:p>
        </w:tc>
        <w:tc>
          <w:tcPr>
            <w:tcW w:type="dxa" w:w="2056"/>
            <w:vAlign w:val="top"/>
          </w:tcPr>
          <w:p>
            <w:pPr>
              <w:spacing w:after="0"/>
            </w:pPr>
            <w:r>
              <w:rPr>
                <w:sz w:val="12"/>
              </w:rPr>
              <w:t>Metabolic</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immune</w:t>
            </w:r>
          </w:p>
        </w:tc>
        <w:tc>
          <w:tcPr>
            <w:tcW w:type="dxa" w:w="2056"/>
            <w:vAlign w:val="top"/>
          </w:tcPr>
          <w:p>
            <w:pPr>
              <w:spacing w:after="0"/>
            </w:pPr>
            <w:r>
              <w:rPr>
                <w:sz w:val="12"/>
              </w:rPr>
              <w:t>Immune</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unknown</w:t>
            </w:r>
          </w:p>
        </w:tc>
        <w:tc>
          <w:tcPr>
            <w:tcW w:type="dxa" w:w="2056"/>
            <w:vAlign w:val="top"/>
          </w:tcPr>
          <w:p>
            <w:pPr>
              <w:spacing w:after="0"/>
            </w:pPr>
            <w:r>
              <w:rPr>
                <w:sz w:val="12"/>
              </w:rPr>
              <w:t>Unknown</w:t>
            </w:r>
          </w:p>
        </w:tc>
        <w:tc>
          <w:tcPr>
            <w:tcW w:type="dxa" w:w="2056"/>
            <w:vAlign w:val="top"/>
          </w:tcPr>
          <w:p>
            <w:pPr>
              <w:spacing w:after="0"/>
            </w:pPr>
            <w:r>
              <w:rPr>
                <w:sz w:val="12"/>
              </w:rPr>
              <w:t>ILAE17</w:t>
            </w:r>
          </w:p>
        </w:tc>
        <w:tc>
          <w:tcPr>
            <w:tcW w:type="dxa" w:w="2056"/>
            <w:vAlign w:val="top"/>
          </w:tcPr>
          <w:p>
            <w:pPr>
              <w:spacing w:after="0"/>
            </w:pPr>
            <w:r>
              <w:rPr>
                <w:sz w:val="12"/>
              </w:rPr>
              <w:t>SOURCE-DEFINED</w:t>
            </w:r>
          </w:p>
        </w:tc>
        <w:tc>
          <w:tcPr>
            <w:tcW w:type="dxa" w:w="2056"/>
            <w:vAlign w:val="top"/>
          </w:tcPr>
          <w:p>
            <w:pPr>
              <w:spacing w:after="0"/>
            </w:pPr>
            <w:r>
              <w:rPr>
                <w:sz w:val="12"/>
              </w:rPr>
            </w:r>
          </w:p>
        </w:tc>
      </w:tr>
    </w:tbl>
    <w:p/>
    <w:p>
      <w:pPr>
        <w:pStyle w:val="Heading2"/>
      </w:pPr>
      <w:r>
        <w:t>VS_INVESTIGATION_RESULT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3"/>
              </w:rPr>
              <w:t>Code</w:t>
            </w:r>
          </w:p>
        </w:tc>
        <w:tc>
          <w:tcPr>
            <w:tcW w:type="dxa" w:w="2056"/>
            <w:shd w:fill="D9EAF7"/>
          </w:tcPr>
          <w:p>
            <w:r>
              <w:rPr>
                <w:b/>
                <w:sz w:val="13"/>
              </w:rPr>
              <w:t>Label</w:t>
            </w:r>
          </w:p>
        </w:tc>
        <w:tc>
          <w:tcPr>
            <w:tcW w:type="dxa" w:w="2056"/>
            <w:shd w:fill="D9EAF7"/>
          </w:tcPr>
          <w:p>
            <w:r>
              <w:rPr>
                <w:b/>
                <w:sz w:val="13"/>
              </w:rPr>
              <w:t>Source</w:t>
            </w:r>
          </w:p>
        </w:tc>
        <w:tc>
          <w:tcPr>
            <w:tcW w:type="dxa" w:w="2056"/>
            <w:shd w:fill="D9EAF7"/>
          </w:tcPr>
          <w:p>
            <w:r>
              <w:rPr>
                <w:b/>
                <w:sz w:val="13"/>
              </w:rPr>
              <w:t>Provenance</w:t>
            </w:r>
          </w:p>
        </w:tc>
        <w:tc>
          <w:tcPr>
            <w:tcW w:type="dxa" w:w="2056"/>
            <w:shd w:fill="D9EAF7"/>
          </w:tcPr>
          <w:p>
            <w:r>
              <w:rPr>
                <w:b/>
                <w:sz w:val="13"/>
              </w:rPr>
              <w:t>Boundary</w:t>
            </w:r>
          </w:p>
        </w:tc>
      </w:tr>
      <w:tr>
        <w:tc>
          <w:tcPr>
            <w:tcW w:type="dxa" w:w="2056"/>
            <w:vAlign w:val="top"/>
          </w:tcPr>
          <w:p>
            <w:pPr>
              <w:spacing w:after="0"/>
            </w:pPr>
            <w:r>
              <w:rPr>
                <w:sz w:val="12"/>
              </w:rPr>
              <w:t>normal</w:t>
            </w:r>
          </w:p>
        </w:tc>
        <w:tc>
          <w:tcPr>
            <w:tcW w:type="dxa" w:w="2056"/>
            <w:vAlign w:val="top"/>
          </w:tcPr>
          <w:p>
            <w:pPr>
              <w:spacing w:after="0"/>
            </w:pPr>
            <w:r>
              <w:rPr>
                <w:sz w:val="12"/>
              </w:rPr>
              <w:t>Normal</w:t>
            </w:r>
          </w:p>
        </w:tc>
        <w:tc>
          <w:tcPr>
            <w:tcW w:type="dxa" w:w="2056"/>
            <w:vAlign w:val="top"/>
          </w:tcPr>
          <w:p>
            <w:pPr>
              <w:spacing w:after="0"/>
            </w:pPr>
            <w:r>
              <w:rPr>
                <w:sz w:val="12"/>
              </w:rPr>
              <w:t>ExECT24</w:t>
            </w:r>
          </w:p>
        </w:tc>
        <w:tc>
          <w:tcPr>
            <w:tcW w:type="dxa" w:w="2056"/>
            <w:vAlign w:val="top"/>
          </w:tcPr>
          <w:p>
            <w:pPr>
              <w:spacing w:after="0"/>
            </w:pPr>
            <w:r>
              <w:rPr>
                <w:sz w:val="12"/>
              </w:rPr>
              <w:t>PUBLISHED-METHOD</w:t>
            </w:r>
          </w:p>
        </w:tc>
        <w:tc>
          <w:tcPr>
            <w:tcW w:type="dxa" w:w="2056"/>
            <w:vAlign w:val="top"/>
          </w:tcPr>
          <w:p>
            <w:pPr>
              <w:spacing w:after="0"/>
            </w:pPr>
            <w:r>
              <w:rPr>
                <w:sz w:val="12"/>
              </w:rPr>
              <w:t>Use only in ExECT-compatible investigation-result layer, not as universal imaging/EEG ontology.</w:t>
            </w:r>
          </w:p>
        </w:tc>
      </w:tr>
      <w:tr>
        <w:tc>
          <w:tcPr>
            <w:tcW w:type="dxa" w:w="2056"/>
            <w:vAlign w:val="top"/>
          </w:tcPr>
          <w:p>
            <w:pPr>
              <w:spacing w:after="0"/>
            </w:pPr>
            <w:r>
              <w:rPr>
                <w:sz w:val="12"/>
              </w:rPr>
              <w:t>abnormal</w:t>
            </w:r>
          </w:p>
        </w:tc>
        <w:tc>
          <w:tcPr>
            <w:tcW w:type="dxa" w:w="2056"/>
            <w:vAlign w:val="top"/>
          </w:tcPr>
          <w:p>
            <w:pPr>
              <w:spacing w:after="0"/>
            </w:pPr>
            <w:r>
              <w:rPr>
                <w:sz w:val="12"/>
              </w:rPr>
              <w:t>Abnormal</w:t>
            </w:r>
          </w:p>
        </w:tc>
        <w:tc>
          <w:tcPr>
            <w:tcW w:type="dxa" w:w="2056"/>
            <w:vAlign w:val="top"/>
          </w:tcPr>
          <w:p>
            <w:pPr>
              <w:spacing w:after="0"/>
            </w:pPr>
            <w:r>
              <w:rPr>
                <w:sz w:val="12"/>
              </w:rPr>
              <w:t>ExECT24</w:t>
            </w:r>
          </w:p>
        </w:tc>
        <w:tc>
          <w:tcPr>
            <w:tcW w:type="dxa" w:w="2056"/>
            <w:vAlign w:val="top"/>
          </w:tcPr>
          <w:p>
            <w:pPr>
              <w:spacing w:after="0"/>
            </w:pPr>
            <w:r>
              <w:rPr>
                <w:sz w:val="12"/>
              </w:rPr>
              <w:t>PUBLISHED-METHOD</w:t>
            </w:r>
          </w:p>
        </w:tc>
        <w:tc>
          <w:tcPr>
            <w:tcW w:type="dxa" w:w="2056"/>
            <w:vAlign w:val="top"/>
          </w:tcPr>
          <w:p>
            <w:pPr>
              <w:spacing w:after="0"/>
            </w:pPr>
            <w:r>
              <w:rPr>
                <w:sz w:val="12"/>
              </w:rPr>
              <w:t>Use only in ExECT-compatible investigation-result layer, not as universal imaging/EEG ontology.</w:t>
            </w:r>
          </w:p>
        </w:tc>
      </w:tr>
      <w:tr>
        <w:tc>
          <w:tcPr>
            <w:tcW w:type="dxa" w:w="2056"/>
            <w:vAlign w:val="top"/>
          </w:tcPr>
          <w:p>
            <w:pPr>
              <w:spacing w:after="0"/>
            </w:pPr>
            <w:r>
              <w:rPr>
                <w:sz w:val="12"/>
              </w:rPr>
              <w:t>not_stated</w:t>
            </w:r>
          </w:p>
        </w:tc>
        <w:tc>
          <w:tcPr>
            <w:tcW w:type="dxa" w:w="2056"/>
            <w:vAlign w:val="top"/>
          </w:tcPr>
          <w:p>
            <w:pPr>
              <w:spacing w:after="0"/>
            </w:pPr>
            <w:r>
              <w:rPr>
                <w:sz w:val="12"/>
              </w:rPr>
              <w:t>Not stated</w:t>
            </w:r>
          </w:p>
        </w:tc>
        <w:tc>
          <w:tcPr>
            <w:tcW w:type="dxa" w:w="2056"/>
            <w:vAlign w:val="top"/>
          </w:tcPr>
          <w:p>
            <w:pPr>
              <w:spacing w:after="0"/>
            </w:pPr>
            <w:r>
              <w:rPr>
                <w:sz w:val="12"/>
              </w:rPr>
              <w:t>ExECT24</w:t>
            </w:r>
          </w:p>
        </w:tc>
        <w:tc>
          <w:tcPr>
            <w:tcW w:type="dxa" w:w="2056"/>
            <w:vAlign w:val="top"/>
          </w:tcPr>
          <w:p>
            <w:pPr>
              <w:spacing w:after="0"/>
            </w:pPr>
            <w:r>
              <w:rPr>
                <w:sz w:val="12"/>
              </w:rPr>
              <w:t>PUBLISHED-METHOD</w:t>
            </w:r>
          </w:p>
        </w:tc>
        <w:tc>
          <w:tcPr>
            <w:tcW w:type="dxa" w:w="2056"/>
            <w:vAlign w:val="top"/>
          </w:tcPr>
          <w:p>
            <w:pPr>
              <w:spacing w:after="0"/>
            </w:pPr>
            <w:r>
              <w:rPr>
                <w:sz w:val="12"/>
              </w:rPr>
              <w:t>Use only in ExECT-compatible investigation-result layer, not as universal imaging/EEG ontology.</w:t>
            </w:r>
          </w:p>
        </w:tc>
      </w:tr>
    </w:tbl>
    <w:p/>
    <w:p>
      <w:pPr>
        <w:pStyle w:val="Heading2"/>
      </w:pPr>
      <w:r>
        <w:t>VS_SZ_CONSC</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3"/>
              </w:rPr>
              <w:t>Code</w:t>
            </w:r>
          </w:p>
        </w:tc>
        <w:tc>
          <w:tcPr>
            <w:tcW w:type="dxa" w:w="2056"/>
            <w:shd w:fill="D9EAF7"/>
          </w:tcPr>
          <w:p>
            <w:r>
              <w:rPr>
                <w:b/>
                <w:sz w:val="13"/>
              </w:rPr>
              <w:t>Label</w:t>
            </w:r>
          </w:p>
        </w:tc>
        <w:tc>
          <w:tcPr>
            <w:tcW w:type="dxa" w:w="2056"/>
            <w:shd w:fill="D9EAF7"/>
          </w:tcPr>
          <w:p>
            <w:r>
              <w:rPr>
                <w:b/>
                <w:sz w:val="13"/>
              </w:rPr>
              <w:t>Source</w:t>
            </w:r>
          </w:p>
        </w:tc>
        <w:tc>
          <w:tcPr>
            <w:tcW w:type="dxa" w:w="2056"/>
            <w:shd w:fill="D9EAF7"/>
          </w:tcPr>
          <w:p>
            <w:r>
              <w:rPr>
                <w:b/>
                <w:sz w:val="13"/>
              </w:rPr>
              <w:t>Provenance</w:t>
            </w:r>
          </w:p>
        </w:tc>
        <w:tc>
          <w:tcPr>
            <w:tcW w:type="dxa" w:w="2056"/>
            <w:shd w:fill="D9EAF7"/>
          </w:tcPr>
          <w:p>
            <w:r>
              <w:rPr>
                <w:b/>
                <w:sz w:val="13"/>
              </w:rPr>
              <w:t>Boundary</w:t>
            </w:r>
          </w:p>
        </w:tc>
      </w:tr>
      <w:tr>
        <w:tc>
          <w:tcPr>
            <w:tcW w:type="dxa" w:w="2056"/>
            <w:vAlign w:val="top"/>
          </w:tcPr>
          <w:p>
            <w:pPr>
              <w:spacing w:after="0"/>
            </w:pPr>
            <w:r>
              <w:rPr>
                <w:sz w:val="12"/>
              </w:rPr>
              <w:t>preserved</w:t>
            </w:r>
          </w:p>
        </w:tc>
        <w:tc>
          <w:tcPr>
            <w:tcW w:type="dxa" w:w="2056"/>
            <w:vAlign w:val="top"/>
          </w:tcPr>
          <w:p>
            <w:pPr>
              <w:spacing w:after="0"/>
            </w:pPr>
            <w:r>
              <w:rPr>
                <w:sz w:val="12"/>
              </w:rPr>
              <w:t>Preserved consciousness</w:t>
            </w:r>
          </w:p>
        </w:tc>
        <w:tc>
          <w:tcPr>
            <w:tcW w:type="dxa" w:w="2056"/>
            <w:vAlign w:val="top"/>
          </w:tcPr>
          <w:p>
            <w:pPr>
              <w:spacing w:after="0"/>
            </w:pPr>
            <w:r>
              <w:rPr>
                <w:sz w:val="12"/>
              </w:rPr>
              <w:t>ILAE25</w:t>
            </w:r>
          </w:p>
        </w:tc>
        <w:tc>
          <w:tcPr>
            <w:tcW w:type="dxa" w:w="2056"/>
            <w:vAlign w:val="top"/>
          </w:tcPr>
          <w:p>
            <w:pPr>
              <w:spacing w:after="0"/>
            </w:pPr>
            <w:r>
              <w:rPr>
                <w:sz w:val="12"/>
              </w:rPr>
              <w:t>SOURCE-DEFINED</w:t>
            </w:r>
          </w:p>
        </w:tc>
        <w:tc>
          <w:tcPr>
            <w:tcW w:type="dxa" w:w="2056"/>
            <w:vAlign w:val="top"/>
          </w:tcPr>
          <w:p>
            <w:pPr>
              <w:spacing w:after="0"/>
            </w:pPr>
            <w:r>
              <w:rPr>
                <w:sz w:val="12"/>
              </w:rPr>
              <w:t>If consciousness cannot be determined, do not force one of these values.</w:t>
            </w:r>
          </w:p>
        </w:tc>
      </w:tr>
      <w:tr>
        <w:tc>
          <w:tcPr>
            <w:tcW w:type="dxa" w:w="2056"/>
            <w:vAlign w:val="top"/>
          </w:tcPr>
          <w:p>
            <w:pPr>
              <w:spacing w:after="0"/>
            </w:pPr>
            <w:r>
              <w:rPr>
                <w:sz w:val="12"/>
              </w:rPr>
              <w:t>impaired</w:t>
            </w:r>
          </w:p>
        </w:tc>
        <w:tc>
          <w:tcPr>
            <w:tcW w:type="dxa" w:w="2056"/>
            <w:vAlign w:val="top"/>
          </w:tcPr>
          <w:p>
            <w:pPr>
              <w:spacing w:after="0"/>
            </w:pPr>
            <w:r>
              <w:rPr>
                <w:sz w:val="12"/>
              </w:rPr>
              <w:t>Impaired consciousness</w:t>
            </w:r>
          </w:p>
        </w:tc>
        <w:tc>
          <w:tcPr>
            <w:tcW w:type="dxa" w:w="2056"/>
            <w:vAlign w:val="top"/>
          </w:tcPr>
          <w:p>
            <w:pPr>
              <w:spacing w:after="0"/>
            </w:pPr>
            <w:r>
              <w:rPr>
                <w:sz w:val="12"/>
              </w:rPr>
              <w:t>ILAE25</w:t>
            </w:r>
          </w:p>
        </w:tc>
        <w:tc>
          <w:tcPr>
            <w:tcW w:type="dxa" w:w="2056"/>
            <w:vAlign w:val="top"/>
          </w:tcPr>
          <w:p>
            <w:pPr>
              <w:spacing w:after="0"/>
            </w:pPr>
            <w:r>
              <w:rPr>
                <w:sz w:val="12"/>
              </w:rPr>
              <w:t>SOURCE-DEFINED</w:t>
            </w:r>
          </w:p>
        </w:tc>
        <w:tc>
          <w:tcPr>
            <w:tcW w:type="dxa" w:w="2056"/>
            <w:vAlign w:val="top"/>
          </w:tcPr>
          <w:p>
            <w:pPr>
              <w:spacing w:after="0"/>
            </w:pPr>
            <w:r>
              <w:rPr>
                <w:sz w:val="12"/>
              </w:rPr>
              <w:t>If consciousness cannot be determined, do not force one of these values.</w:t>
            </w:r>
          </w:p>
        </w:tc>
      </w:tr>
    </w:tbl>
    <w:p/>
    <w:p>
      <w:pPr>
        <w:pStyle w:val="Heading2"/>
      </w:pPr>
      <w:r>
        <w:t>VS_SZ_MAIN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3"/>
              </w:rPr>
              <w:t>Code</w:t>
            </w:r>
          </w:p>
        </w:tc>
        <w:tc>
          <w:tcPr>
            <w:tcW w:type="dxa" w:w="2056"/>
            <w:shd w:fill="D9EAF7"/>
          </w:tcPr>
          <w:p>
            <w:r>
              <w:rPr>
                <w:b/>
                <w:sz w:val="13"/>
              </w:rPr>
              <w:t>Label</w:t>
            </w:r>
          </w:p>
        </w:tc>
        <w:tc>
          <w:tcPr>
            <w:tcW w:type="dxa" w:w="2056"/>
            <w:shd w:fill="D9EAF7"/>
          </w:tcPr>
          <w:p>
            <w:r>
              <w:rPr>
                <w:b/>
                <w:sz w:val="13"/>
              </w:rPr>
              <w:t>Source</w:t>
            </w:r>
          </w:p>
        </w:tc>
        <w:tc>
          <w:tcPr>
            <w:tcW w:type="dxa" w:w="2056"/>
            <w:shd w:fill="D9EAF7"/>
          </w:tcPr>
          <w:p>
            <w:r>
              <w:rPr>
                <w:b/>
                <w:sz w:val="13"/>
              </w:rPr>
              <w:t>Provenance</w:t>
            </w:r>
          </w:p>
        </w:tc>
        <w:tc>
          <w:tcPr>
            <w:tcW w:type="dxa" w:w="2056"/>
            <w:shd w:fill="D9EAF7"/>
          </w:tcPr>
          <w:p>
            <w:r>
              <w:rPr>
                <w:b/>
                <w:sz w:val="13"/>
              </w:rPr>
              <w:t>Boundary</w:t>
            </w:r>
          </w:p>
        </w:tc>
      </w:tr>
      <w:tr>
        <w:tc>
          <w:tcPr>
            <w:tcW w:type="dxa" w:w="2056"/>
            <w:vAlign w:val="top"/>
          </w:tcPr>
          <w:p>
            <w:pPr>
              <w:spacing w:after="0"/>
            </w:pPr>
            <w:r>
              <w:rPr>
                <w:sz w:val="12"/>
              </w:rPr>
              <w:t>focal</w:t>
            </w:r>
          </w:p>
        </w:tc>
        <w:tc>
          <w:tcPr>
            <w:tcW w:type="dxa" w:w="2056"/>
            <w:vAlign w:val="top"/>
          </w:tcPr>
          <w:p>
            <w:pPr>
              <w:spacing w:after="0"/>
            </w:pPr>
            <w:r>
              <w:rPr>
                <w:sz w:val="12"/>
              </w:rPr>
              <w:t>Focal</w:t>
            </w:r>
          </w:p>
        </w:tc>
        <w:tc>
          <w:tcPr>
            <w:tcW w:type="dxa" w:w="2056"/>
            <w:vAlign w:val="top"/>
          </w:tcPr>
          <w:p>
            <w:pPr>
              <w:spacing w:after="0"/>
            </w:pPr>
            <w:r>
              <w:rPr>
                <w:sz w:val="12"/>
              </w:rPr>
              <w:t>ILAE25</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generalized</w:t>
            </w:r>
          </w:p>
        </w:tc>
        <w:tc>
          <w:tcPr>
            <w:tcW w:type="dxa" w:w="2056"/>
            <w:vAlign w:val="top"/>
          </w:tcPr>
          <w:p>
            <w:pPr>
              <w:spacing w:after="0"/>
            </w:pPr>
            <w:r>
              <w:rPr>
                <w:sz w:val="12"/>
              </w:rPr>
              <w:t>Generalized</w:t>
            </w:r>
          </w:p>
        </w:tc>
        <w:tc>
          <w:tcPr>
            <w:tcW w:type="dxa" w:w="2056"/>
            <w:vAlign w:val="top"/>
          </w:tcPr>
          <w:p>
            <w:pPr>
              <w:spacing w:after="0"/>
            </w:pPr>
            <w:r>
              <w:rPr>
                <w:sz w:val="12"/>
              </w:rPr>
              <w:t>ILAE25</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unknown_focal_or_generalized</w:t>
            </w:r>
          </w:p>
        </w:tc>
        <w:tc>
          <w:tcPr>
            <w:tcW w:type="dxa" w:w="2056"/>
            <w:vAlign w:val="top"/>
          </w:tcPr>
          <w:p>
            <w:pPr>
              <w:spacing w:after="0"/>
            </w:pPr>
            <w:r>
              <w:rPr>
                <w:sz w:val="12"/>
              </w:rPr>
              <w:t>Unknown whether focal or generalized</w:t>
            </w:r>
          </w:p>
        </w:tc>
        <w:tc>
          <w:tcPr>
            <w:tcW w:type="dxa" w:w="2056"/>
            <w:vAlign w:val="top"/>
          </w:tcPr>
          <w:p>
            <w:pPr>
              <w:spacing w:after="0"/>
            </w:pPr>
            <w:r>
              <w:rPr>
                <w:sz w:val="12"/>
              </w:rPr>
              <w:t>ILAE25</w:t>
            </w:r>
          </w:p>
        </w:tc>
        <w:tc>
          <w:tcPr>
            <w:tcW w:type="dxa" w:w="2056"/>
            <w:vAlign w:val="top"/>
          </w:tcPr>
          <w:p>
            <w:pPr>
              <w:spacing w:after="0"/>
            </w:pPr>
            <w:r>
              <w:rPr>
                <w:sz w:val="12"/>
              </w:rPr>
              <w:t>SOURCE-DEFINED</w:t>
            </w:r>
          </w:p>
        </w:tc>
        <w:tc>
          <w:tcPr>
            <w:tcW w:type="dxa" w:w="2056"/>
            <w:vAlign w:val="top"/>
          </w:tcPr>
          <w:p>
            <w:pPr>
              <w:spacing w:after="0"/>
            </w:pPr>
            <w:r>
              <w:rPr>
                <w:sz w:val="12"/>
              </w:rPr>
            </w:r>
          </w:p>
        </w:tc>
      </w:tr>
      <w:tr>
        <w:tc>
          <w:tcPr>
            <w:tcW w:type="dxa" w:w="2056"/>
            <w:vAlign w:val="top"/>
          </w:tcPr>
          <w:p>
            <w:pPr>
              <w:spacing w:after="0"/>
            </w:pPr>
            <w:r>
              <w:rPr>
                <w:sz w:val="12"/>
              </w:rPr>
              <w:t>unclassified</w:t>
            </w:r>
          </w:p>
        </w:tc>
        <w:tc>
          <w:tcPr>
            <w:tcW w:type="dxa" w:w="2056"/>
            <w:vAlign w:val="top"/>
          </w:tcPr>
          <w:p>
            <w:pPr>
              <w:spacing w:after="0"/>
            </w:pPr>
            <w:r>
              <w:rPr>
                <w:sz w:val="12"/>
              </w:rPr>
              <w:t>Unclassified</w:t>
            </w:r>
          </w:p>
        </w:tc>
        <w:tc>
          <w:tcPr>
            <w:tcW w:type="dxa" w:w="2056"/>
            <w:vAlign w:val="top"/>
          </w:tcPr>
          <w:p>
            <w:pPr>
              <w:spacing w:after="0"/>
            </w:pPr>
            <w:r>
              <w:rPr>
                <w:sz w:val="12"/>
              </w:rPr>
              <w:t>ILAE25</w:t>
            </w:r>
          </w:p>
        </w:tc>
        <w:tc>
          <w:tcPr>
            <w:tcW w:type="dxa" w:w="2056"/>
            <w:vAlign w:val="top"/>
          </w:tcPr>
          <w:p>
            <w:pPr>
              <w:spacing w:after="0"/>
            </w:pPr>
            <w:r>
              <w:rPr>
                <w:sz w:val="12"/>
              </w:rPr>
              <w:t>SOURCE-DEFINED</w:t>
            </w:r>
          </w:p>
        </w:tc>
        <w:tc>
          <w:tcPr>
            <w:tcW w:type="dxa" w:w="2056"/>
            <w:vAlign w:val="top"/>
          </w:tcPr>
          <w:p>
            <w:pPr>
              <w:spacing w:after="0"/>
            </w:pPr>
            <w:r>
              <w:rPr>
                <w:sz w:val="12"/>
              </w:rPr>
            </w:r>
          </w:p>
        </w:tc>
      </w:tr>
    </w:tbl>
    <w:p/>
    <w:p>
      <w:pPr>
        <w:pStyle w:val="Heading1"/>
      </w:pPr>
      <w:r>
        <w:t>4. Seizure classification</w:t>
      </w:r>
    </w:p>
    <w:p>
      <w:r>
        <w:t>MedAI v1 uses the ILAE 2025 seizure taxonomy already reconstructed in Phase 3B. Four main classes are canonical: focal, generalized, unknown whether focal or generalized, and unclassified. The verified Table-1 seizure types may be used; descriptors must remain distinct from types. If the text cannot support a more specific classification, the system must stop at the supported level.</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No invented hierarchy</w:t>
              <w:br/>
            </w:r>
            <w:r>
              <w:t>MedAI may serialize the ILAE hierarchy in database fields, but it does not create new ILAE seizure classes or promote semiology descriptors into seizure types.</w:t>
            </w:r>
          </w:p>
        </w:tc>
      </w:tr>
    </w:tbl>
    <w:p/>
    <w:p>
      <w:pPr>
        <w:pStyle w:val="Heading1"/>
      </w:pPr>
      <w:r>
        <w:t>5. Epilepsy type, syndrome, and etiology</w:t>
      </w:r>
    </w:p>
    <w:p>
      <w:r>
        <w:t>Epilepsy type uses the four ILAE 2017 categories. Etiology uses the six ILAE 2017 categories. Syndrome mentions may be captured directly from clinician text, but MedAI v1 does not compute a syndrome diagnosis until the relevant syndrome-specific criteria have been extracted from the 2022 ILAE series.</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Important</w:t>
              <w:br/>
            </w:r>
            <w:r>
              <w:t>Etiology is an axis considered throughout the ILAE diagnostic framework. Phase 3D does not invent a universal child tree such as structural → HS/FCD/tumor unless a chosen source ontology explicitly supplies that relationship.</w:t>
            </w:r>
          </w:p>
        </w:tc>
      </w:tr>
    </w:tbl>
    <w:p/>
    <w:p>
      <w:pPr>
        <w:pStyle w:val="Heading1"/>
      </w:pPr>
      <w:r>
        <w:t>6. EEG profile</w:t>
      </w:r>
    </w:p>
    <w:p>
      <w:r>
        <w:t>SCORE is retained as the authoritative structured EEG-reporting source in this evidence package. However, only the framework/feature-family level is frozen. Direct EEG findings may be annotated and preserved; detailed canonical SCORE term IDs/relationships remain blocked.</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3"/>
              </w:rPr>
              <w:t>Allowed now</w:t>
            </w:r>
          </w:p>
        </w:tc>
        <w:tc>
          <w:tcPr>
            <w:tcW w:type="dxa" w:w="5141"/>
            <w:shd w:fill="D9EAF7"/>
          </w:tcPr>
          <w:p>
            <w:r>
              <w:rPr>
                <w:b/>
                <w:sz w:val="13"/>
              </w:rPr>
              <w:t>Blocked now</w:t>
            </w:r>
          </w:p>
        </w:tc>
      </w:tr>
      <w:tr>
        <w:tc>
          <w:tcPr>
            <w:tcW w:type="dxa" w:w="5141"/>
            <w:vAlign w:val="top"/>
          </w:tcPr>
          <w:p>
            <w:pPr>
              <w:spacing w:after="0"/>
            </w:pPr>
            <w:r>
              <w:rPr>
                <w:sz w:val="13"/>
              </w:rPr>
              <w:t>Direct report findings and source wording</w:t>
            </w:r>
          </w:p>
        </w:tc>
        <w:tc>
          <w:tcPr>
            <w:tcW w:type="dxa" w:w="5141"/>
            <w:vAlign w:val="top"/>
          </w:tcPr>
          <w:p>
            <w:pPr>
              <w:spacing w:after="0"/>
            </w:pPr>
            <w:r>
              <w:rPr>
                <w:sz w:val="13"/>
              </w:rPr>
              <w:t>Invented SCORE term IDs or hierarchy</w:t>
            </w:r>
          </w:p>
        </w:tc>
      </w:tr>
      <w:tr>
        <w:tc>
          <w:tcPr>
            <w:tcW w:type="dxa" w:w="5141"/>
            <w:vAlign w:val="top"/>
          </w:tcPr>
          <w:p>
            <w:pPr>
              <w:spacing w:after="0"/>
            </w:pPr>
            <w:r>
              <w:rPr>
                <w:sz w:val="13"/>
              </w:rPr>
              <w:t>ExECT-compatible normal/abnormal/not-stated investigation result</w:t>
            </w:r>
          </w:p>
        </w:tc>
        <w:tc>
          <w:tcPr>
            <w:tcW w:type="dxa" w:w="5141"/>
            <w:vAlign w:val="top"/>
          </w:tcPr>
          <w:p>
            <w:pPr>
              <w:spacing w:after="0"/>
            </w:pPr>
            <w:r>
              <w:rPr>
                <w:sz w:val="13"/>
              </w:rPr>
              <w:t>Treating abnormal EEG as IED present</w:t>
            </w:r>
          </w:p>
        </w:tc>
      </w:tr>
      <w:tr>
        <w:tc>
          <w:tcPr>
            <w:tcW w:type="dxa" w:w="5141"/>
            <w:vAlign w:val="top"/>
          </w:tcPr>
          <w:p>
            <w:pPr>
              <w:spacing w:after="0"/>
            </w:pPr>
            <w:r>
              <w:rPr>
                <w:sz w:val="13"/>
              </w:rPr>
              <w:t>Verified high-level SCORE feature families</w:t>
            </w:r>
          </w:p>
        </w:tc>
        <w:tc>
          <w:tcPr>
            <w:tcW w:type="dxa" w:w="5141"/>
            <w:vAlign w:val="top"/>
          </w:tcPr>
          <w:p>
            <w:pPr>
              <w:spacing w:after="0"/>
            </w:pPr>
            <w:r>
              <w:rPr>
                <w:sz w:val="13"/>
              </w:rPr>
              <w:t>Full term-level normalization without source extraction</w:t>
            </w:r>
          </w:p>
        </w:tc>
      </w:tr>
    </w:tbl>
    <w:p/>
    <w:p>
      <w:pPr>
        <w:pStyle w:val="Heading1"/>
      </w:pPr>
      <w:r>
        <w:t>7. MRI profile</w:t>
      </w:r>
    </w:p>
    <w:p>
      <w:r>
        <w:t>MRI report text may support direct imaging findings/impressions. The ExECT-compatible investigation layer can represent normal, abnormal, or not stated. No authoritative epilepsy-specific MRI lesion taxonomy has yet been selected and frozen, so lesion labels remain source-text assertions rather than a made-up canonical list.</w:t>
      </w:r>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Pathology boundary</w:t>
              <w:br/>
            </w:r>
            <w:r>
              <w:t>ILAE hippocampal-sclerosis and FCD classifications are pathology taxonomies. They cannot be used as MRI subtype value sets merely because the radiology report mentions HS or FCD.</w:t>
            </w:r>
          </w:p>
        </w:tc>
      </w:tr>
    </w:tbl>
    <w:p/>
    <w:p>
      <w:pPr>
        <w:pStyle w:val="Heading1"/>
      </w:pPr>
      <w:r>
        <w:t>8. Medication normalization</w:t>
      </w:r>
    </w:p>
    <w:p>
      <w:r>
        <w:t>RxNorm is the normalization source for clinical drug names. NLM describes RxNorm as a normalized naming system for generic and branded drugs and assigns concept identifiers (RXCUIs). MedAI therefore permits RxNorm normalization as a method, but exact ASM RXCUIs are not frozen in this document because they must be resolved from a pinned RxNorm release rather than recalled or guessed.</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Production rule</w:t>
              <w:br/>
            </w:r>
            <w:r>
              <w:t>Store the source medication string first. Resolve the normalized RxNorm concept programmatically against a pinned release. Record release/version and RXCUI. If lookup is ambiguous or absent, retain the source string and mark the mapping unresolved.</w:t>
            </w:r>
          </w:p>
        </w:tc>
      </w:tr>
    </w:tbl>
    <w:p/>
    <w:p>
      <w:pPr>
        <w:pStyle w:val="Heading1"/>
      </w:pPr>
      <w:r>
        <w:t>9. DRE profile</w:t>
      </w:r>
    </w:p>
    <w:p>
      <w:r>
        <w:t>The ILAE consensus definition is source-backed. A clinician's direct statement of drug-resistant epilepsy can therefore be annotated as a direct assertion. Criteria-derived DRE remains blocked because a computational implementation must faithfully represent adequacy, tolerability, appropriate choice/use, treatment response, and sustained seizure freedom rather than merely count medication names.</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Hard rule</w:t>
              <w:br/>
            </w:r>
            <w:r>
              <w:t>Two medications mentioned ≠ drug-resistant epilepsy. Two discontinued medications ≠ drug-resistant epilepsy. Derived DRE becomes available only after the treatment-trial representation and derivation rule are validated.</w:t>
            </w:r>
          </w:p>
        </w:tc>
      </w:tr>
    </w:tbl>
    <w:p/>
    <w:p>
      <w:pPr>
        <w:pStyle w:val="Heading1"/>
      </w:pPr>
      <w:r>
        <w:t>10. EpSO, NINDS CDE and RadLex</w:t>
      </w:r>
    </w:p>
    <w:p>
      <w:r>
        <w:t>EpSO v3.1 is verified as a public production OWL ontology covering seizure types, syndromes, etiology, electrophysiology, medication, neuropathology and related epilepsy concepts. However, exact class URIs/predicates have not yet been extracted into our local evidence package, so they remain blocked from canonical gold.</w:t>
      </w:r>
    </w:p>
    <w:p>
      <w:r>
        <w:t>NINDS CDE and RadLex remain intended crosswalk sources, but exact MedAI subsets/identifiers are not frozen here. The project will not claim a NINDS or RadLex mapping until the exact source item has been extracted and versioned.</w:t>
      </w:r>
    </w:p>
    <w:p>
      <w:pPr>
        <w:pStyle w:val="Heading1"/>
      </w:pPr>
      <w:r>
        <w:t>11. Source mapping registry</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2"/>
              </w:rPr>
              <w:t>Source</w:t>
            </w:r>
          </w:p>
        </w:tc>
        <w:tc>
          <w:tcPr>
            <w:tcW w:type="dxa" w:w="2056"/>
            <w:shd w:fill="D9EAF7"/>
          </w:tcPr>
          <w:p>
            <w:r>
              <w:rPr>
                <w:b/>
                <w:sz w:val="12"/>
              </w:rPr>
              <w:t>Scope</w:t>
            </w:r>
          </w:p>
        </w:tc>
        <w:tc>
          <w:tcPr>
            <w:tcW w:type="dxa" w:w="2056"/>
            <w:shd w:fill="D9EAF7"/>
          </w:tcPr>
          <w:p>
            <w:r>
              <w:rPr>
                <w:b/>
                <w:sz w:val="12"/>
              </w:rPr>
              <w:t>Use</w:t>
            </w:r>
          </w:p>
        </w:tc>
        <w:tc>
          <w:tcPr>
            <w:tcW w:type="dxa" w:w="2056"/>
            <w:shd w:fill="D9EAF7"/>
          </w:tcPr>
          <w:p>
            <w:r>
              <w:rPr>
                <w:b/>
                <w:sz w:val="12"/>
              </w:rPr>
              <w:t>Status</w:t>
            </w:r>
          </w:p>
        </w:tc>
        <w:tc>
          <w:tcPr>
            <w:tcW w:type="dxa" w:w="2056"/>
            <w:shd w:fill="D9EAF7"/>
          </w:tcPr>
          <w:p>
            <w:r>
              <w:rPr>
                <w:b/>
                <w:sz w:val="12"/>
              </w:rPr>
              <w:t>Boundary</w:t>
            </w:r>
          </w:p>
        </w:tc>
      </w:tr>
      <w:tr>
        <w:tc>
          <w:tcPr>
            <w:tcW w:type="dxa" w:w="2056"/>
            <w:vAlign w:val="top"/>
          </w:tcPr>
          <w:p>
            <w:pPr>
              <w:spacing w:after="0"/>
            </w:pPr>
            <w:r>
              <w:rPr>
                <w:sz w:val="11"/>
              </w:rPr>
              <w:t>ILAE17</w:t>
            </w:r>
          </w:p>
        </w:tc>
        <w:tc>
          <w:tcPr>
            <w:tcW w:type="dxa" w:w="2056"/>
            <w:vAlign w:val="top"/>
          </w:tcPr>
          <w:p>
            <w:pPr>
              <w:spacing w:after="0"/>
            </w:pPr>
            <w:r>
              <w:rPr>
                <w:sz w:val="11"/>
              </w:rPr>
              <w:t>Epilepsy type and etiology</w:t>
            </w:r>
          </w:p>
        </w:tc>
        <w:tc>
          <w:tcPr>
            <w:tcW w:type="dxa" w:w="2056"/>
            <w:vAlign w:val="top"/>
          </w:tcPr>
          <w:p>
            <w:pPr>
              <w:spacing w:after="0"/>
            </w:pPr>
            <w:r>
              <w:rPr>
                <w:sz w:val="11"/>
              </w:rPr>
              <w:t>Direct mapping to source-defined categories</w:t>
            </w:r>
          </w:p>
        </w:tc>
        <w:tc>
          <w:tcPr>
            <w:tcW w:type="dxa" w:w="2056"/>
            <w:vAlign w:val="top"/>
          </w:tcPr>
          <w:p>
            <w:pPr>
              <w:spacing w:after="0"/>
            </w:pPr>
            <w:r>
              <w:rPr>
                <w:sz w:val="11"/>
              </w:rPr>
              <w:t>YES</w:t>
            </w:r>
          </w:p>
        </w:tc>
        <w:tc>
          <w:tcPr>
            <w:tcW w:type="dxa" w:w="2056"/>
            <w:vAlign w:val="top"/>
          </w:tcPr>
          <w:p>
            <w:pPr>
              <w:spacing w:after="0"/>
            </w:pPr>
            <w:r>
              <w:rPr>
                <w:sz w:val="11"/>
              </w:rPr>
              <w:t>Do not add child categories without source mapping.</w:t>
            </w:r>
          </w:p>
        </w:tc>
      </w:tr>
      <w:tr>
        <w:tc>
          <w:tcPr>
            <w:tcW w:type="dxa" w:w="2056"/>
            <w:vAlign w:val="top"/>
          </w:tcPr>
          <w:p>
            <w:pPr>
              <w:spacing w:after="0"/>
            </w:pPr>
            <w:r>
              <w:rPr>
                <w:sz w:val="11"/>
              </w:rPr>
              <w:t>ILAE25</w:t>
            </w:r>
          </w:p>
        </w:tc>
        <w:tc>
          <w:tcPr>
            <w:tcW w:type="dxa" w:w="2056"/>
            <w:vAlign w:val="top"/>
          </w:tcPr>
          <w:p>
            <w:pPr>
              <w:spacing w:after="0"/>
            </w:pPr>
            <w:r>
              <w:rPr>
                <w:sz w:val="11"/>
              </w:rPr>
              <w:t>Seizure main class/type/consciousness/descriptors</w:t>
            </w:r>
          </w:p>
        </w:tc>
        <w:tc>
          <w:tcPr>
            <w:tcW w:type="dxa" w:w="2056"/>
            <w:vAlign w:val="top"/>
          </w:tcPr>
          <w:p>
            <w:pPr>
              <w:spacing w:after="0"/>
            </w:pPr>
            <w:r>
              <w:rPr>
                <w:sz w:val="11"/>
              </w:rPr>
              <w:t>Direct mapping to current seizure taxonomy</w:t>
            </w:r>
          </w:p>
        </w:tc>
        <w:tc>
          <w:tcPr>
            <w:tcW w:type="dxa" w:w="2056"/>
            <w:vAlign w:val="top"/>
          </w:tcPr>
          <w:p>
            <w:pPr>
              <w:spacing w:after="0"/>
            </w:pPr>
            <w:r>
              <w:rPr>
                <w:sz w:val="11"/>
              </w:rPr>
              <w:t>YES/PARTIAL</w:t>
            </w:r>
          </w:p>
        </w:tc>
        <w:tc>
          <w:tcPr>
            <w:tcW w:type="dxa" w:w="2056"/>
            <w:vAlign w:val="top"/>
          </w:tcPr>
          <w:p>
            <w:pPr>
              <w:spacing w:after="0"/>
            </w:pPr>
            <w:r>
              <w:rPr>
                <w:sz w:val="11"/>
              </w:rPr>
              <w:t>Main classes and Phase-3B Table-1 types frozen; full descriptor glossary remains blocked.</w:t>
            </w:r>
          </w:p>
        </w:tc>
      </w:tr>
      <w:tr>
        <w:tc>
          <w:tcPr>
            <w:tcW w:type="dxa" w:w="2056"/>
            <w:vAlign w:val="top"/>
          </w:tcPr>
          <w:p>
            <w:pPr>
              <w:spacing w:after="0"/>
            </w:pPr>
            <w:r>
              <w:rPr>
                <w:sz w:val="11"/>
              </w:rPr>
              <w:t>ILAE22</w:t>
            </w:r>
          </w:p>
        </w:tc>
        <w:tc>
          <w:tcPr>
            <w:tcW w:type="dxa" w:w="2056"/>
            <w:vAlign w:val="top"/>
          </w:tcPr>
          <w:p>
            <w:pPr>
              <w:spacing w:after="0"/>
            </w:pPr>
            <w:r>
              <w:rPr>
                <w:sz w:val="11"/>
              </w:rPr>
              <w:t>Epilepsy syndromes</w:t>
            </w:r>
          </w:p>
        </w:tc>
        <w:tc>
          <w:tcPr>
            <w:tcW w:type="dxa" w:w="2056"/>
            <w:vAlign w:val="top"/>
          </w:tcPr>
          <w:p>
            <w:pPr>
              <w:spacing w:after="0"/>
            </w:pPr>
            <w:r>
              <w:rPr>
                <w:sz w:val="11"/>
              </w:rPr>
              <w:t>Direct syndrome mention/index</w:t>
            </w:r>
          </w:p>
        </w:tc>
        <w:tc>
          <w:tcPr>
            <w:tcW w:type="dxa" w:w="2056"/>
            <w:vAlign w:val="top"/>
          </w:tcPr>
          <w:p>
            <w:pPr>
              <w:spacing w:after="0"/>
            </w:pPr>
            <w:r>
              <w:rPr>
                <w:sz w:val="11"/>
              </w:rPr>
              <w:t>PARTIAL</w:t>
            </w:r>
          </w:p>
        </w:tc>
        <w:tc>
          <w:tcPr>
            <w:tcW w:type="dxa" w:w="2056"/>
            <w:vAlign w:val="top"/>
          </w:tcPr>
          <w:p>
            <w:pPr>
              <w:spacing w:after="0"/>
            </w:pPr>
            <w:r>
              <w:rPr>
                <w:sz w:val="11"/>
              </w:rPr>
              <w:t>Syndrome-specific diagnostic criteria not fully extracted; no derivation.</w:t>
            </w:r>
          </w:p>
        </w:tc>
      </w:tr>
      <w:tr>
        <w:tc>
          <w:tcPr>
            <w:tcW w:type="dxa" w:w="2056"/>
            <w:vAlign w:val="top"/>
          </w:tcPr>
          <w:p>
            <w:pPr>
              <w:spacing w:after="0"/>
            </w:pPr>
            <w:r>
              <w:rPr>
                <w:sz w:val="11"/>
              </w:rPr>
              <w:t>ExECT24</w:t>
            </w:r>
          </w:p>
        </w:tc>
        <w:tc>
          <w:tcPr>
            <w:tcW w:type="dxa" w:w="2056"/>
            <w:vAlign w:val="top"/>
          </w:tcPr>
          <w:p>
            <w:pPr>
              <w:spacing w:after="0"/>
            </w:pPr>
            <w:r>
              <w:rPr>
                <w:sz w:val="11"/>
              </w:rPr>
              <w:t>Diagnosis/investigations/prescription/seizure-frequency annotation</w:t>
            </w:r>
          </w:p>
        </w:tc>
        <w:tc>
          <w:tcPr>
            <w:tcW w:type="dxa" w:w="2056"/>
            <w:vAlign w:val="top"/>
          </w:tcPr>
          <w:p>
            <w:pPr>
              <w:spacing w:after="0"/>
            </w:pPr>
            <w:r>
              <w:rPr>
                <w:sz w:val="11"/>
              </w:rPr>
              <w:t>Published annotation-method precedent</w:t>
            </w:r>
          </w:p>
        </w:tc>
        <w:tc>
          <w:tcPr>
            <w:tcW w:type="dxa" w:w="2056"/>
            <w:vAlign w:val="top"/>
          </w:tcPr>
          <w:p>
            <w:pPr>
              <w:spacing w:after="0"/>
            </w:pPr>
            <w:r>
              <w:rPr>
                <w:sz w:val="11"/>
              </w:rPr>
              <w:t>YES</w:t>
            </w:r>
          </w:p>
        </w:tc>
        <w:tc>
          <w:tcPr>
            <w:tcW w:type="dxa" w:w="2056"/>
            <w:vAlign w:val="top"/>
          </w:tcPr>
          <w:p>
            <w:pPr>
              <w:spacing w:after="0"/>
            </w:pPr>
            <w:r>
              <w:rPr>
                <w:sz w:val="11"/>
              </w:rPr>
              <w:t>Do not generalize ExECT value sets beyond their documented scope.</w:t>
            </w:r>
          </w:p>
        </w:tc>
      </w:tr>
      <w:tr>
        <w:tc>
          <w:tcPr>
            <w:tcW w:type="dxa" w:w="2056"/>
            <w:vAlign w:val="top"/>
          </w:tcPr>
          <w:p>
            <w:pPr>
              <w:spacing w:after="0"/>
            </w:pPr>
            <w:r>
              <w:rPr>
                <w:sz w:val="11"/>
              </w:rPr>
              <w:t>SZFreq25</w:t>
            </w:r>
          </w:p>
        </w:tc>
        <w:tc>
          <w:tcPr>
            <w:tcW w:type="dxa" w:w="2056"/>
            <w:vAlign w:val="top"/>
          </w:tcPr>
          <w:p>
            <w:pPr>
              <w:spacing w:after="0"/>
            </w:pPr>
            <w:r>
              <w:rPr>
                <w:sz w:val="11"/>
              </w:rPr>
              <w:t>Seizure frequency temporal/quantity attributes</w:t>
            </w:r>
          </w:p>
        </w:tc>
        <w:tc>
          <w:tcPr>
            <w:tcW w:type="dxa" w:w="2056"/>
            <w:vAlign w:val="top"/>
          </w:tcPr>
          <w:p>
            <w:pPr>
              <w:spacing w:after="0"/>
            </w:pPr>
            <w:r>
              <w:rPr>
                <w:sz w:val="11"/>
              </w:rPr>
              <w:t>Published extraction/annotation precedent</w:t>
            </w:r>
          </w:p>
        </w:tc>
        <w:tc>
          <w:tcPr>
            <w:tcW w:type="dxa" w:w="2056"/>
            <w:vAlign w:val="top"/>
          </w:tcPr>
          <w:p>
            <w:pPr>
              <w:spacing w:after="0"/>
            </w:pPr>
            <w:r>
              <w:rPr>
                <w:sz w:val="11"/>
              </w:rPr>
              <w:t>YES/PARTIAL</w:t>
            </w:r>
          </w:p>
        </w:tc>
        <w:tc>
          <w:tcPr>
            <w:tcW w:type="dxa" w:w="2056"/>
            <w:vAlign w:val="top"/>
          </w:tcPr>
          <w:p>
            <w:pPr>
              <w:spacing w:after="0"/>
            </w:pPr>
            <w:r>
              <w:rPr>
                <w:sz w:val="11"/>
              </w:rPr>
              <w:t>Use source-supported attributes; universal temporal ontology not claimed.</w:t>
            </w:r>
          </w:p>
        </w:tc>
      </w:tr>
      <w:tr>
        <w:tc>
          <w:tcPr>
            <w:tcW w:type="dxa" w:w="2056"/>
            <w:vAlign w:val="top"/>
          </w:tcPr>
          <w:p>
            <w:pPr>
              <w:spacing w:after="0"/>
            </w:pPr>
            <w:r>
              <w:rPr>
                <w:sz w:val="11"/>
              </w:rPr>
              <w:t>SCORE17</w:t>
            </w:r>
          </w:p>
        </w:tc>
        <w:tc>
          <w:tcPr>
            <w:tcW w:type="dxa" w:w="2056"/>
            <w:vAlign w:val="top"/>
          </w:tcPr>
          <w:p>
            <w:pPr>
              <w:spacing w:after="0"/>
            </w:pPr>
            <w:r>
              <w:rPr>
                <w:sz w:val="11"/>
              </w:rPr>
              <w:t>EEG structured reporting</w:t>
            </w:r>
          </w:p>
        </w:tc>
        <w:tc>
          <w:tcPr>
            <w:tcW w:type="dxa" w:w="2056"/>
            <w:vAlign w:val="top"/>
          </w:tcPr>
          <w:p>
            <w:pPr>
              <w:spacing w:after="0"/>
            </w:pPr>
            <w:r>
              <w:rPr>
                <w:sz w:val="11"/>
              </w:rPr>
              <w:t>Terminology/reporting source</w:t>
            </w:r>
          </w:p>
        </w:tc>
        <w:tc>
          <w:tcPr>
            <w:tcW w:type="dxa" w:w="2056"/>
            <w:vAlign w:val="top"/>
          </w:tcPr>
          <w:p>
            <w:pPr>
              <w:spacing w:after="0"/>
            </w:pPr>
            <w:r>
              <w:rPr>
                <w:sz w:val="11"/>
              </w:rPr>
              <w:t>PARTIAL</w:t>
            </w:r>
          </w:p>
        </w:tc>
        <w:tc>
          <w:tcPr>
            <w:tcW w:type="dxa" w:w="2056"/>
            <w:vAlign w:val="top"/>
          </w:tcPr>
          <w:p>
            <w:pPr>
              <w:spacing w:after="0"/>
            </w:pPr>
            <w:r>
              <w:rPr>
                <w:sz w:val="11"/>
              </w:rPr>
              <w:t>Detailed term tree not frozen.</w:t>
            </w:r>
          </w:p>
        </w:tc>
      </w:tr>
      <w:tr>
        <w:tc>
          <w:tcPr>
            <w:tcW w:type="dxa" w:w="2056"/>
            <w:vAlign w:val="top"/>
          </w:tcPr>
          <w:p>
            <w:pPr>
              <w:spacing w:after="0"/>
            </w:pPr>
            <w:r>
              <w:rPr>
                <w:sz w:val="11"/>
              </w:rPr>
              <w:t>RxNorm</w:t>
            </w:r>
          </w:p>
        </w:tc>
        <w:tc>
          <w:tcPr>
            <w:tcW w:type="dxa" w:w="2056"/>
            <w:vAlign w:val="top"/>
          </w:tcPr>
          <w:p>
            <w:pPr>
              <w:spacing w:after="0"/>
            </w:pPr>
            <w:r>
              <w:rPr>
                <w:sz w:val="11"/>
              </w:rPr>
              <w:t>Medication normalization</w:t>
            </w:r>
          </w:p>
        </w:tc>
        <w:tc>
          <w:tcPr>
            <w:tcW w:type="dxa" w:w="2056"/>
            <w:vAlign w:val="top"/>
          </w:tcPr>
          <w:p>
            <w:pPr>
              <w:spacing w:after="0"/>
            </w:pPr>
            <w:r>
              <w:rPr>
                <w:sz w:val="11"/>
              </w:rPr>
              <w:t>Normalize clinical drug names/identifiers</w:t>
            </w:r>
          </w:p>
        </w:tc>
        <w:tc>
          <w:tcPr>
            <w:tcW w:type="dxa" w:w="2056"/>
            <w:vAlign w:val="top"/>
          </w:tcPr>
          <w:p>
            <w:pPr>
              <w:spacing w:after="0"/>
            </w:pPr>
            <w:r>
              <w:rPr>
                <w:sz w:val="11"/>
              </w:rPr>
              <w:t>METHOD FROZEN</w:t>
            </w:r>
          </w:p>
        </w:tc>
        <w:tc>
          <w:tcPr>
            <w:tcW w:type="dxa" w:w="2056"/>
            <w:vAlign w:val="top"/>
          </w:tcPr>
          <w:p>
            <w:pPr>
              <w:spacing w:after="0"/>
            </w:pPr>
            <w:r>
              <w:rPr>
                <w:sz w:val="11"/>
              </w:rPr>
              <w:t>Exact RXCUIs must be looked up from a pinned release; never generated from memory.</w:t>
            </w:r>
          </w:p>
        </w:tc>
      </w:tr>
      <w:tr>
        <w:tc>
          <w:tcPr>
            <w:tcW w:type="dxa" w:w="2056"/>
            <w:vAlign w:val="top"/>
          </w:tcPr>
          <w:p>
            <w:pPr>
              <w:spacing w:after="0"/>
            </w:pPr>
            <w:r>
              <w:rPr>
                <w:sz w:val="11"/>
              </w:rPr>
              <w:t>EpSO3.1</w:t>
            </w:r>
          </w:p>
        </w:tc>
        <w:tc>
          <w:tcPr>
            <w:tcW w:type="dxa" w:w="2056"/>
            <w:vAlign w:val="top"/>
          </w:tcPr>
          <w:p>
            <w:pPr>
              <w:spacing w:after="0"/>
            </w:pPr>
            <w:r>
              <w:rPr>
                <w:sz w:val="11"/>
              </w:rPr>
              <w:t>Epilepsy ontology</w:t>
            </w:r>
          </w:p>
        </w:tc>
        <w:tc>
          <w:tcPr>
            <w:tcW w:type="dxa" w:w="2056"/>
            <w:vAlign w:val="top"/>
          </w:tcPr>
          <w:p>
            <w:pPr>
              <w:spacing w:after="0"/>
            </w:pPr>
            <w:r>
              <w:rPr>
                <w:sz w:val="11"/>
              </w:rPr>
              <w:t>Potential formal ontology mapping</w:t>
            </w:r>
          </w:p>
        </w:tc>
        <w:tc>
          <w:tcPr>
            <w:tcW w:type="dxa" w:w="2056"/>
            <w:vAlign w:val="top"/>
          </w:tcPr>
          <w:p>
            <w:pPr>
              <w:spacing w:after="0"/>
            </w:pPr>
            <w:r>
              <w:rPr>
                <w:sz w:val="11"/>
              </w:rPr>
              <w:t>BLOCKED</w:t>
            </w:r>
          </w:p>
        </w:tc>
        <w:tc>
          <w:tcPr>
            <w:tcW w:type="dxa" w:w="2056"/>
            <w:vAlign w:val="top"/>
          </w:tcPr>
          <w:p>
            <w:pPr>
              <w:spacing w:after="0"/>
            </w:pPr>
            <w:r>
              <w:rPr>
                <w:sz w:val="11"/>
              </w:rPr>
              <w:t>Version 3.1 existence/scope verified; exact class URIs/predicates must be extracted from OWL/CSV before use.</w:t>
            </w:r>
          </w:p>
        </w:tc>
      </w:tr>
      <w:tr>
        <w:tc>
          <w:tcPr>
            <w:tcW w:type="dxa" w:w="2056"/>
            <w:vAlign w:val="top"/>
          </w:tcPr>
          <w:p>
            <w:pPr>
              <w:spacing w:after="0"/>
            </w:pPr>
            <w:r>
              <w:rPr>
                <w:sz w:val="11"/>
              </w:rPr>
              <w:t>NINDS-CDE</w:t>
            </w:r>
          </w:p>
        </w:tc>
        <w:tc>
          <w:tcPr>
            <w:tcW w:type="dxa" w:w="2056"/>
            <w:vAlign w:val="top"/>
          </w:tcPr>
          <w:p>
            <w:pPr>
              <w:spacing w:after="0"/>
            </w:pPr>
            <w:r>
              <w:rPr>
                <w:sz w:val="11"/>
              </w:rPr>
              <w:t>Epilepsy Common Data Elements</w:t>
            </w:r>
          </w:p>
        </w:tc>
        <w:tc>
          <w:tcPr>
            <w:tcW w:type="dxa" w:w="2056"/>
            <w:vAlign w:val="top"/>
          </w:tcPr>
          <w:p>
            <w:pPr>
              <w:spacing w:after="0"/>
            </w:pPr>
            <w:r>
              <w:rPr>
                <w:sz w:val="11"/>
              </w:rPr>
              <w:t>Potential research-variable crosswalk</w:t>
            </w:r>
          </w:p>
        </w:tc>
        <w:tc>
          <w:tcPr>
            <w:tcW w:type="dxa" w:w="2056"/>
            <w:vAlign w:val="top"/>
          </w:tcPr>
          <w:p>
            <w:pPr>
              <w:spacing w:after="0"/>
            </w:pPr>
            <w:r>
              <w:rPr>
                <w:sz w:val="11"/>
              </w:rPr>
              <w:t>BLOCKED</w:t>
            </w:r>
          </w:p>
        </w:tc>
        <w:tc>
          <w:tcPr>
            <w:tcW w:type="dxa" w:w="2056"/>
            <w:vAlign w:val="top"/>
          </w:tcPr>
          <w:p>
            <w:pPr>
              <w:spacing w:after="0"/>
            </w:pPr>
            <w:r>
              <w:rPr>
                <w:sz w:val="11"/>
              </w:rPr>
              <w:t>Exact revision/CDE IDs/permissible values not frozen.</w:t>
            </w:r>
          </w:p>
        </w:tc>
      </w:tr>
      <w:tr>
        <w:tc>
          <w:tcPr>
            <w:tcW w:type="dxa" w:w="2056"/>
            <w:vAlign w:val="top"/>
          </w:tcPr>
          <w:p>
            <w:pPr>
              <w:spacing w:after="0"/>
            </w:pPr>
            <w:r>
              <w:rPr>
                <w:sz w:val="11"/>
              </w:rPr>
              <w:t>RadLex</w:t>
            </w:r>
          </w:p>
        </w:tc>
        <w:tc>
          <w:tcPr>
            <w:tcW w:type="dxa" w:w="2056"/>
            <w:vAlign w:val="top"/>
          </w:tcPr>
          <w:p>
            <w:pPr>
              <w:spacing w:after="0"/>
            </w:pPr>
            <w:r>
              <w:rPr>
                <w:sz w:val="11"/>
              </w:rPr>
              <w:t>Radiology terminology</w:t>
            </w:r>
          </w:p>
        </w:tc>
        <w:tc>
          <w:tcPr>
            <w:tcW w:type="dxa" w:w="2056"/>
            <w:vAlign w:val="top"/>
          </w:tcPr>
          <w:p>
            <w:pPr>
              <w:spacing w:after="0"/>
            </w:pPr>
            <w:r>
              <w:rPr>
                <w:sz w:val="11"/>
              </w:rPr>
              <w:t>Potential MRI terminology normalization</w:t>
            </w:r>
          </w:p>
        </w:tc>
        <w:tc>
          <w:tcPr>
            <w:tcW w:type="dxa" w:w="2056"/>
            <w:vAlign w:val="top"/>
          </w:tcPr>
          <w:p>
            <w:pPr>
              <w:spacing w:after="0"/>
            </w:pPr>
            <w:r>
              <w:rPr>
                <w:sz w:val="11"/>
              </w:rPr>
              <w:t>BLOCKED</w:t>
            </w:r>
          </w:p>
        </w:tc>
        <w:tc>
          <w:tcPr>
            <w:tcW w:type="dxa" w:w="2056"/>
            <w:vAlign w:val="top"/>
          </w:tcPr>
          <w:p>
            <w:pPr>
              <w:spacing w:after="0"/>
            </w:pPr>
            <w:r>
              <w:rPr>
                <w:sz w:val="11"/>
              </w:rPr>
              <w:t>No exact epilepsy MRI subset/mappings frozen.</w:t>
            </w:r>
          </w:p>
        </w:tc>
      </w:tr>
    </w:tbl>
    <w:p/>
    <w:p>
      <w:pPr>
        <w:pStyle w:val="Heading1"/>
      </w:pPr>
      <w:r>
        <w:t>12. Explicit blockers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2"/>
              </w:rPr>
              <w:t>ID</w:t>
            </w:r>
          </w:p>
        </w:tc>
        <w:tc>
          <w:tcPr>
            <w:tcW w:type="dxa" w:w="2056"/>
            <w:shd w:fill="D9EAF7"/>
          </w:tcPr>
          <w:p>
            <w:r>
              <w:rPr>
                <w:b/>
                <w:sz w:val="12"/>
              </w:rPr>
              <w:t>Item</w:t>
            </w:r>
          </w:p>
        </w:tc>
        <w:tc>
          <w:tcPr>
            <w:tcW w:type="dxa" w:w="2056"/>
            <w:shd w:fill="D9EAF7"/>
          </w:tcPr>
          <w:p>
            <w:r>
              <w:rPr>
                <w:b/>
                <w:sz w:val="12"/>
              </w:rPr>
              <w:t>Reason</w:t>
            </w:r>
          </w:p>
        </w:tc>
        <w:tc>
          <w:tcPr>
            <w:tcW w:type="dxa" w:w="2056"/>
            <w:shd w:fill="D9EAF7"/>
          </w:tcPr>
          <w:p>
            <w:r>
              <w:rPr>
                <w:b/>
                <w:sz w:val="12"/>
              </w:rPr>
              <w:t>Policy</w:t>
            </w:r>
          </w:p>
        </w:tc>
        <w:tc>
          <w:tcPr>
            <w:tcW w:type="dxa" w:w="2056"/>
            <w:shd w:fill="D9EAF7"/>
          </w:tcPr>
          <w:p>
            <w:r>
              <w:rPr>
                <w:b/>
                <w:sz w:val="12"/>
              </w:rPr>
              <w:t>Priority</w:t>
            </w:r>
          </w:p>
        </w:tc>
      </w:tr>
      <w:tr>
        <w:tc>
          <w:tcPr>
            <w:tcW w:type="dxa" w:w="2056"/>
            <w:vAlign w:val="top"/>
          </w:tcPr>
          <w:p>
            <w:pPr>
              <w:spacing w:after="0"/>
            </w:pPr>
            <w:r>
              <w:rPr>
                <w:sz w:val="11"/>
              </w:rPr>
              <w:t>B01</w:t>
            </w:r>
          </w:p>
        </w:tc>
        <w:tc>
          <w:tcPr>
            <w:tcW w:type="dxa" w:w="2056"/>
            <w:vAlign w:val="top"/>
          </w:tcPr>
          <w:p>
            <w:pPr>
              <w:spacing w:after="0"/>
            </w:pPr>
            <w:r>
              <w:rPr>
                <w:sz w:val="11"/>
              </w:rPr>
              <w:t>EpSO exact class URIs/predicates</w:t>
            </w:r>
          </w:p>
        </w:tc>
        <w:tc>
          <w:tcPr>
            <w:tcW w:type="dxa" w:w="2056"/>
            <w:vAlign w:val="top"/>
          </w:tcPr>
          <w:p>
            <w:pPr>
              <w:spacing w:after="0"/>
            </w:pPr>
            <w:r>
              <w:rPr>
                <w:sz w:val="11"/>
              </w:rPr>
              <w:t>Authoritative artifact not node-by-node extracted into this evidence package.</w:t>
            </w:r>
          </w:p>
        </w:tc>
        <w:tc>
          <w:tcPr>
            <w:tcW w:type="dxa" w:w="2056"/>
            <w:vAlign w:val="top"/>
          </w:tcPr>
          <w:p>
            <w:pPr>
              <w:spacing w:after="0"/>
            </w:pPr>
            <w:r>
              <w:rPr>
                <w:sz w:val="11"/>
              </w:rPr>
              <w:t>No EpSO IDs in gold or generation.</w:t>
            </w:r>
          </w:p>
        </w:tc>
        <w:tc>
          <w:tcPr>
            <w:tcW w:type="dxa" w:w="2056"/>
            <w:vAlign w:val="top"/>
          </w:tcPr>
          <w:p>
            <w:pPr>
              <w:spacing w:after="0"/>
            </w:pPr>
            <w:r>
              <w:rPr>
                <w:sz w:val="11"/>
              </w:rPr>
              <w:t>HIGH</w:t>
            </w:r>
          </w:p>
        </w:tc>
      </w:tr>
      <w:tr>
        <w:tc>
          <w:tcPr>
            <w:tcW w:type="dxa" w:w="2056"/>
            <w:vAlign w:val="top"/>
          </w:tcPr>
          <w:p>
            <w:pPr>
              <w:spacing w:after="0"/>
            </w:pPr>
            <w:r>
              <w:rPr>
                <w:sz w:val="11"/>
              </w:rPr>
              <w:t>B02</w:t>
            </w:r>
          </w:p>
        </w:tc>
        <w:tc>
          <w:tcPr>
            <w:tcW w:type="dxa" w:w="2056"/>
            <w:vAlign w:val="top"/>
          </w:tcPr>
          <w:p>
            <w:pPr>
              <w:spacing w:after="0"/>
            </w:pPr>
            <w:r>
              <w:rPr>
                <w:sz w:val="11"/>
              </w:rPr>
              <w:t>NINDS exact CDE IDs/permissible values</w:t>
            </w:r>
          </w:p>
        </w:tc>
        <w:tc>
          <w:tcPr>
            <w:tcW w:type="dxa" w:w="2056"/>
            <w:vAlign w:val="top"/>
          </w:tcPr>
          <w:p>
            <w:pPr>
              <w:spacing w:after="0"/>
            </w:pPr>
            <w:r>
              <w:rPr>
                <w:sz w:val="11"/>
              </w:rPr>
              <w:t>Exact release/revision rows not frozen.</w:t>
            </w:r>
          </w:p>
        </w:tc>
        <w:tc>
          <w:tcPr>
            <w:tcW w:type="dxa" w:w="2056"/>
            <w:vAlign w:val="top"/>
          </w:tcPr>
          <w:p>
            <w:pPr>
              <w:spacing w:after="0"/>
            </w:pPr>
            <w:r>
              <w:rPr>
                <w:sz w:val="11"/>
              </w:rPr>
              <w:t>No NINDS IDs/value claims.</w:t>
            </w:r>
          </w:p>
        </w:tc>
        <w:tc>
          <w:tcPr>
            <w:tcW w:type="dxa" w:w="2056"/>
            <w:vAlign w:val="top"/>
          </w:tcPr>
          <w:p>
            <w:pPr>
              <w:spacing w:after="0"/>
            </w:pPr>
            <w:r>
              <w:rPr>
                <w:sz w:val="11"/>
              </w:rPr>
              <w:t>HIGH</w:t>
            </w:r>
          </w:p>
        </w:tc>
      </w:tr>
      <w:tr>
        <w:tc>
          <w:tcPr>
            <w:tcW w:type="dxa" w:w="2056"/>
            <w:vAlign w:val="top"/>
          </w:tcPr>
          <w:p>
            <w:pPr>
              <w:spacing w:after="0"/>
            </w:pPr>
            <w:r>
              <w:rPr>
                <w:sz w:val="11"/>
              </w:rPr>
              <w:t>B03</w:t>
            </w:r>
          </w:p>
        </w:tc>
        <w:tc>
          <w:tcPr>
            <w:tcW w:type="dxa" w:w="2056"/>
            <w:vAlign w:val="top"/>
          </w:tcPr>
          <w:p>
            <w:pPr>
              <w:spacing w:after="0"/>
            </w:pPr>
            <w:r>
              <w:rPr>
                <w:sz w:val="11"/>
              </w:rPr>
              <w:t>Detailed SCORE term hierarchy</w:t>
            </w:r>
          </w:p>
        </w:tc>
        <w:tc>
          <w:tcPr>
            <w:tcW w:type="dxa" w:w="2056"/>
            <w:vAlign w:val="top"/>
          </w:tcPr>
          <w:p>
            <w:pPr>
              <w:spacing w:after="0"/>
            </w:pPr>
            <w:r>
              <w:rPr>
                <w:sz w:val="11"/>
              </w:rPr>
              <w:t>Only publication-level framework/modules are frozen.</w:t>
            </w:r>
          </w:p>
        </w:tc>
        <w:tc>
          <w:tcPr>
            <w:tcW w:type="dxa" w:w="2056"/>
            <w:vAlign w:val="top"/>
          </w:tcPr>
          <w:p>
            <w:pPr>
              <w:spacing w:after="0"/>
            </w:pPr>
            <w:r>
              <w:rPr>
                <w:sz w:val="11"/>
              </w:rPr>
              <w:t>Preserve EEG source wording or verified mappings only.</w:t>
            </w:r>
          </w:p>
        </w:tc>
        <w:tc>
          <w:tcPr>
            <w:tcW w:type="dxa" w:w="2056"/>
            <w:vAlign w:val="top"/>
          </w:tcPr>
          <w:p>
            <w:pPr>
              <w:spacing w:after="0"/>
            </w:pPr>
            <w:r>
              <w:rPr>
                <w:sz w:val="11"/>
              </w:rPr>
              <w:t>HIGH</w:t>
            </w:r>
          </w:p>
        </w:tc>
      </w:tr>
      <w:tr>
        <w:tc>
          <w:tcPr>
            <w:tcW w:type="dxa" w:w="2056"/>
            <w:vAlign w:val="top"/>
          </w:tcPr>
          <w:p>
            <w:pPr>
              <w:spacing w:after="0"/>
            </w:pPr>
            <w:r>
              <w:rPr>
                <w:sz w:val="11"/>
              </w:rPr>
              <w:t>B04</w:t>
            </w:r>
          </w:p>
        </w:tc>
        <w:tc>
          <w:tcPr>
            <w:tcW w:type="dxa" w:w="2056"/>
            <w:vAlign w:val="top"/>
          </w:tcPr>
          <w:p>
            <w:pPr>
              <w:spacing w:after="0"/>
            </w:pPr>
            <w:r>
              <w:rPr>
                <w:sz w:val="11"/>
              </w:rPr>
              <w:t>MRI lesion ontology</w:t>
            </w:r>
          </w:p>
        </w:tc>
        <w:tc>
          <w:tcPr>
            <w:tcW w:type="dxa" w:w="2056"/>
            <w:vAlign w:val="top"/>
          </w:tcPr>
          <w:p>
            <w:pPr>
              <w:spacing w:after="0"/>
            </w:pPr>
            <w:r>
              <w:rPr>
                <w:sz w:val="11"/>
              </w:rPr>
              <w:t>No authoritative epilepsy-radiology value set selected/extracted.</w:t>
            </w:r>
          </w:p>
        </w:tc>
        <w:tc>
          <w:tcPr>
            <w:tcW w:type="dxa" w:w="2056"/>
            <w:vAlign w:val="top"/>
          </w:tcPr>
          <w:p>
            <w:pPr>
              <w:spacing w:after="0"/>
            </w:pPr>
            <w:r>
              <w:rPr>
                <w:sz w:val="11"/>
              </w:rPr>
              <w:t>Preserve source wording; no invented lesion taxonomy.</w:t>
            </w:r>
          </w:p>
        </w:tc>
        <w:tc>
          <w:tcPr>
            <w:tcW w:type="dxa" w:w="2056"/>
            <w:vAlign w:val="top"/>
          </w:tcPr>
          <w:p>
            <w:pPr>
              <w:spacing w:after="0"/>
            </w:pPr>
            <w:r>
              <w:rPr>
                <w:sz w:val="11"/>
              </w:rPr>
              <w:t>HIGH</w:t>
            </w:r>
          </w:p>
        </w:tc>
      </w:tr>
      <w:tr>
        <w:tc>
          <w:tcPr>
            <w:tcW w:type="dxa" w:w="2056"/>
            <w:vAlign w:val="top"/>
          </w:tcPr>
          <w:p>
            <w:pPr>
              <w:spacing w:after="0"/>
            </w:pPr>
            <w:r>
              <w:rPr>
                <w:sz w:val="11"/>
              </w:rPr>
              <w:t>B05</w:t>
            </w:r>
          </w:p>
        </w:tc>
        <w:tc>
          <w:tcPr>
            <w:tcW w:type="dxa" w:w="2056"/>
            <w:vAlign w:val="top"/>
          </w:tcPr>
          <w:p>
            <w:pPr>
              <w:spacing w:after="0"/>
            </w:pPr>
            <w:r>
              <w:rPr>
                <w:sz w:val="11"/>
              </w:rPr>
              <w:t>ILAE 2025 full descriptor glossary implementation</w:t>
            </w:r>
          </w:p>
        </w:tc>
        <w:tc>
          <w:tcPr>
            <w:tcW w:type="dxa" w:w="2056"/>
            <w:vAlign w:val="top"/>
          </w:tcPr>
          <w:p>
            <w:pPr>
              <w:spacing w:after="0"/>
            </w:pPr>
            <w:r>
              <w:rPr>
                <w:sz w:val="11"/>
              </w:rPr>
              <w:t>Table-1 hierarchy is frozen; complete descriptor implementation not.</w:t>
            </w:r>
          </w:p>
        </w:tc>
        <w:tc>
          <w:tcPr>
            <w:tcW w:type="dxa" w:w="2056"/>
            <w:vAlign w:val="top"/>
          </w:tcPr>
          <w:p>
            <w:pPr>
              <w:spacing w:after="0"/>
            </w:pPr>
            <w:r>
              <w:rPr>
                <w:sz w:val="11"/>
              </w:rPr>
              <w:t>No detailed descriptor normalization beyond verified concepts.</w:t>
            </w:r>
          </w:p>
        </w:tc>
        <w:tc>
          <w:tcPr>
            <w:tcW w:type="dxa" w:w="2056"/>
            <w:vAlign w:val="top"/>
          </w:tcPr>
          <w:p>
            <w:pPr>
              <w:spacing w:after="0"/>
            </w:pPr>
            <w:r>
              <w:rPr>
                <w:sz w:val="11"/>
              </w:rPr>
              <w:t>MEDIUM</w:t>
            </w:r>
          </w:p>
        </w:tc>
      </w:tr>
      <w:tr>
        <w:tc>
          <w:tcPr>
            <w:tcW w:type="dxa" w:w="2056"/>
            <w:vAlign w:val="top"/>
          </w:tcPr>
          <w:p>
            <w:pPr>
              <w:spacing w:after="0"/>
            </w:pPr>
            <w:r>
              <w:rPr>
                <w:sz w:val="11"/>
              </w:rPr>
              <w:t>B06</w:t>
            </w:r>
          </w:p>
        </w:tc>
        <w:tc>
          <w:tcPr>
            <w:tcW w:type="dxa" w:w="2056"/>
            <w:vAlign w:val="top"/>
          </w:tcPr>
          <w:p>
            <w:pPr>
              <w:spacing w:after="0"/>
            </w:pPr>
            <w:r>
              <w:rPr>
                <w:sz w:val="11"/>
              </w:rPr>
              <w:t>Syndrome computational diagnosis</w:t>
            </w:r>
          </w:p>
        </w:tc>
        <w:tc>
          <w:tcPr>
            <w:tcW w:type="dxa" w:w="2056"/>
            <w:vAlign w:val="top"/>
          </w:tcPr>
          <w:p>
            <w:pPr>
              <w:spacing w:after="0"/>
            </w:pPr>
            <w:r>
              <w:rPr>
                <w:sz w:val="11"/>
              </w:rPr>
              <w:t>Syndrome-specific criteria not fully extracted.</w:t>
            </w:r>
          </w:p>
        </w:tc>
        <w:tc>
          <w:tcPr>
            <w:tcW w:type="dxa" w:w="2056"/>
            <w:vAlign w:val="top"/>
          </w:tcPr>
          <w:p>
            <w:pPr>
              <w:spacing w:after="0"/>
            </w:pPr>
            <w:r>
              <w:rPr>
                <w:sz w:val="11"/>
              </w:rPr>
              <w:t>Direct syndrome mentions only.</w:t>
            </w:r>
          </w:p>
        </w:tc>
        <w:tc>
          <w:tcPr>
            <w:tcW w:type="dxa" w:w="2056"/>
            <w:vAlign w:val="top"/>
          </w:tcPr>
          <w:p>
            <w:pPr>
              <w:spacing w:after="0"/>
            </w:pPr>
            <w:r>
              <w:rPr>
                <w:sz w:val="11"/>
              </w:rPr>
              <w:t>HIGH</w:t>
            </w:r>
          </w:p>
        </w:tc>
      </w:tr>
      <w:tr>
        <w:tc>
          <w:tcPr>
            <w:tcW w:type="dxa" w:w="2056"/>
            <w:vAlign w:val="top"/>
          </w:tcPr>
          <w:p>
            <w:pPr>
              <w:spacing w:after="0"/>
            </w:pPr>
            <w:r>
              <w:rPr>
                <w:sz w:val="11"/>
              </w:rPr>
              <w:t>B07</w:t>
            </w:r>
          </w:p>
        </w:tc>
        <w:tc>
          <w:tcPr>
            <w:tcW w:type="dxa" w:w="2056"/>
            <w:vAlign w:val="top"/>
          </w:tcPr>
          <w:p>
            <w:pPr>
              <w:spacing w:after="0"/>
            </w:pPr>
            <w:r>
              <w:rPr>
                <w:sz w:val="11"/>
              </w:rPr>
              <w:t>Universal certainty ontology</w:t>
            </w:r>
          </w:p>
        </w:tc>
        <w:tc>
          <w:tcPr>
            <w:tcW w:type="dxa" w:w="2056"/>
            <w:vAlign w:val="top"/>
          </w:tcPr>
          <w:p>
            <w:pPr>
              <w:spacing w:after="0"/>
            </w:pPr>
            <w:r>
              <w:rPr>
                <w:sz w:val="11"/>
              </w:rPr>
              <w:t>Published certainty schemes are domain/method specific.</w:t>
            </w:r>
          </w:p>
        </w:tc>
        <w:tc>
          <w:tcPr>
            <w:tcW w:type="dxa" w:w="2056"/>
            <w:vAlign w:val="top"/>
          </w:tcPr>
          <w:p>
            <w:pPr>
              <w:spacing w:after="0"/>
            </w:pPr>
            <w:r>
              <w:rPr>
                <w:sz w:val="11"/>
              </w:rPr>
              <w:t>Preserve hedging/polarity; no universal certainty score.</w:t>
            </w:r>
          </w:p>
        </w:tc>
        <w:tc>
          <w:tcPr>
            <w:tcW w:type="dxa" w:w="2056"/>
            <w:vAlign w:val="top"/>
          </w:tcPr>
          <w:p>
            <w:pPr>
              <w:spacing w:after="0"/>
            </w:pPr>
            <w:r>
              <w:rPr>
                <w:sz w:val="11"/>
              </w:rPr>
              <w:t>MEDIUM</w:t>
            </w:r>
          </w:p>
        </w:tc>
      </w:tr>
      <w:tr>
        <w:tc>
          <w:tcPr>
            <w:tcW w:type="dxa" w:w="2056"/>
            <w:vAlign w:val="top"/>
          </w:tcPr>
          <w:p>
            <w:pPr>
              <w:spacing w:after="0"/>
            </w:pPr>
            <w:r>
              <w:rPr>
                <w:sz w:val="11"/>
              </w:rPr>
              <w:t>B08</w:t>
            </w:r>
          </w:p>
        </w:tc>
        <w:tc>
          <w:tcPr>
            <w:tcW w:type="dxa" w:w="2056"/>
            <w:vAlign w:val="top"/>
          </w:tcPr>
          <w:p>
            <w:pPr>
              <w:spacing w:after="0"/>
            </w:pPr>
            <w:r>
              <w:rPr>
                <w:sz w:val="11"/>
              </w:rPr>
              <w:t>Universal temporality ontology</w:t>
            </w:r>
          </w:p>
        </w:tc>
        <w:tc>
          <w:tcPr>
            <w:tcW w:type="dxa" w:w="2056"/>
            <w:vAlign w:val="top"/>
          </w:tcPr>
          <w:p>
            <w:pPr>
              <w:spacing w:after="0"/>
            </w:pPr>
            <w:r>
              <w:rPr>
                <w:sz w:val="11"/>
              </w:rPr>
              <w:t>ExECT/SZFreq support temporal attributes but no universal MedAI ontology frozen.</w:t>
            </w:r>
          </w:p>
        </w:tc>
        <w:tc>
          <w:tcPr>
            <w:tcW w:type="dxa" w:w="2056"/>
            <w:vAlign w:val="top"/>
          </w:tcPr>
          <w:p>
            <w:pPr>
              <w:spacing w:after="0"/>
            </w:pPr>
            <w:r>
              <w:rPr>
                <w:sz w:val="11"/>
              </w:rPr>
              <w:t>Retain source-supported temporal fields.</w:t>
            </w:r>
          </w:p>
        </w:tc>
        <w:tc>
          <w:tcPr>
            <w:tcW w:type="dxa" w:w="2056"/>
            <w:vAlign w:val="top"/>
          </w:tcPr>
          <w:p>
            <w:pPr>
              <w:spacing w:after="0"/>
            </w:pPr>
            <w:r>
              <w:rPr>
                <w:sz w:val="11"/>
              </w:rPr>
              <w:t>MEDIUM</w:t>
            </w:r>
          </w:p>
        </w:tc>
      </w:tr>
      <w:tr>
        <w:tc>
          <w:tcPr>
            <w:tcW w:type="dxa" w:w="2056"/>
            <w:vAlign w:val="top"/>
          </w:tcPr>
          <w:p>
            <w:pPr>
              <w:spacing w:after="0"/>
            </w:pPr>
            <w:r>
              <w:rPr>
                <w:sz w:val="11"/>
              </w:rPr>
              <w:t>B09</w:t>
            </w:r>
          </w:p>
        </w:tc>
        <w:tc>
          <w:tcPr>
            <w:tcW w:type="dxa" w:w="2056"/>
            <w:vAlign w:val="top"/>
          </w:tcPr>
          <w:p>
            <w:pPr>
              <w:spacing w:after="0"/>
            </w:pPr>
            <w:r>
              <w:rPr>
                <w:sz w:val="11"/>
              </w:rPr>
              <w:t>DRE computational derivation</w:t>
            </w:r>
          </w:p>
        </w:tc>
        <w:tc>
          <w:tcPr>
            <w:tcW w:type="dxa" w:w="2056"/>
            <w:vAlign w:val="top"/>
          </w:tcPr>
          <w:p>
            <w:pPr>
              <w:spacing w:after="0"/>
            </w:pPr>
            <w:r>
              <w:rPr>
                <w:sz w:val="11"/>
              </w:rPr>
              <w:t>Consensus definition verified, but full trial-by-trial machine rule not yet validated/frozen.</w:t>
            </w:r>
          </w:p>
        </w:tc>
        <w:tc>
          <w:tcPr>
            <w:tcW w:type="dxa" w:w="2056"/>
            <w:vAlign w:val="top"/>
          </w:tcPr>
          <w:p>
            <w:pPr>
              <w:spacing w:after="0"/>
            </w:pPr>
            <w:r>
              <w:rPr>
                <w:sz w:val="11"/>
              </w:rPr>
              <w:t>No criteria-derived DRE gold.</w:t>
            </w:r>
          </w:p>
        </w:tc>
        <w:tc>
          <w:tcPr>
            <w:tcW w:type="dxa" w:w="2056"/>
            <w:vAlign w:val="top"/>
          </w:tcPr>
          <w:p>
            <w:pPr>
              <w:spacing w:after="0"/>
            </w:pPr>
            <w:r>
              <w:rPr>
                <w:sz w:val="11"/>
              </w:rPr>
              <w:t>HIGH</w:t>
            </w:r>
          </w:p>
        </w:tc>
      </w:tr>
      <w:tr>
        <w:tc>
          <w:tcPr>
            <w:tcW w:type="dxa" w:w="2056"/>
            <w:vAlign w:val="top"/>
          </w:tcPr>
          <w:p>
            <w:pPr>
              <w:spacing w:after="0"/>
            </w:pPr>
            <w:r>
              <w:rPr>
                <w:sz w:val="11"/>
              </w:rPr>
              <w:t>B10</w:t>
            </w:r>
          </w:p>
        </w:tc>
        <w:tc>
          <w:tcPr>
            <w:tcW w:type="dxa" w:w="2056"/>
            <w:vAlign w:val="top"/>
          </w:tcPr>
          <w:p>
            <w:pPr>
              <w:spacing w:after="0"/>
            </w:pPr>
            <w:r>
              <w:rPr>
                <w:sz w:val="11"/>
              </w:rPr>
              <w:t>Concordance/localization synthesis</w:t>
            </w:r>
          </w:p>
        </w:tc>
        <w:tc>
          <w:tcPr>
            <w:tcW w:type="dxa" w:w="2056"/>
            <w:vAlign w:val="top"/>
          </w:tcPr>
          <w:p>
            <w:pPr>
              <w:spacing w:after="0"/>
            </w:pPr>
            <w:r>
              <w:rPr>
                <w:sz w:val="11"/>
              </w:rPr>
              <w:t>Project construct without frozen external standard.</w:t>
            </w:r>
          </w:p>
        </w:tc>
        <w:tc>
          <w:tcPr>
            <w:tcW w:type="dxa" w:w="2056"/>
            <w:vAlign w:val="top"/>
          </w:tcPr>
          <w:p>
            <w:pPr>
              <w:spacing w:after="0"/>
            </w:pPr>
            <w:r>
              <w:rPr>
                <w:sz w:val="11"/>
              </w:rPr>
              <w:t>No gold endpoint/value set yet.</w:t>
            </w:r>
          </w:p>
        </w:tc>
        <w:tc>
          <w:tcPr>
            <w:tcW w:type="dxa" w:w="2056"/>
            <w:vAlign w:val="top"/>
          </w:tcPr>
          <w:p>
            <w:pPr>
              <w:spacing w:after="0"/>
            </w:pPr>
            <w:r>
              <w:rPr>
                <w:sz w:val="11"/>
              </w:rPr>
              <w:t>HIGH</w:t>
            </w:r>
          </w:p>
        </w:tc>
      </w:tr>
      <w:tr>
        <w:tc>
          <w:tcPr>
            <w:tcW w:type="dxa" w:w="2056"/>
            <w:vAlign w:val="top"/>
          </w:tcPr>
          <w:p>
            <w:pPr>
              <w:spacing w:after="0"/>
            </w:pPr>
            <w:r>
              <w:rPr>
                <w:sz w:val="11"/>
              </w:rPr>
              <w:t>B11</w:t>
            </w:r>
          </w:p>
        </w:tc>
        <w:tc>
          <w:tcPr>
            <w:tcW w:type="dxa" w:w="2056"/>
            <w:vAlign w:val="top"/>
          </w:tcPr>
          <w:p>
            <w:pPr>
              <w:spacing w:after="0"/>
            </w:pPr>
            <w:r>
              <w:rPr>
                <w:sz w:val="11"/>
              </w:rPr>
              <w:t>RxNorm exact ASM RXCUIs</w:t>
            </w:r>
          </w:p>
        </w:tc>
        <w:tc>
          <w:tcPr>
            <w:tcW w:type="dxa" w:w="2056"/>
            <w:vAlign w:val="top"/>
          </w:tcPr>
          <w:p>
            <w:pPr>
              <w:spacing w:after="0"/>
            </w:pPr>
            <w:r>
              <w:rPr>
                <w:sz w:val="11"/>
              </w:rPr>
              <w:t>RXCUI assignments are release-specific and must be looked up, not guessed.</w:t>
            </w:r>
          </w:p>
        </w:tc>
        <w:tc>
          <w:tcPr>
            <w:tcW w:type="dxa" w:w="2056"/>
            <w:vAlign w:val="top"/>
          </w:tcPr>
          <w:p>
            <w:pPr>
              <w:spacing w:after="0"/>
            </w:pPr>
            <w:r>
              <w:rPr>
                <w:sz w:val="11"/>
              </w:rPr>
              <w:t>Pin release and programmatically resolve before production.</w:t>
            </w:r>
          </w:p>
        </w:tc>
        <w:tc>
          <w:tcPr>
            <w:tcW w:type="dxa" w:w="2056"/>
            <w:vAlign w:val="top"/>
          </w:tcPr>
          <w:p>
            <w:pPr>
              <w:spacing w:after="0"/>
            </w:pPr>
            <w:r>
              <w:rPr>
                <w:sz w:val="11"/>
              </w:rPr>
              <w:t>HIGH</w:t>
            </w:r>
          </w:p>
        </w:tc>
      </w:tr>
    </w:tbl>
    <w:p/>
    <w:p>
      <w:pPr>
        <w:pStyle w:val="Heading1"/>
      </w:pPr>
      <w:r>
        <w:t>13. Generation readiness gate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3"/>
              </w:rPr>
              <w:t>Capability</w:t>
            </w:r>
          </w:p>
        </w:tc>
        <w:tc>
          <w:tcPr>
            <w:tcW w:type="dxa" w:w="3427"/>
            <w:shd w:fill="D9EAF7"/>
          </w:tcPr>
          <w:p>
            <w:r>
              <w:rPr>
                <w:b/>
                <w:sz w:val="13"/>
              </w:rPr>
              <w:t>Gate</w:t>
            </w:r>
          </w:p>
        </w:tc>
        <w:tc>
          <w:tcPr>
            <w:tcW w:type="dxa" w:w="3427"/>
            <w:shd w:fill="D9EAF7"/>
          </w:tcPr>
          <w:p>
            <w:r>
              <w:rPr>
                <w:b/>
                <w:sz w:val="13"/>
              </w:rPr>
              <w:t>Basis</w:t>
            </w:r>
          </w:p>
        </w:tc>
      </w:tr>
      <w:tr>
        <w:tc>
          <w:tcPr>
            <w:tcW w:type="dxa" w:w="3427"/>
            <w:vAlign w:val="top"/>
          </w:tcPr>
          <w:p>
            <w:pPr>
              <w:spacing w:after="0"/>
            </w:pPr>
            <w:r>
              <w:rPr>
                <w:sz w:val="12"/>
              </w:rPr>
              <w:t>Direct epilepsy type</w:t>
            </w:r>
          </w:p>
        </w:tc>
        <w:tc>
          <w:tcPr>
            <w:tcW w:type="dxa" w:w="3427"/>
            <w:vAlign w:val="top"/>
          </w:tcPr>
          <w:p>
            <w:pPr>
              <w:spacing w:after="0"/>
            </w:pPr>
            <w:r>
              <w:rPr>
                <w:sz w:val="12"/>
              </w:rPr>
              <w:t>READY</w:t>
            </w:r>
          </w:p>
        </w:tc>
        <w:tc>
          <w:tcPr>
            <w:tcW w:type="dxa" w:w="3427"/>
            <w:vAlign w:val="top"/>
          </w:tcPr>
          <w:p>
            <w:pPr>
              <w:spacing w:after="0"/>
            </w:pPr>
            <w:r>
              <w:rPr>
                <w:sz w:val="12"/>
              </w:rPr>
              <w:t>ILAE17 source-defined categories frozen.</w:t>
            </w:r>
          </w:p>
        </w:tc>
      </w:tr>
      <w:tr>
        <w:tc>
          <w:tcPr>
            <w:tcW w:type="dxa" w:w="3427"/>
            <w:vAlign w:val="top"/>
          </w:tcPr>
          <w:p>
            <w:pPr>
              <w:spacing w:after="0"/>
            </w:pPr>
            <w:r>
              <w:rPr>
                <w:sz w:val="12"/>
              </w:rPr>
              <w:t>Direct seizure main class/type</w:t>
            </w:r>
          </w:p>
        </w:tc>
        <w:tc>
          <w:tcPr>
            <w:tcW w:type="dxa" w:w="3427"/>
            <w:vAlign w:val="top"/>
          </w:tcPr>
          <w:p>
            <w:pPr>
              <w:spacing w:after="0"/>
            </w:pPr>
            <w:r>
              <w:rPr>
                <w:sz w:val="12"/>
              </w:rPr>
              <w:t>READY</w:t>
            </w:r>
          </w:p>
        </w:tc>
        <w:tc>
          <w:tcPr>
            <w:tcW w:type="dxa" w:w="3427"/>
            <w:vAlign w:val="top"/>
          </w:tcPr>
          <w:p>
            <w:pPr>
              <w:spacing w:after="0"/>
            </w:pPr>
            <w:r>
              <w:rPr>
                <w:sz w:val="12"/>
              </w:rPr>
              <w:t>ILAE25 hierarchy frozen in Phase 3B.</w:t>
            </w:r>
          </w:p>
        </w:tc>
      </w:tr>
      <w:tr>
        <w:tc>
          <w:tcPr>
            <w:tcW w:type="dxa" w:w="3427"/>
            <w:vAlign w:val="top"/>
          </w:tcPr>
          <w:p>
            <w:pPr>
              <w:spacing w:after="0"/>
            </w:pPr>
            <w:r>
              <w:rPr>
                <w:sz w:val="12"/>
              </w:rPr>
              <w:t>Direct etiology category</w:t>
            </w:r>
          </w:p>
        </w:tc>
        <w:tc>
          <w:tcPr>
            <w:tcW w:type="dxa" w:w="3427"/>
            <w:vAlign w:val="top"/>
          </w:tcPr>
          <w:p>
            <w:pPr>
              <w:spacing w:after="0"/>
            </w:pPr>
            <w:r>
              <w:rPr>
                <w:sz w:val="12"/>
              </w:rPr>
              <w:t>READY</w:t>
            </w:r>
          </w:p>
        </w:tc>
        <w:tc>
          <w:tcPr>
            <w:tcW w:type="dxa" w:w="3427"/>
            <w:vAlign w:val="top"/>
          </w:tcPr>
          <w:p>
            <w:pPr>
              <w:spacing w:after="0"/>
            </w:pPr>
            <w:r>
              <w:rPr>
                <w:sz w:val="12"/>
              </w:rPr>
              <w:t>ILAE17 six categories frozen.</w:t>
            </w:r>
          </w:p>
        </w:tc>
      </w:tr>
      <w:tr>
        <w:tc>
          <w:tcPr>
            <w:tcW w:type="dxa" w:w="3427"/>
            <w:vAlign w:val="top"/>
          </w:tcPr>
          <w:p>
            <w:pPr>
              <w:spacing w:after="0"/>
            </w:pPr>
            <w:r>
              <w:rPr>
                <w:sz w:val="12"/>
              </w:rPr>
              <w:t>Direct syndrome mention</w:t>
            </w:r>
          </w:p>
        </w:tc>
        <w:tc>
          <w:tcPr>
            <w:tcW w:type="dxa" w:w="3427"/>
            <w:vAlign w:val="top"/>
          </w:tcPr>
          <w:p>
            <w:pPr>
              <w:spacing w:after="0"/>
            </w:pPr>
            <w:r>
              <w:rPr>
                <w:sz w:val="12"/>
              </w:rPr>
              <w:t>READY_WITH_LIMIT</w:t>
            </w:r>
          </w:p>
        </w:tc>
        <w:tc>
          <w:tcPr>
            <w:tcW w:type="dxa" w:w="3427"/>
            <w:vAlign w:val="top"/>
          </w:tcPr>
          <w:p>
            <w:pPr>
              <w:spacing w:after="0"/>
            </w:pPr>
            <w:r>
              <w:rPr>
                <w:sz w:val="12"/>
              </w:rPr>
              <w:t>No computational syndrome derivation.</w:t>
            </w:r>
          </w:p>
        </w:tc>
      </w:tr>
      <w:tr>
        <w:tc>
          <w:tcPr>
            <w:tcW w:type="dxa" w:w="3427"/>
            <w:vAlign w:val="top"/>
          </w:tcPr>
          <w:p>
            <w:pPr>
              <w:spacing w:after="0"/>
            </w:pPr>
            <w:r>
              <w:rPr>
                <w:sz w:val="12"/>
              </w:rPr>
              <w:t>Seizure frequency</w:t>
            </w:r>
          </w:p>
        </w:tc>
        <w:tc>
          <w:tcPr>
            <w:tcW w:type="dxa" w:w="3427"/>
            <w:vAlign w:val="top"/>
          </w:tcPr>
          <w:p>
            <w:pPr>
              <w:spacing w:after="0"/>
            </w:pPr>
            <w:r>
              <w:rPr>
                <w:sz w:val="12"/>
              </w:rPr>
              <w:t>READY_CORE</w:t>
            </w:r>
          </w:p>
        </w:tc>
        <w:tc>
          <w:tcPr>
            <w:tcW w:type="dxa" w:w="3427"/>
            <w:vAlign w:val="top"/>
          </w:tcPr>
          <w:p>
            <w:pPr>
              <w:spacing w:after="0"/>
            </w:pPr>
            <w:r>
              <w:rPr>
                <w:sz w:val="12"/>
              </w:rPr>
              <w:t>Explicit quantity/range + temporal anchor only.</w:t>
            </w:r>
          </w:p>
        </w:tc>
      </w:tr>
      <w:tr>
        <w:tc>
          <w:tcPr>
            <w:tcW w:type="dxa" w:w="3427"/>
            <w:vAlign w:val="top"/>
          </w:tcPr>
          <w:p>
            <w:pPr>
              <w:spacing w:after="0"/>
            </w:pPr>
            <w:r>
              <w:rPr>
                <w:sz w:val="12"/>
              </w:rPr>
              <w:t>EEG report extraction</w:t>
            </w:r>
          </w:p>
        </w:tc>
        <w:tc>
          <w:tcPr>
            <w:tcW w:type="dxa" w:w="3427"/>
            <w:vAlign w:val="top"/>
          </w:tcPr>
          <w:p>
            <w:pPr>
              <w:spacing w:after="0"/>
            </w:pPr>
            <w:r>
              <w:rPr>
                <w:sz w:val="12"/>
              </w:rPr>
              <w:t>READY_WITH_LIMIT</w:t>
            </w:r>
          </w:p>
        </w:tc>
        <w:tc>
          <w:tcPr>
            <w:tcW w:type="dxa" w:w="3427"/>
            <w:vAlign w:val="top"/>
          </w:tcPr>
          <w:p>
            <w:pPr>
              <w:spacing w:after="0"/>
            </w:pPr>
            <w:r>
              <w:rPr>
                <w:sz w:val="12"/>
              </w:rPr>
              <w:t>Direct findings; detailed SCORE normalization blocked.</w:t>
            </w:r>
          </w:p>
        </w:tc>
      </w:tr>
      <w:tr>
        <w:tc>
          <w:tcPr>
            <w:tcW w:type="dxa" w:w="3427"/>
            <w:vAlign w:val="top"/>
          </w:tcPr>
          <w:p>
            <w:pPr>
              <w:spacing w:after="0"/>
            </w:pPr>
            <w:r>
              <w:rPr>
                <w:sz w:val="12"/>
              </w:rPr>
              <w:t>MRI report extraction</w:t>
            </w:r>
          </w:p>
        </w:tc>
        <w:tc>
          <w:tcPr>
            <w:tcW w:type="dxa" w:w="3427"/>
            <w:vAlign w:val="top"/>
          </w:tcPr>
          <w:p>
            <w:pPr>
              <w:spacing w:after="0"/>
            </w:pPr>
            <w:r>
              <w:rPr>
                <w:sz w:val="12"/>
              </w:rPr>
              <w:t>READY_WITH_LIMIT</w:t>
            </w:r>
          </w:p>
        </w:tc>
        <w:tc>
          <w:tcPr>
            <w:tcW w:type="dxa" w:w="3427"/>
            <w:vAlign w:val="top"/>
          </w:tcPr>
          <w:p>
            <w:pPr>
              <w:spacing w:after="0"/>
            </w:pPr>
            <w:r>
              <w:rPr>
                <w:sz w:val="12"/>
              </w:rPr>
              <w:t>Direct report wording/results; lesion ontology blocked.</w:t>
            </w:r>
          </w:p>
        </w:tc>
      </w:tr>
      <w:tr>
        <w:tc>
          <w:tcPr>
            <w:tcW w:type="dxa" w:w="3427"/>
            <w:vAlign w:val="top"/>
          </w:tcPr>
          <w:p>
            <w:pPr>
              <w:spacing w:after="0"/>
            </w:pPr>
            <w:r>
              <w:rPr>
                <w:sz w:val="12"/>
              </w:rPr>
              <w:t>Medication extraction</w:t>
            </w:r>
          </w:p>
        </w:tc>
        <w:tc>
          <w:tcPr>
            <w:tcW w:type="dxa" w:w="3427"/>
            <w:vAlign w:val="top"/>
          </w:tcPr>
          <w:p>
            <w:pPr>
              <w:spacing w:after="0"/>
            </w:pPr>
            <w:r>
              <w:rPr>
                <w:sz w:val="12"/>
              </w:rPr>
              <w:t>READY_WITH_LIMIT</w:t>
            </w:r>
          </w:p>
        </w:tc>
        <w:tc>
          <w:tcPr>
            <w:tcW w:type="dxa" w:w="3427"/>
            <w:vAlign w:val="top"/>
          </w:tcPr>
          <w:p>
            <w:pPr>
              <w:spacing w:after="0"/>
            </w:pPr>
            <w:r>
              <w:rPr>
                <w:sz w:val="12"/>
              </w:rPr>
              <w:t>Direct medication/dose; RxNorm IDs require pinned lookup.</w:t>
            </w:r>
          </w:p>
        </w:tc>
      </w:tr>
      <w:tr>
        <w:tc>
          <w:tcPr>
            <w:tcW w:type="dxa" w:w="3427"/>
            <w:vAlign w:val="top"/>
          </w:tcPr>
          <w:p>
            <w:pPr>
              <w:spacing w:after="0"/>
            </w:pPr>
            <w:r>
              <w:rPr>
                <w:sz w:val="12"/>
              </w:rPr>
              <w:t>DRE direct mention</w:t>
            </w:r>
          </w:p>
        </w:tc>
        <w:tc>
          <w:tcPr>
            <w:tcW w:type="dxa" w:w="3427"/>
            <w:vAlign w:val="top"/>
          </w:tcPr>
          <w:p>
            <w:pPr>
              <w:spacing w:after="0"/>
            </w:pPr>
            <w:r>
              <w:rPr>
                <w:sz w:val="12"/>
              </w:rPr>
              <w:t>READY</w:t>
            </w:r>
          </w:p>
        </w:tc>
        <w:tc>
          <w:tcPr>
            <w:tcW w:type="dxa" w:w="3427"/>
            <w:vAlign w:val="top"/>
          </w:tcPr>
          <w:p>
            <w:pPr>
              <w:spacing w:after="0"/>
            </w:pPr>
            <w:r>
              <w:rPr>
                <w:sz w:val="12"/>
              </w:rPr>
              <w:t>Direct clinician statement only.</w:t>
            </w:r>
          </w:p>
        </w:tc>
      </w:tr>
      <w:tr>
        <w:tc>
          <w:tcPr>
            <w:tcW w:type="dxa" w:w="3427"/>
            <w:vAlign w:val="top"/>
          </w:tcPr>
          <w:p>
            <w:pPr>
              <w:spacing w:after="0"/>
            </w:pPr>
            <w:r>
              <w:rPr>
                <w:sz w:val="12"/>
              </w:rPr>
              <w:t>DRE derivation</w:t>
            </w:r>
          </w:p>
        </w:tc>
        <w:tc>
          <w:tcPr>
            <w:tcW w:type="dxa" w:w="3427"/>
            <w:vAlign w:val="top"/>
          </w:tcPr>
          <w:p>
            <w:pPr>
              <w:spacing w:after="0"/>
            </w:pPr>
            <w:r>
              <w:rPr>
                <w:sz w:val="12"/>
              </w:rPr>
              <w:t>NOT_READY</w:t>
            </w:r>
          </w:p>
        </w:tc>
        <w:tc>
          <w:tcPr>
            <w:tcW w:type="dxa" w:w="3427"/>
            <w:vAlign w:val="top"/>
          </w:tcPr>
          <w:p>
            <w:pPr>
              <w:spacing w:after="0"/>
            </w:pPr>
            <w:r>
              <w:rPr>
                <w:sz w:val="12"/>
              </w:rPr>
              <w:t>Computational rule blocked.</w:t>
            </w:r>
          </w:p>
        </w:tc>
      </w:tr>
      <w:tr>
        <w:tc>
          <w:tcPr>
            <w:tcW w:type="dxa" w:w="3427"/>
            <w:vAlign w:val="top"/>
          </w:tcPr>
          <w:p>
            <w:pPr>
              <w:spacing w:after="0"/>
            </w:pPr>
            <w:r>
              <w:rPr>
                <w:sz w:val="12"/>
              </w:rPr>
              <w:t>Synthetic document generation using source-grounded core fields</w:t>
            </w:r>
          </w:p>
        </w:tc>
        <w:tc>
          <w:tcPr>
            <w:tcW w:type="dxa" w:w="3427"/>
            <w:vAlign w:val="top"/>
          </w:tcPr>
          <w:p>
            <w:pPr>
              <w:spacing w:after="0"/>
            </w:pPr>
            <w:r>
              <w:rPr>
                <w:sz w:val="12"/>
              </w:rPr>
              <w:t>PILOT_READY</w:t>
            </w:r>
          </w:p>
        </w:tc>
        <w:tc>
          <w:tcPr>
            <w:tcW w:type="dxa" w:w="3427"/>
            <w:vAlign w:val="top"/>
          </w:tcPr>
          <w:p>
            <w:pPr>
              <w:spacing w:after="0"/>
            </w:pPr>
            <w:r>
              <w:rPr>
                <w:sz w:val="12"/>
              </w:rPr>
              <w:t>May generate only from READY/READY_WITH_LIMIT fields without inventing blocked values.</w:t>
            </w:r>
          </w:p>
        </w:tc>
      </w:tr>
      <w:tr>
        <w:tc>
          <w:tcPr>
            <w:tcW w:type="dxa" w:w="3427"/>
            <w:vAlign w:val="top"/>
          </w:tcPr>
          <w:p>
            <w:pPr>
              <w:spacing w:after="0"/>
            </w:pPr>
            <w:r>
              <w:rPr>
                <w:sz w:val="12"/>
              </w:rPr>
              <w:t>Full EpiSynth generation</w:t>
            </w:r>
          </w:p>
        </w:tc>
        <w:tc>
          <w:tcPr>
            <w:tcW w:type="dxa" w:w="3427"/>
            <w:vAlign w:val="top"/>
          </w:tcPr>
          <w:p>
            <w:pPr>
              <w:spacing w:after="0"/>
            </w:pPr>
            <w:r>
              <w:rPr>
                <w:sz w:val="12"/>
              </w:rPr>
              <w:t>NOT_READY</w:t>
            </w:r>
          </w:p>
        </w:tc>
        <w:tc>
          <w:tcPr>
            <w:tcW w:type="dxa" w:w="3427"/>
            <w:vAlign w:val="top"/>
          </w:tcPr>
          <w:p>
            <w:pPr>
              <w:spacing w:after="0"/>
            </w:pPr>
            <w:r>
              <w:rPr>
                <w:sz w:val="12"/>
              </w:rPr>
              <w:t>High-priority blockers remain.</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Current release decision</w:t>
              <w:br/>
            </w:r>
            <w:r>
              <w:t>PILOT-READY for source-grounded core phenotypes; NOT READY for unrestricted EpiSynth generation. A pilot synthetic patient can use frozen epilepsy type, seizure class/type, etiology, direct syndrome mention, explicit seizure frequency, source-grounded EEG/MRI statements, and medication text. It must not fabricate blocked canonical labels.</w:t>
            </w:r>
          </w:p>
        </w:tc>
      </w:tr>
    </w:tbl>
    <w:p/>
    <w:p>
      <w:pPr>
        <w:pStyle w:val="Heading1"/>
      </w:pPr>
      <w:r>
        <w:t>14. Consequence for the next phase</w:t>
      </w:r>
    </w:p>
    <w:p>
      <w:r>
        <w:t>The next phase can now be Phase 5 — Synthetic Patient &amp; Event Model, but only as a constrained pilot. Its latent truth generator must import this gate registry and refuse to generate blocked canonical fields. This lets us test patient/event/document architecture without pretending unresolved terminology has been solved.</w:t>
      </w:r>
    </w:p>
    <w:p>
      <w:pPr>
        <w:pStyle w:val="Heading1"/>
      </w:pPr>
      <w:r>
        <w:t>15. Deliverables</w:t>
      </w:r>
    </w:p>
    <w:p>
      <w:pPr>
        <w:pStyle w:val="ListBullet"/>
      </w:pPr>
      <w:r>
        <w:t>MedAI_Phase3D_4_1_Application_Profile_v1.0.csv</w:t>
      </w:r>
    </w:p>
    <w:p>
      <w:pPr>
        <w:pStyle w:val="ListBullet"/>
      </w:pPr>
      <w:r>
        <w:t>MedAI_Phase3D_4_1_Frozen_Value_Sets_v1.0.csv</w:t>
      </w:r>
    </w:p>
    <w:p>
      <w:pPr>
        <w:pStyle w:val="ListBullet"/>
      </w:pPr>
      <w:r>
        <w:t>MedAI_Phase3D_4_1_Source_Mapping_Registry_v1.0.csv</w:t>
      </w:r>
    </w:p>
    <w:p>
      <w:pPr>
        <w:pStyle w:val="ListBullet"/>
      </w:pPr>
      <w:r>
        <w:t>MedAI_Phase3D_4_1_Blocked_Items_v1.0.csv</w:t>
      </w:r>
    </w:p>
    <w:p>
      <w:pPr>
        <w:pStyle w:val="ListBullet"/>
      </w:pPr>
      <w:r>
        <w:t>MedAI_Phase3D_4_1_Generation_Gate_v1.0.csv</w:t>
      </w:r>
    </w:p>
    <w:p>
      <w:pPr>
        <w:pStyle w:val="ListBullet"/>
      </w:pPr>
      <w:r>
        <w:t>MedAI_Phase3D_4_1_Application_Profile_v1.0.json</w:t>
      </w:r>
    </w:p>
    <w:p>
      <w:pPr>
        <w:pStyle w:val="Heading1"/>
      </w:pPr>
      <w:r>
        <w:t>16. Source basis</w:t>
      </w:r>
    </w:p>
    <w:p>
      <w:r>
        <w:t>1. Beniczky S, Trinka E, Wirrell E, et al. Updated classification of epileptic seizures. Epilepsia. 2025. DOI 10.1111/epi.18338.</w:t>
      </w:r>
    </w:p>
    <w:p>
      <w:r>
        <w:t>2. Scheffer IE, Berkovic S, Capovilla G, et al. ILAE classification of the epilepsies. Epilepsia. 2017;58:512–521. DOI 10.1111/epi.13709.</w:t>
      </w:r>
    </w:p>
    <w:p>
      <w:r>
        <w:t>3. ILAE Task Force on Nosology and Definitions. Classification and definition of epilepsy syndromes. Epilepsia position-paper series. 2022.</w:t>
      </w:r>
    </w:p>
    <w:p>
      <w:r>
        <w:t>4. Fonferko-Shadrach B, et al. Annotation of epilepsy clinic letters for natural language processing. J Biomed Semantics. 2024;15:17. DOI 10.1186/s13326-024-00316-z.</w:t>
      </w:r>
    </w:p>
    <w:p>
      <w:r>
        <w:t>5. Beniczky S, Aurlien H, Brøgger JC, et al. SCORE — Second version. Clin Neurophysiol. 2017;128:2334–2346. DOI 10.1016/j.clinph.2017.07.418.</w:t>
      </w:r>
    </w:p>
    <w:p>
      <w:r>
        <w:t>6. Kwan P, Arzimanoglou A, Berg AT, et al. Definition of drug resistant epilepsy. Epilepsia. 2010;51:1069–1077. DOI 10.1111/j.1528-1167.2009.02397.x.</w:t>
      </w:r>
    </w:p>
    <w:p>
      <w:r>
        <w:t>7. U.S. National Library of Medicine. RxNorm documentation.</w:t>
      </w:r>
    </w:p>
    <w:p>
      <w:r>
        <w:t>8. NCBO BioPortal. Epilepsy and Seizure Ontology (EpSO), version 3.1, released/uploaded 29 May 2025.</w:t>
      </w:r>
    </w:p>
    <w:p>
      <w:r>
        <w:t>9. MedAI Phase 3B, Phase 3C and Phase 4 internal evidence/provenance artifacts.</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