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b/>
          <w:color w:val="17365D"/>
          <w:sz w:val="68"/>
        </w:rPr>
        <w:t>MedAI</w:t>
      </w:r>
    </w:p>
    <w:p>
      <w:pPr>
        <w:jc w:val="center"/>
      </w:pPr>
      <w:r>
        <w:rPr>
          <w:b/>
          <w:color w:val="2F5597"/>
          <w:sz w:val="42"/>
        </w:rPr>
        <w:t>Phase 3 — Epilepsy Semantic Data Dictionary</w:t>
      </w:r>
    </w:p>
    <w:p>
      <w:pPr>
        <w:jc w:val="center"/>
      </w:pPr>
      <w:r>
        <w:rPr>
          <w:sz w:val="22"/>
        </w:rPr>
        <w:t>Version 1.0 • 25 September 2026</w:t>
        <w:br/>
        <w:t>Definition-level semantic source of truth for phenotype generation, annotation and evaluation</w:t>
      </w:r>
    </w:p>
    <w:tbl>
      <w:tblPr>
        <w:tblStyle w:val="TableGrid"/>
        <w:tblW w:type="auto" w:w="0"/>
        <w:tblLook w:firstColumn="1" w:firstRow="1" w:lastColumn="0" w:lastRow="0" w:noHBand="0" w:noVBand="1" w:val="04A0"/>
      </w:tblPr>
      <w:tblGrid>
        <w:gridCol w:w="10166"/>
      </w:tblGrid>
      <w:tr>
        <w:tc>
          <w:tcPr>
            <w:tcW w:type="dxa" w:w="10166"/>
            <w:shd w:fill="EEF4FB"/>
          </w:tcPr>
          <w:p>
            <w:r>
              <w:rPr>
                <w:b/>
                <w:color w:val="17365D"/>
              </w:rPr>
              <w:t>Core principle</w:t>
              <w:br/>
            </w:r>
            <w:r>
              <w:t>A synthetic phenotype value may be generated only when its semantic meaning, authority, operational status and evidence requirements are known. Source-defined clinical concepts are kept distinct from MedAI operational states. Unresolved definitions are not silently completed.</w:t>
            </w:r>
          </w:p>
        </w:tc>
      </w:tr>
    </w:tbl>
    <w:p/>
    <w:p>
      <w:r>
        <w:br w:type="page"/>
      </w:r>
    </w:p>
    <w:p>
      <w:pPr>
        <w:pStyle w:val="Heading1"/>
      </w:pPr>
      <w:r>
        <w:t>1. Semantic evidence statuses</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sz w:val="14"/>
              </w:rPr>
              <w:t>Status</w:t>
            </w:r>
          </w:p>
        </w:tc>
        <w:tc>
          <w:tcPr>
            <w:tcW w:type="dxa" w:w="5083"/>
            <w:shd w:fill="D9EAF7"/>
          </w:tcPr>
          <w:p>
            <w:r>
              <w:rPr>
                <w:b/>
                <w:sz w:val="14"/>
              </w:rPr>
              <w:t>Meaning</w:t>
            </w:r>
          </w:p>
        </w:tc>
      </w:tr>
      <w:tr>
        <w:tc>
          <w:tcPr>
            <w:tcW w:type="dxa" w:w="5083"/>
            <w:vAlign w:val="top"/>
          </w:tcPr>
          <w:p>
            <w:pPr>
              <w:spacing w:after="0"/>
            </w:pPr>
            <w:r>
              <w:rPr>
                <w:sz w:val="14"/>
              </w:rPr>
              <w:t>SOURCE-DEFINED</w:t>
            </w:r>
          </w:p>
        </w:tc>
        <w:tc>
          <w:tcPr>
            <w:tcW w:type="dxa" w:w="5083"/>
            <w:vAlign w:val="top"/>
          </w:tcPr>
          <w:p>
            <w:pPr>
              <w:spacing w:after="0"/>
            </w:pPr>
            <w:r>
              <w:rPr>
                <w:sz w:val="14"/>
              </w:rPr>
              <w:t>Established by authoritative source.</w:t>
            </w:r>
          </w:p>
        </w:tc>
      </w:tr>
      <w:tr>
        <w:tc>
          <w:tcPr>
            <w:tcW w:type="dxa" w:w="5083"/>
            <w:vAlign w:val="top"/>
          </w:tcPr>
          <w:p>
            <w:pPr>
              <w:spacing w:after="0"/>
            </w:pPr>
            <w:r>
              <w:rPr>
                <w:sz w:val="14"/>
              </w:rPr>
              <w:t>SOURCE-CONCEPT</w:t>
            </w:r>
          </w:p>
        </w:tc>
        <w:tc>
          <w:tcPr>
            <w:tcW w:type="dxa" w:w="5083"/>
            <w:vAlign w:val="top"/>
          </w:tcPr>
          <w:p>
            <w:pPr>
              <w:spacing w:after="0"/>
            </w:pPr>
            <w:r>
              <w:rPr>
                <w:sz w:val="14"/>
              </w:rPr>
              <w:t>Authoritative concept exists; implementation/value set still needs freezing.</w:t>
            </w:r>
          </w:p>
        </w:tc>
      </w:tr>
      <w:tr>
        <w:tc>
          <w:tcPr>
            <w:tcW w:type="dxa" w:w="5083"/>
            <w:vAlign w:val="top"/>
          </w:tcPr>
          <w:p>
            <w:pPr>
              <w:spacing w:after="0"/>
            </w:pPr>
            <w:r>
              <w:rPr>
                <w:sz w:val="14"/>
              </w:rPr>
              <w:t>HARMONIZED</w:t>
            </w:r>
          </w:p>
        </w:tc>
        <w:tc>
          <w:tcPr>
            <w:tcW w:type="dxa" w:w="5083"/>
            <w:vAlign w:val="top"/>
          </w:tcPr>
          <w:p>
            <w:pPr>
              <w:spacing w:after="0"/>
            </w:pPr>
            <w:r>
              <w:rPr>
                <w:sz w:val="14"/>
              </w:rPr>
              <w:t>Representation combines compatible published sources.</w:t>
            </w:r>
          </w:p>
        </w:tc>
      </w:tr>
      <w:tr>
        <w:tc>
          <w:tcPr>
            <w:tcW w:type="dxa" w:w="5083"/>
            <w:vAlign w:val="top"/>
          </w:tcPr>
          <w:p>
            <w:pPr>
              <w:spacing w:after="0"/>
            </w:pPr>
            <w:r>
              <w:rPr>
                <w:sz w:val="14"/>
              </w:rPr>
              <w:t>MEDAI-ADAPTED</w:t>
            </w:r>
          </w:p>
        </w:tc>
        <w:tc>
          <w:tcPr>
            <w:tcW w:type="dxa" w:w="5083"/>
            <w:vAlign w:val="top"/>
          </w:tcPr>
          <w:p>
            <w:pPr>
              <w:spacing w:after="0"/>
            </w:pPr>
            <w:r>
              <w:rPr>
                <w:sz w:val="14"/>
              </w:rPr>
              <w:t>Source concept represented computationally for MedAI.</w:t>
            </w:r>
          </w:p>
        </w:tc>
      </w:tr>
      <w:tr>
        <w:tc>
          <w:tcPr>
            <w:tcW w:type="dxa" w:w="5083"/>
            <w:vAlign w:val="top"/>
          </w:tcPr>
          <w:p>
            <w:pPr>
              <w:spacing w:after="0"/>
            </w:pPr>
            <w:r>
              <w:rPr>
                <w:sz w:val="14"/>
              </w:rPr>
              <w:t>MEDAI-PROPOSED</w:t>
            </w:r>
          </w:p>
        </w:tc>
        <w:tc>
          <w:tcPr>
            <w:tcW w:type="dxa" w:w="5083"/>
            <w:vAlign w:val="top"/>
          </w:tcPr>
          <w:p>
            <w:pPr>
              <w:spacing w:after="0"/>
            </w:pPr>
            <w:r>
              <w:rPr>
                <w:sz w:val="14"/>
              </w:rPr>
              <w:t>Project-specific operational category/field.</w:t>
            </w:r>
          </w:p>
        </w:tc>
      </w:tr>
      <w:tr>
        <w:tc>
          <w:tcPr>
            <w:tcW w:type="dxa" w:w="5083"/>
            <w:vAlign w:val="top"/>
          </w:tcPr>
          <w:p>
            <w:pPr>
              <w:spacing w:after="0"/>
            </w:pPr>
            <w:r>
              <w:rPr>
                <w:sz w:val="14"/>
              </w:rPr>
              <w:t>UNRESOLVED</w:t>
            </w:r>
          </w:p>
        </w:tc>
        <w:tc>
          <w:tcPr>
            <w:tcW w:type="dxa" w:w="5083"/>
            <w:vAlign w:val="top"/>
          </w:tcPr>
          <w:p>
            <w:pPr>
              <w:spacing w:after="0"/>
            </w:pPr>
            <w:r>
              <w:rPr>
                <w:sz w:val="14"/>
              </w:rPr>
              <w:t>Blocked from generation until source/mapping is completed.</w:t>
            </w:r>
          </w:p>
        </w:tc>
      </w:tr>
    </w:tbl>
    <w:p/>
    <w:p>
      <w:pPr>
        <w:pStyle w:val="Heading1"/>
      </w:pPr>
      <w:r>
        <w:t>2. Canonical hierarchy</w:t>
      </w:r>
    </w:p>
    <w:p>
      <w:pPr>
        <w:pStyle w:val="ListBullet"/>
      </w:pPr>
      <w:r>
        <w:t>Seizure main class/type — ILAE 2025</w:t>
      </w:r>
    </w:p>
    <w:p>
      <w:pPr>
        <w:pStyle w:val="ListBullet"/>
      </w:pPr>
      <w:r>
        <w:t>Epilepsy type — ILAE 2017 framework</w:t>
      </w:r>
    </w:p>
    <w:p>
      <w:pPr>
        <w:pStyle w:val="ListBullet"/>
      </w:pPr>
      <w:r>
        <w:t>Epilepsy syndrome — syndrome-specific ILAE criteria</w:t>
      </w:r>
    </w:p>
    <w:p>
      <w:pPr>
        <w:pStyle w:val="ListBullet"/>
      </w:pPr>
      <w:r>
        <w:t>Etiology — ILAE 2017 categories, potentially multiple</w:t>
      </w:r>
    </w:p>
    <w:p>
      <w:pPr>
        <w:pStyle w:val="ListBullet"/>
      </w:pPr>
      <w:r>
        <w:t>MRI/EEG phenotypes — investigation assertions, not automatic diagnoses</w:t>
      </w:r>
    </w:p>
    <w:p>
      <w:pPr>
        <w:pStyle w:val="ListBullet"/>
      </w:pPr>
      <w:r>
        <w:t>Treatment/outcome — ASM exposure/trials, DRE, procedures/outcomes</w:t>
      </w:r>
    </w:p>
    <w:p>
      <w:pPr>
        <w:pStyle w:val="ListBullet"/>
      </w:pPr>
      <w:r>
        <w:t>Synthesis — localization/concordance, MedAI-proposed until validated</w:t>
      </w:r>
    </w:p>
    <w:p>
      <w:pPr>
        <w:pStyle w:val="Heading1"/>
      </w:pPr>
      <w:r>
        <w:t>3. Core phenotype dictionary</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shd w:fill="D9EAF7"/>
          </w:tcPr>
          <w:p>
            <w:r>
              <w:rPr>
                <w:b/>
                <w:sz w:val="12"/>
              </w:rPr>
              <w:t>ID</w:t>
            </w:r>
          </w:p>
        </w:tc>
        <w:tc>
          <w:tcPr>
            <w:tcW w:type="dxa" w:w="2033"/>
            <w:shd w:fill="D9EAF7"/>
          </w:tcPr>
          <w:p>
            <w:r>
              <w:rPr>
                <w:b/>
                <w:sz w:val="12"/>
              </w:rPr>
              <w:t>Variable</w:t>
            </w:r>
          </w:p>
        </w:tc>
        <w:tc>
          <w:tcPr>
            <w:tcW w:type="dxa" w:w="2033"/>
            <w:shd w:fill="D9EAF7"/>
          </w:tcPr>
          <w:p>
            <w:r>
              <w:rPr>
                <w:b/>
                <w:sz w:val="12"/>
              </w:rPr>
              <w:t>Definition</w:t>
            </w:r>
          </w:p>
        </w:tc>
        <w:tc>
          <w:tcPr>
            <w:tcW w:type="dxa" w:w="2033"/>
            <w:shd w:fill="D9EAF7"/>
          </w:tcPr>
          <w:p>
            <w:r>
              <w:rPr>
                <w:b/>
                <w:sz w:val="12"/>
              </w:rPr>
              <w:t>Authority/status</w:t>
            </w:r>
          </w:p>
        </w:tc>
        <w:tc>
          <w:tcPr>
            <w:tcW w:type="dxa" w:w="2033"/>
            <w:shd w:fill="D9EAF7"/>
          </w:tcPr>
          <w:p>
            <w:r>
              <w:rPr>
                <w:b/>
                <w:sz w:val="12"/>
              </w:rPr>
              <w:t>Boundary</w:t>
            </w:r>
          </w:p>
        </w:tc>
      </w:tr>
      <w:tr>
        <w:tc>
          <w:tcPr>
            <w:tcW w:type="dxa" w:w="2033"/>
            <w:vAlign w:val="top"/>
          </w:tcPr>
          <w:p>
            <w:pPr>
              <w:spacing w:after="0"/>
            </w:pPr>
            <w:r>
              <w:rPr>
                <w:sz w:val="11"/>
              </w:rPr>
              <w:t>EP001</w:t>
            </w:r>
          </w:p>
        </w:tc>
        <w:tc>
          <w:tcPr>
            <w:tcW w:type="dxa" w:w="2033"/>
            <w:vAlign w:val="top"/>
          </w:tcPr>
          <w:p>
            <w:pPr>
              <w:spacing w:after="0"/>
            </w:pPr>
            <w:r>
              <w:rPr>
                <w:sz w:val="11"/>
              </w:rPr>
              <w:t>Epilepsy status</w:t>
            </w:r>
          </w:p>
        </w:tc>
        <w:tc>
          <w:tcPr>
            <w:tcW w:type="dxa" w:w="2033"/>
            <w:vAlign w:val="top"/>
          </w:tcPr>
          <w:p>
            <w:pPr>
              <w:spacing w:after="0"/>
            </w:pPr>
            <w:r>
              <w:rPr>
                <w:sz w:val="11"/>
              </w:rPr>
              <w:t>Whether the record supports that the patient has epilepsy; detailed operational states are MedAI-defined and must not replace formal diagnostic criteria.</w:t>
            </w:r>
          </w:p>
        </w:tc>
        <w:tc>
          <w:tcPr>
            <w:tcW w:type="dxa" w:w="2033"/>
            <w:vAlign w:val="top"/>
          </w:tcPr>
          <w:p>
            <w:pPr>
              <w:spacing w:after="0"/>
            </w:pPr>
            <w:r>
              <w:rPr>
                <w:sz w:val="11"/>
              </w:rPr>
              <w:t>ILAE definition/classification context</w:t>
              <w:br/>
              <w:t>MEDAI-HARMONIZED</w:t>
            </w:r>
          </w:p>
        </w:tc>
        <w:tc>
          <w:tcPr>
            <w:tcW w:type="dxa" w:w="2033"/>
            <w:vAlign w:val="top"/>
          </w:tcPr>
          <w:p>
            <w:pPr>
              <w:spacing w:after="0"/>
            </w:pPr>
            <w:r>
              <w:rPr>
                <w:sz w:val="11"/>
              </w:rPr>
              <w:t>Clinician review required for operational yes/no/uncertain rules</w:t>
            </w:r>
          </w:p>
        </w:tc>
      </w:tr>
      <w:tr>
        <w:tc>
          <w:tcPr>
            <w:tcW w:type="dxa" w:w="2033"/>
            <w:vAlign w:val="top"/>
          </w:tcPr>
          <w:p>
            <w:pPr>
              <w:spacing w:after="0"/>
            </w:pPr>
            <w:r>
              <w:rPr>
                <w:sz w:val="11"/>
              </w:rPr>
              <w:t>EP002</w:t>
            </w:r>
          </w:p>
        </w:tc>
        <w:tc>
          <w:tcPr>
            <w:tcW w:type="dxa" w:w="2033"/>
            <w:vAlign w:val="top"/>
          </w:tcPr>
          <w:p>
            <w:pPr>
              <w:spacing w:after="0"/>
            </w:pPr>
            <w:r>
              <w:rPr>
                <w:sz w:val="11"/>
              </w:rPr>
              <w:t>Epilepsy type</w:t>
            </w:r>
          </w:p>
        </w:tc>
        <w:tc>
          <w:tcPr>
            <w:tcW w:type="dxa" w:w="2033"/>
            <w:vAlign w:val="top"/>
          </w:tcPr>
          <w:p>
            <w:pPr>
              <w:spacing w:after="0"/>
            </w:pPr>
            <w:r>
              <w:rPr>
                <w:sz w:val="11"/>
              </w:rPr>
              <w:t>Epilepsy-level classification applied after seizure type; the 2017 ILAE framework includes focal, generalized, combined generalized and focal, and unknown epilepsy.</w:t>
            </w:r>
          </w:p>
        </w:tc>
        <w:tc>
          <w:tcPr>
            <w:tcW w:type="dxa" w:w="2033"/>
            <w:vAlign w:val="top"/>
          </w:tcPr>
          <w:p>
            <w:pPr>
              <w:spacing w:after="0"/>
            </w:pPr>
            <w:r>
              <w:rPr>
                <w:sz w:val="11"/>
              </w:rPr>
              <w:t>ILAE</w:t>
              <w:br/>
              <w:t>SOURCE-DEFINED</w:t>
            </w:r>
          </w:p>
        </w:tc>
        <w:tc>
          <w:tcPr>
            <w:tcW w:type="dxa" w:w="2033"/>
            <w:vAlign w:val="top"/>
          </w:tcPr>
          <w:p>
            <w:pPr>
              <w:spacing w:after="0"/>
            </w:pPr>
            <w:r>
              <w:rPr>
                <w:sz w:val="11"/>
              </w:rPr>
              <w:t>Canonical epilepsy-level field; separate from seizure class/type</w:t>
            </w:r>
          </w:p>
        </w:tc>
      </w:tr>
      <w:tr>
        <w:tc>
          <w:tcPr>
            <w:tcW w:type="dxa" w:w="2033"/>
            <w:vAlign w:val="top"/>
          </w:tcPr>
          <w:p>
            <w:pPr>
              <w:spacing w:after="0"/>
            </w:pPr>
            <w:r>
              <w:rPr>
                <w:sz w:val="11"/>
              </w:rPr>
              <w:t>EP003</w:t>
            </w:r>
          </w:p>
        </w:tc>
        <w:tc>
          <w:tcPr>
            <w:tcW w:type="dxa" w:w="2033"/>
            <w:vAlign w:val="top"/>
          </w:tcPr>
          <w:p>
            <w:pPr>
              <w:spacing w:after="0"/>
            </w:pPr>
            <w:r>
              <w:rPr>
                <w:sz w:val="11"/>
              </w:rPr>
              <w:t>Epilepsy syndrome</w:t>
            </w:r>
          </w:p>
        </w:tc>
        <w:tc>
          <w:tcPr>
            <w:tcW w:type="dxa" w:w="2033"/>
            <w:vAlign w:val="top"/>
          </w:tcPr>
          <w:p>
            <w:pPr>
              <w:spacing w:after="0"/>
            </w:pPr>
            <w:r>
              <w:rPr>
                <w:sz w:val="11"/>
              </w:rPr>
              <w:t>A specific epilepsy syndrome diagnosis at the syndrome level of ILAE classification; exact syndrome criteria must come from the applicable ILAE syndrome paper.</w:t>
            </w:r>
          </w:p>
        </w:tc>
        <w:tc>
          <w:tcPr>
            <w:tcW w:type="dxa" w:w="2033"/>
            <w:vAlign w:val="top"/>
          </w:tcPr>
          <w:p>
            <w:pPr>
              <w:spacing w:after="0"/>
            </w:pPr>
            <w:r>
              <w:rPr>
                <w:sz w:val="11"/>
              </w:rPr>
              <w:t>ILAE</w:t>
              <w:br/>
              <w:t>SOURCE-CONCEPT</w:t>
            </w:r>
          </w:p>
        </w:tc>
        <w:tc>
          <w:tcPr>
            <w:tcW w:type="dxa" w:w="2033"/>
            <w:vAlign w:val="top"/>
          </w:tcPr>
          <w:p>
            <w:pPr>
              <w:spacing w:after="0"/>
            </w:pPr>
            <w:r>
              <w:rPr>
                <w:sz w:val="11"/>
              </w:rPr>
              <w:t>No free generation of syndrome labels until syndrome-specific criteria are frozen</w:t>
            </w:r>
          </w:p>
        </w:tc>
      </w:tr>
      <w:tr>
        <w:tc>
          <w:tcPr>
            <w:tcW w:type="dxa" w:w="2033"/>
            <w:vAlign w:val="top"/>
          </w:tcPr>
          <w:p>
            <w:pPr>
              <w:spacing w:after="0"/>
            </w:pPr>
            <w:r>
              <w:rPr>
                <w:sz w:val="11"/>
              </w:rPr>
              <w:t>SZ001</w:t>
            </w:r>
          </w:p>
        </w:tc>
        <w:tc>
          <w:tcPr>
            <w:tcW w:type="dxa" w:w="2033"/>
            <w:vAlign w:val="top"/>
          </w:tcPr>
          <w:p>
            <w:pPr>
              <w:spacing w:after="0"/>
            </w:pPr>
            <w:r>
              <w:rPr>
                <w:sz w:val="11"/>
              </w:rPr>
              <w:t>Seizure main class</w:t>
            </w:r>
          </w:p>
        </w:tc>
        <w:tc>
          <w:tcPr>
            <w:tcW w:type="dxa" w:w="2033"/>
            <w:vAlign w:val="top"/>
          </w:tcPr>
          <w:p>
            <w:pPr>
              <w:spacing w:after="0"/>
            </w:pPr>
            <w:r>
              <w:rPr>
                <w:sz w:val="11"/>
              </w:rPr>
              <w:t>The 2025 ILAE main seizure class: focal, generalized, unknown whether focal or generalized, or unclassified.</w:t>
            </w:r>
          </w:p>
        </w:tc>
        <w:tc>
          <w:tcPr>
            <w:tcW w:type="dxa" w:w="2033"/>
            <w:vAlign w:val="top"/>
          </w:tcPr>
          <w:p>
            <w:pPr>
              <w:spacing w:after="0"/>
            </w:pPr>
            <w:r>
              <w:rPr>
                <w:sz w:val="11"/>
              </w:rPr>
              <w:t>ILAE</w:t>
              <w:br/>
              <w:t>SOURCE-DEFINED</w:t>
            </w:r>
          </w:p>
        </w:tc>
        <w:tc>
          <w:tcPr>
            <w:tcW w:type="dxa" w:w="2033"/>
            <w:vAlign w:val="top"/>
          </w:tcPr>
          <w:p>
            <w:pPr>
              <w:spacing w:after="0"/>
            </w:pPr>
            <w:r>
              <w:rPr>
                <w:sz w:val="11"/>
              </w:rPr>
              <w:t>Canonical new synthetic taxonomy is 2025; preserve legacy mappings separately</w:t>
            </w:r>
          </w:p>
        </w:tc>
      </w:tr>
      <w:tr>
        <w:tc>
          <w:tcPr>
            <w:tcW w:type="dxa" w:w="2033"/>
            <w:vAlign w:val="top"/>
          </w:tcPr>
          <w:p>
            <w:pPr>
              <w:spacing w:after="0"/>
            </w:pPr>
            <w:r>
              <w:rPr>
                <w:sz w:val="11"/>
              </w:rPr>
              <w:t>SZ002</w:t>
            </w:r>
          </w:p>
        </w:tc>
        <w:tc>
          <w:tcPr>
            <w:tcW w:type="dxa" w:w="2033"/>
            <w:vAlign w:val="top"/>
          </w:tcPr>
          <w:p>
            <w:pPr>
              <w:spacing w:after="0"/>
            </w:pPr>
            <w:r>
              <w:rPr>
                <w:sz w:val="11"/>
              </w:rPr>
              <w:t>Seizure type</w:t>
            </w:r>
          </w:p>
        </w:tc>
        <w:tc>
          <w:tcPr>
            <w:tcW w:type="dxa" w:w="2033"/>
            <w:vAlign w:val="top"/>
          </w:tcPr>
          <w:p>
            <w:pPr>
              <w:spacing w:after="0"/>
            </w:pPr>
            <w:r>
              <w:rPr>
                <w:sz w:val="11"/>
              </w:rPr>
              <w:t>Specific seizure type below the main class in the ILAE 2025 taxonomic hierarchy.</w:t>
            </w:r>
          </w:p>
        </w:tc>
        <w:tc>
          <w:tcPr>
            <w:tcW w:type="dxa" w:w="2033"/>
            <w:vAlign w:val="top"/>
          </w:tcPr>
          <w:p>
            <w:pPr>
              <w:spacing w:after="0"/>
            </w:pPr>
            <w:r>
              <w:rPr>
                <w:sz w:val="11"/>
              </w:rPr>
              <w:t>ILAE</w:t>
              <w:br/>
              <w:t>SOURCE-DEFINED-PARTIAL</w:t>
            </w:r>
          </w:p>
        </w:tc>
        <w:tc>
          <w:tcPr>
            <w:tcW w:type="dxa" w:w="2033"/>
            <w:vAlign w:val="top"/>
          </w:tcPr>
          <w:p>
            <w:pPr>
              <w:spacing w:after="0"/>
            </w:pPr>
            <w:r>
              <w:rPr>
                <w:sz w:val="11"/>
              </w:rPr>
              <w:t>Full 21-type machine-readable value set still requires supplement-level freeze</w:t>
            </w:r>
          </w:p>
        </w:tc>
      </w:tr>
      <w:tr>
        <w:tc>
          <w:tcPr>
            <w:tcW w:type="dxa" w:w="2033"/>
            <w:vAlign w:val="top"/>
          </w:tcPr>
          <w:p>
            <w:pPr>
              <w:spacing w:after="0"/>
            </w:pPr>
            <w:r>
              <w:rPr>
                <w:sz w:val="11"/>
              </w:rPr>
              <w:t>SZ003</w:t>
            </w:r>
          </w:p>
        </w:tc>
        <w:tc>
          <w:tcPr>
            <w:tcW w:type="dxa" w:w="2033"/>
            <w:vAlign w:val="top"/>
          </w:tcPr>
          <w:p>
            <w:pPr>
              <w:spacing w:after="0"/>
            </w:pPr>
            <w:r>
              <w:rPr>
                <w:sz w:val="11"/>
              </w:rPr>
              <w:t>Consciousness</w:t>
            </w:r>
          </w:p>
        </w:tc>
        <w:tc>
          <w:tcPr>
            <w:tcW w:type="dxa" w:w="2033"/>
            <w:vAlign w:val="top"/>
          </w:tcPr>
          <w:p>
            <w:pPr>
              <w:spacing w:after="0"/>
            </w:pPr>
            <w:r>
              <w:rPr>
                <w:sz w:val="11"/>
              </w:rPr>
              <w:t>For focal and unknown-origin seizures, consciousness is a classifier operationalized by both awareness and responsiveness; it may be preserved, impaired, or undetermined.</w:t>
            </w:r>
          </w:p>
        </w:tc>
        <w:tc>
          <w:tcPr>
            <w:tcW w:type="dxa" w:w="2033"/>
            <w:vAlign w:val="top"/>
          </w:tcPr>
          <w:p>
            <w:pPr>
              <w:spacing w:after="0"/>
            </w:pPr>
            <w:r>
              <w:rPr>
                <w:sz w:val="11"/>
              </w:rPr>
              <w:t>ILAE</w:t>
              <w:br/>
              <w:t>SOURCE-DEFINED</w:t>
            </w:r>
          </w:p>
        </w:tc>
        <w:tc>
          <w:tcPr>
            <w:tcW w:type="dxa" w:w="2033"/>
            <w:vAlign w:val="top"/>
          </w:tcPr>
          <w:p>
            <w:pPr>
              <w:spacing w:after="0"/>
            </w:pPr>
            <w:r>
              <w:rPr>
                <w:sz w:val="11"/>
              </w:rPr>
              <w:t>If undetermined, ILAE classifies under parent seizure class rather than forcing preserved/impaired</w:t>
            </w:r>
          </w:p>
        </w:tc>
      </w:tr>
      <w:tr>
        <w:tc>
          <w:tcPr>
            <w:tcW w:type="dxa" w:w="2033"/>
            <w:vAlign w:val="top"/>
          </w:tcPr>
          <w:p>
            <w:pPr>
              <w:spacing w:after="0"/>
            </w:pPr>
            <w:r>
              <w:rPr>
                <w:sz w:val="11"/>
              </w:rPr>
              <w:t>SZ004</w:t>
            </w:r>
          </w:p>
        </w:tc>
        <w:tc>
          <w:tcPr>
            <w:tcW w:type="dxa" w:w="2033"/>
            <w:vAlign w:val="top"/>
          </w:tcPr>
          <w:p>
            <w:pPr>
              <w:spacing w:after="0"/>
            </w:pPr>
            <w:r>
              <w:rPr>
                <w:sz w:val="11"/>
              </w:rPr>
              <w:t>Semiology sequence</w:t>
            </w:r>
          </w:p>
        </w:tc>
        <w:tc>
          <w:tcPr>
            <w:tcW w:type="dxa" w:w="2033"/>
            <w:vAlign w:val="top"/>
          </w:tcPr>
          <w:p>
            <w:pPr>
              <w:spacing w:after="0"/>
            </w:pPr>
            <w:r>
              <w:rPr>
                <w:sz w:val="11"/>
              </w:rPr>
              <w:t>Chronological sequence of seizure signs/symptoms used as descriptors in the expanded ILAE 2025 classification.</w:t>
            </w:r>
          </w:p>
        </w:tc>
        <w:tc>
          <w:tcPr>
            <w:tcW w:type="dxa" w:w="2033"/>
            <w:vAlign w:val="top"/>
          </w:tcPr>
          <w:p>
            <w:pPr>
              <w:spacing w:after="0"/>
            </w:pPr>
            <w:r>
              <w:rPr>
                <w:sz w:val="11"/>
              </w:rPr>
              <w:t>ILAE</w:t>
              <w:br/>
              <w:t>SOURCE-DEFINED-CONCEPT</w:t>
            </w:r>
          </w:p>
        </w:tc>
        <w:tc>
          <w:tcPr>
            <w:tcW w:type="dxa" w:w="2033"/>
            <w:vAlign w:val="top"/>
          </w:tcPr>
          <w:p>
            <w:pPr>
              <w:spacing w:after="0"/>
            </w:pPr>
            <w:r>
              <w:rPr>
                <w:sz w:val="11"/>
              </w:rPr>
              <w:t>Descriptors do not replace seizure classifiers</w:t>
            </w:r>
          </w:p>
        </w:tc>
      </w:tr>
      <w:tr>
        <w:tc>
          <w:tcPr>
            <w:tcW w:type="dxa" w:w="2033"/>
            <w:vAlign w:val="top"/>
          </w:tcPr>
          <w:p>
            <w:pPr>
              <w:spacing w:after="0"/>
            </w:pPr>
            <w:r>
              <w:rPr>
                <w:sz w:val="11"/>
              </w:rPr>
              <w:t>SZ005</w:t>
            </w:r>
          </w:p>
        </w:tc>
        <w:tc>
          <w:tcPr>
            <w:tcW w:type="dxa" w:w="2033"/>
            <w:vAlign w:val="top"/>
          </w:tcPr>
          <w:p>
            <w:pPr>
              <w:spacing w:after="0"/>
            </w:pPr>
            <w:r>
              <w:rPr>
                <w:sz w:val="11"/>
              </w:rPr>
              <w:t>Seizure frequency</w:t>
            </w:r>
          </w:p>
        </w:tc>
        <w:tc>
          <w:tcPr>
            <w:tcW w:type="dxa" w:w="2033"/>
            <w:vAlign w:val="top"/>
          </w:tcPr>
          <w:p>
            <w:pPr>
              <w:spacing w:after="0"/>
            </w:pPr>
            <w:r>
              <w:rPr>
                <w:sz w:val="11"/>
              </w:rPr>
              <w:t>Structured representation of seizure-event count/range over a time denominator or interval, preserving quantitative, qualitative and temporal context.</w:t>
            </w:r>
          </w:p>
        </w:tc>
        <w:tc>
          <w:tcPr>
            <w:tcW w:type="dxa" w:w="2033"/>
            <w:vAlign w:val="top"/>
          </w:tcPr>
          <w:p>
            <w:pPr>
              <w:spacing w:after="0"/>
            </w:pPr>
            <w:r>
              <w:rPr>
                <w:sz w:val="11"/>
              </w:rPr>
              <w:t>Harmonized published annotation representation</w:t>
              <w:br/>
              <w:t>HARMONIZED</w:t>
            </w:r>
          </w:p>
        </w:tc>
        <w:tc>
          <w:tcPr>
            <w:tcW w:type="dxa" w:w="2033"/>
            <w:vAlign w:val="top"/>
          </w:tcPr>
          <w:p>
            <w:pPr>
              <w:spacing w:after="0"/>
            </w:pPr>
            <w:r>
              <w:rPr>
                <w:sz w:val="11"/>
              </w:rPr>
              <w:t>Not a single ILAE-defined categorical variable; retain source expression/evidence</w:t>
            </w:r>
          </w:p>
        </w:tc>
      </w:tr>
      <w:tr>
        <w:tc>
          <w:tcPr>
            <w:tcW w:type="dxa" w:w="2033"/>
            <w:vAlign w:val="top"/>
          </w:tcPr>
          <w:p>
            <w:pPr>
              <w:spacing w:after="0"/>
            </w:pPr>
            <w:r>
              <w:rPr>
                <w:sz w:val="11"/>
              </w:rPr>
              <w:t>ET001</w:t>
            </w:r>
          </w:p>
        </w:tc>
        <w:tc>
          <w:tcPr>
            <w:tcW w:type="dxa" w:w="2033"/>
            <w:vAlign w:val="top"/>
          </w:tcPr>
          <w:p>
            <w:pPr>
              <w:spacing w:after="0"/>
            </w:pPr>
            <w:r>
              <w:rPr>
                <w:sz w:val="11"/>
              </w:rPr>
              <w:t>Etiology class</w:t>
            </w:r>
          </w:p>
        </w:tc>
        <w:tc>
          <w:tcPr>
            <w:tcW w:type="dxa" w:w="2033"/>
            <w:vAlign w:val="top"/>
          </w:tcPr>
          <w:p>
            <w:pPr>
              <w:spacing w:after="0"/>
            </w:pPr>
            <w:r>
              <w:rPr>
                <w:sz w:val="11"/>
              </w:rPr>
              <w:t>Etiologic category considered at each stage of epilepsy diagnosis; ILAE 2017 categories include structural, genetic, infectious, metabolic, immune and unknown, and more than one category may apply.</w:t>
            </w:r>
          </w:p>
        </w:tc>
        <w:tc>
          <w:tcPr>
            <w:tcW w:type="dxa" w:w="2033"/>
            <w:vAlign w:val="top"/>
          </w:tcPr>
          <w:p>
            <w:pPr>
              <w:spacing w:after="0"/>
            </w:pPr>
            <w:r>
              <w:rPr>
                <w:sz w:val="11"/>
              </w:rPr>
              <w:t>ILAE</w:t>
              <w:br/>
              <w:t>SOURCE-DEFINED</w:t>
            </w:r>
          </w:p>
        </w:tc>
        <w:tc>
          <w:tcPr>
            <w:tcW w:type="dxa" w:w="2033"/>
            <w:vAlign w:val="top"/>
          </w:tcPr>
          <w:p>
            <w:pPr>
              <w:spacing w:after="0"/>
            </w:pPr>
            <w:r>
              <w:rPr>
                <w:sz w:val="11"/>
              </w:rPr>
              <w:t>Do not force mutually exclusive etiology if evidence supports multiple categories</w:t>
            </w:r>
          </w:p>
        </w:tc>
      </w:tr>
      <w:tr>
        <w:tc>
          <w:tcPr>
            <w:tcW w:type="dxa" w:w="2033"/>
            <w:vAlign w:val="top"/>
          </w:tcPr>
          <w:p>
            <w:pPr>
              <w:spacing w:after="0"/>
            </w:pPr>
            <w:r>
              <w:rPr>
                <w:sz w:val="11"/>
              </w:rPr>
              <w:t>ET002</w:t>
            </w:r>
          </w:p>
        </w:tc>
        <w:tc>
          <w:tcPr>
            <w:tcW w:type="dxa" w:w="2033"/>
            <w:vAlign w:val="top"/>
          </w:tcPr>
          <w:p>
            <w:pPr>
              <w:spacing w:after="0"/>
            </w:pPr>
            <w:r>
              <w:rPr>
                <w:sz w:val="11"/>
              </w:rPr>
              <w:t>Structural subtype</w:t>
            </w:r>
          </w:p>
        </w:tc>
        <w:tc>
          <w:tcPr>
            <w:tcW w:type="dxa" w:w="2033"/>
            <w:vAlign w:val="top"/>
          </w:tcPr>
          <w:p>
            <w:pPr>
              <w:spacing w:after="0"/>
            </w:pPr>
            <w:r>
              <w:rPr>
                <w:sz w:val="11"/>
              </w:rPr>
              <w:t>Specific structural abnormality considered causally relevant to epilepsy; MedAI value set must distinguish imaging-level findings from pathology-level diagnoses.</w:t>
            </w:r>
          </w:p>
        </w:tc>
        <w:tc>
          <w:tcPr>
            <w:tcW w:type="dxa" w:w="2033"/>
            <w:vAlign w:val="top"/>
          </w:tcPr>
          <w:p>
            <w:pPr>
              <w:spacing w:after="0"/>
            </w:pPr>
            <w:r>
              <w:rPr>
                <w:sz w:val="11"/>
              </w:rPr>
              <w:t>ILAE + pathology consensus</w:t>
              <w:br/>
              <w:t>HARMONIZED</w:t>
            </w:r>
          </w:p>
        </w:tc>
        <w:tc>
          <w:tcPr>
            <w:tcW w:type="dxa" w:w="2033"/>
            <w:vAlign w:val="top"/>
          </w:tcPr>
          <w:p>
            <w:pPr>
              <w:spacing w:after="0"/>
            </w:pPr>
            <w:r>
              <w:rPr>
                <w:sz w:val="11"/>
              </w:rPr>
              <w:t>HS/FCD pathology subtypes require pathology evidence</w:t>
            </w:r>
          </w:p>
        </w:tc>
      </w:tr>
      <w:tr>
        <w:tc>
          <w:tcPr>
            <w:tcW w:type="dxa" w:w="2033"/>
            <w:vAlign w:val="top"/>
          </w:tcPr>
          <w:p>
            <w:pPr>
              <w:spacing w:after="0"/>
            </w:pPr>
            <w:r>
              <w:rPr>
                <w:sz w:val="11"/>
              </w:rPr>
              <w:t>ET003</w:t>
            </w:r>
          </w:p>
        </w:tc>
        <w:tc>
          <w:tcPr>
            <w:tcW w:type="dxa" w:w="2033"/>
            <w:vAlign w:val="top"/>
          </w:tcPr>
          <w:p>
            <w:pPr>
              <w:spacing w:after="0"/>
            </w:pPr>
            <w:r>
              <w:rPr>
                <w:sz w:val="11"/>
              </w:rPr>
              <w:t>Etiology certainty</w:t>
            </w:r>
          </w:p>
        </w:tc>
        <w:tc>
          <w:tcPr>
            <w:tcW w:type="dxa" w:w="2033"/>
            <w:vAlign w:val="top"/>
          </w:tcPr>
          <w:p>
            <w:pPr>
              <w:spacing w:after="0"/>
            </w:pPr>
            <w:r>
              <w:rPr>
                <w:sz w:val="11"/>
              </w:rPr>
              <w:t>Confidence/status attached to an etiologic assertion rather than a disease category itself.</w:t>
            </w:r>
          </w:p>
        </w:tc>
        <w:tc>
          <w:tcPr>
            <w:tcW w:type="dxa" w:w="2033"/>
            <w:vAlign w:val="top"/>
          </w:tcPr>
          <w:p>
            <w:pPr>
              <w:spacing w:after="0"/>
            </w:pPr>
            <w:r>
              <w:rPr>
                <w:sz w:val="11"/>
              </w:rPr>
              <w:t>MedAI assertion model informed by annotation precedent</w:t>
              <w:br/>
              <w:t>MEDAI-PROPOSED</w:t>
            </w:r>
          </w:p>
        </w:tc>
        <w:tc>
          <w:tcPr>
            <w:tcW w:type="dxa" w:w="2033"/>
            <w:vAlign w:val="top"/>
          </w:tcPr>
          <w:p>
            <w:pPr>
              <w:spacing w:after="0"/>
            </w:pPr>
            <w:r>
              <w:rPr>
                <w:sz w:val="11"/>
              </w:rPr>
              <w:t>Clinician review required</w:t>
            </w:r>
          </w:p>
        </w:tc>
      </w:tr>
      <w:tr>
        <w:tc>
          <w:tcPr>
            <w:tcW w:type="dxa" w:w="2033"/>
            <w:vAlign w:val="top"/>
          </w:tcPr>
          <w:p>
            <w:pPr>
              <w:spacing w:after="0"/>
            </w:pPr>
            <w:r>
              <w:rPr>
                <w:sz w:val="11"/>
              </w:rPr>
              <w:t>MRI001</w:t>
            </w:r>
          </w:p>
        </w:tc>
        <w:tc>
          <w:tcPr>
            <w:tcW w:type="dxa" w:w="2033"/>
            <w:vAlign w:val="top"/>
          </w:tcPr>
          <w:p>
            <w:pPr>
              <w:spacing w:after="0"/>
            </w:pPr>
            <w:r>
              <w:rPr>
                <w:sz w:val="11"/>
              </w:rPr>
              <w:t>MRI abnormal</w:t>
            </w:r>
          </w:p>
        </w:tc>
        <w:tc>
          <w:tcPr>
            <w:tcW w:type="dxa" w:w="2033"/>
            <w:vAlign w:val="top"/>
          </w:tcPr>
          <w:p>
            <w:pPr>
              <w:spacing w:after="0"/>
            </w:pPr>
            <w:r>
              <w:rPr>
                <w:sz w:val="11"/>
              </w:rPr>
              <w:t>Whether the source MRI interpretation reports an abnormality relevant to the study representation.</w:t>
            </w:r>
          </w:p>
        </w:tc>
        <w:tc>
          <w:tcPr>
            <w:tcW w:type="dxa" w:w="2033"/>
            <w:vAlign w:val="top"/>
          </w:tcPr>
          <w:p>
            <w:pPr>
              <w:spacing w:after="0"/>
            </w:pPr>
            <w:r>
              <w:rPr>
                <w:sz w:val="11"/>
              </w:rPr>
              <w:t>Published annotation precedent + MedAI</w:t>
              <w:br/>
              <w:t>ADAPTED</w:t>
            </w:r>
          </w:p>
        </w:tc>
        <w:tc>
          <w:tcPr>
            <w:tcW w:type="dxa" w:w="2033"/>
            <w:vAlign w:val="top"/>
          </w:tcPr>
          <w:p>
            <w:pPr>
              <w:spacing w:after="0"/>
            </w:pPr>
            <w:r>
              <w:rPr>
                <w:sz w:val="11"/>
              </w:rPr>
              <w:t>Does not imply epileptogenicity</w:t>
            </w:r>
          </w:p>
        </w:tc>
      </w:tr>
      <w:tr>
        <w:tc>
          <w:tcPr>
            <w:tcW w:type="dxa" w:w="2033"/>
            <w:vAlign w:val="top"/>
          </w:tcPr>
          <w:p>
            <w:pPr>
              <w:spacing w:after="0"/>
            </w:pPr>
            <w:r>
              <w:rPr>
                <w:sz w:val="11"/>
              </w:rPr>
              <w:t>MRI002</w:t>
            </w:r>
          </w:p>
        </w:tc>
        <w:tc>
          <w:tcPr>
            <w:tcW w:type="dxa" w:w="2033"/>
            <w:vAlign w:val="top"/>
          </w:tcPr>
          <w:p>
            <w:pPr>
              <w:spacing w:after="0"/>
            </w:pPr>
            <w:r>
              <w:rPr>
                <w:sz w:val="11"/>
              </w:rPr>
              <w:t>MRI epileptogenic lesion</w:t>
            </w:r>
          </w:p>
        </w:tc>
        <w:tc>
          <w:tcPr>
            <w:tcW w:type="dxa" w:w="2033"/>
            <w:vAlign w:val="top"/>
          </w:tcPr>
          <w:p>
            <w:pPr>
              <w:spacing w:after="0"/>
            </w:pPr>
            <w:r>
              <w:rPr>
                <w:sz w:val="11"/>
              </w:rPr>
              <w:t>Whether MRI documentation supports a lesion considered potentially causally related to epilepsy; this is an interpretive research assertion and requires explicit evidence/uncertainty.</w:t>
            </w:r>
          </w:p>
        </w:tc>
        <w:tc>
          <w:tcPr>
            <w:tcW w:type="dxa" w:w="2033"/>
            <w:vAlign w:val="top"/>
          </w:tcPr>
          <w:p>
            <w:pPr>
              <w:spacing w:after="0"/>
            </w:pPr>
            <w:r>
              <w:rPr>
                <w:sz w:val="11"/>
              </w:rPr>
              <w:t>MedAI operationalization</w:t>
              <w:br/>
              <w:t>MEDAI-PROPOSED</w:t>
            </w:r>
          </w:p>
        </w:tc>
        <w:tc>
          <w:tcPr>
            <w:tcW w:type="dxa" w:w="2033"/>
            <w:vAlign w:val="top"/>
          </w:tcPr>
          <w:p>
            <w:pPr>
              <w:spacing w:after="0"/>
            </w:pPr>
            <w:r>
              <w:rPr>
                <w:sz w:val="11"/>
              </w:rPr>
              <w:t>Clinician review; do not infer solely from any abnormal MRI</w:t>
            </w:r>
          </w:p>
        </w:tc>
      </w:tr>
      <w:tr>
        <w:tc>
          <w:tcPr>
            <w:tcW w:type="dxa" w:w="2033"/>
            <w:vAlign w:val="top"/>
          </w:tcPr>
          <w:p>
            <w:pPr>
              <w:spacing w:after="0"/>
            </w:pPr>
            <w:r>
              <w:rPr>
                <w:sz w:val="11"/>
              </w:rPr>
              <w:t>MRI003</w:t>
            </w:r>
          </w:p>
        </w:tc>
        <w:tc>
          <w:tcPr>
            <w:tcW w:type="dxa" w:w="2033"/>
            <w:vAlign w:val="top"/>
          </w:tcPr>
          <w:p>
            <w:pPr>
              <w:spacing w:after="0"/>
            </w:pPr>
            <w:r>
              <w:rPr>
                <w:sz w:val="11"/>
              </w:rPr>
              <w:t>MRI lesion type</w:t>
            </w:r>
          </w:p>
        </w:tc>
        <w:tc>
          <w:tcPr>
            <w:tcW w:type="dxa" w:w="2033"/>
            <w:vAlign w:val="top"/>
          </w:tcPr>
          <w:p>
            <w:pPr>
              <w:spacing w:after="0"/>
            </w:pPr>
            <w:r>
              <w:rPr>
                <w:sz w:val="11"/>
              </w:rPr>
              <w:t>Normalized imaging-level lesion category documented or suspected on MRI; must remain distinct from histopathologic subtype.</w:t>
            </w:r>
          </w:p>
        </w:tc>
        <w:tc>
          <w:tcPr>
            <w:tcW w:type="dxa" w:w="2033"/>
            <w:vAlign w:val="top"/>
          </w:tcPr>
          <w:p>
            <w:pPr>
              <w:spacing w:after="0"/>
            </w:pPr>
            <w:r>
              <w:rPr>
                <w:sz w:val="11"/>
              </w:rPr>
              <w:t>MedAI harmonization</w:t>
              <w:br/>
              <w:t>HARMONIZED</w:t>
            </w:r>
          </w:p>
        </w:tc>
        <w:tc>
          <w:tcPr>
            <w:tcW w:type="dxa" w:w="2033"/>
            <w:vAlign w:val="top"/>
          </w:tcPr>
          <w:p>
            <w:pPr>
              <w:spacing w:after="0"/>
            </w:pPr>
            <w:r>
              <w:rPr>
                <w:sz w:val="11"/>
              </w:rPr>
              <w:t>Initial values may include HS, FCD, tumor, vascular lesion, other, none, uncertain; exact imaging ontology pending</w:t>
            </w:r>
          </w:p>
        </w:tc>
      </w:tr>
      <w:tr>
        <w:tc>
          <w:tcPr>
            <w:tcW w:type="dxa" w:w="2033"/>
            <w:vAlign w:val="top"/>
          </w:tcPr>
          <w:p>
            <w:pPr>
              <w:spacing w:after="0"/>
            </w:pPr>
            <w:r>
              <w:rPr>
                <w:sz w:val="11"/>
              </w:rPr>
              <w:t>MRI004</w:t>
            </w:r>
          </w:p>
        </w:tc>
        <w:tc>
          <w:tcPr>
            <w:tcW w:type="dxa" w:w="2033"/>
            <w:vAlign w:val="top"/>
          </w:tcPr>
          <w:p>
            <w:pPr>
              <w:spacing w:after="0"/>
            </w:pPr>
            <w:r>
              <w:rPr>
                <w:sz w:val="11"/>
              </w:rPr>
              <w:t>MRI lesion location</w:t>
            </w:r>
          </w:p>
        </w:tc>
        <w:tc>
          <w:tcPr>
            <w:tcW w:type="dxa" w:w="2033"/>
            <w:vAlign w:val="top"/>
          </w:tcPr>
          <w:p>
            <w:pPr>
              <w:spacing w:after="0"/>
            </w:pPr>
            <w:r>
              <w:rPr>
                <w:sz w:val="11"/>
              </w:rPr>
              <w:t>Anatomical location explicitly documented for an MRI lesion/finding.</w:t>
            </w:r>
          </w:p>
        </w:tc>
        <w:tc>
          <w:tcPr>
            <w:tcW w:type="dxa" w:w="2033"/>
            <w:vAlign w:val="top"/>
          </w:tcPr>
          <w:p>
            <w:pPr>
              <w:spacing w:after="0"/>
            </w:pPr>
            <w:r>
              <w:rPr>
                <w:sz w:val="11"/>
              </w:rPr>
              <w:t>MedAI + terminology mapping pending</w:t>
              <w:br/>
              <w:t>MEDAI-PROPOSED</w:t>
            </w:r>
          </w:p>
        </w:tc>
        <w:tc>
          <w:tcPr>
            <w:tcW w:type="dxa" w:w="2033"/>
            <w:vAlign w:val="top"/>
          </w:tcPr>
          <w:p>
            <w:pPr>
              <w:spacing w:after="0"/>
            </w:pPr>
            <w:r>
              <w:rPr>
                <w:sz w:val="11"/>
              </w:rPr>
              <w:t>External anatomy/RadLex/SNOMED IDs pending</w:t>
            </w:r>
          </w:p>
        </w:tc>
      </w:tr>
      <w:tr>
        <w:tc>
          <w:tcPr>
            <w:tcW w:type="dxa" w:w="2033"/>
            <w:vAlign w:val="top"/>
          </w:tcPr>
          <w:p>
            <w:pPr>
              <w:spacing w:after="0"/>
            </w:pPr>
            <w:r>
              <w:rPr>
                <w:sz w:val="11"/>
              </w:rPr>
              <w:t>MRI005</w:t>
            </w:r>
          </w:p>
        </w:tc>
        <w:tc>
          <w:tcPr>
            <w:tcW w:type="dxa" w:w="2033"/>
            <w:vAlign w:val="top"/>
          </w:tcPr>
          <w:p>
            <w:pPr>
              <w:spacing w:after="0"/>
            </w:pPr>
            <w:r>
              <w:rPr>
                <w:sz w:val="11"/>
              </w:rPr>
              <w:t>MRI laterality</w:t>
            </w:r>
          </w:p>
        </w:tc>
        <w:tc>
          <w:tcPr>
            <w:tcW w:type="dxa" w:w="2033"/>
            <w:vAlign w:val="top"/>
          </w:tcPr>
          <w:p>
            <w:pPr>
              <w:spacing w:after="0"/>
            </w:pPr>
            <w:r>
              <w:rPr>
                <w:sz w:val="11"/>
              </w:rPr>
              <w:t>Laterality explicitly supported for the MRI lesion/finding.</w:t>
            </w:r>
          </w:p>
        </w:tc>
        <w:tc>
          <w:tcPr>
            <w:tcW w:type="dxa" w:w="2033"/>
            <w:vAlign w:val="top"/>
          </w:tcPr>
          <w:p>
            <w:pPr>
              <w:spacing w:after="0"/>
            </w:pPr>
            <w:r>
              <w:rPr>
                <w:sz w:val="11"/>
              </w:rPr>
              <w:t>MedAI operational field</w:t>
              <w:br/>
              <w:t>MEDAI-PROPOSED</w:t>
            </w:r>
          </w:p>
        </w:tc>
        <w:tc>
          <w:tcPr>
            <w:tcW w:type="dxa" w:w="2033"/>
            <w:vAlign w:val="top"/>
          </w:tcPr>
          <w:p>
            <w:pPr>
              <w:spacing w:after="0"/>
            </w:pPr>
            <w:r>
              <w:rPr>
                <w:sz w:val="11"/>
              </w:rPr>
              <w:t>left/right/bilateral/midline/not_applicable/unknown proposed</w:t>
            </w:r>
          </w:p>
        </w:tc>
      </w:tr>
      <w:tr>
        <w:tc>
          <w:tcPr>
            <w:tcW w:type="dxa" w:w="2033"/>
            <w:vAlign w:val="top"/>
          </w:tcPr>
          <w:p>
            <w:pPr>
              <w:spacing w:after="0"/>
            </w:pPr>
            <w:r>
              <w:rPr>
                <w:sz w:val="11"/>
              </w:rPr>
              <w:t>EEG001</w:t>
            </w:r>
          </w:p>
        </w:tc>
        <w:tc>
          <w:tcPr>
            <w:tcW w:type="dxa" w:w="2033"/>
            <w:vAlign w:val="top"/>
          </w:tcPr>
          <w:p>
            <w:pPr>
              <w:spacing w:after="0"/>
            </w:pPr>
            <w:r>
              <w:rPr>
                <w:sz w:val="11"/>
              </w:rPr>
              <w:t>EEG study type</w:t>
            </w:r>
          </w:p>
        </w:tc>
        <w:tc>
          <w:tcPr>
            <w:tcW w:type="dxa" w:w="2033"/>
            <w:vAlign w:val="top"/>
          </w:tcPr>
          <w:p>
            <w:pPr>
              <w:spacing w:after="0"/>
            </w:pPr>
            <w:r>
              <w:rPr>
                <w:sz w:val="11"/>
              </w:rPr>
              <w:t>Type/context of EEG examination, represented using a controlled vocabulary appropriate to routine, ambulatory, video-EEG/EMU and other studies.</w:t>
            </w:r>
          </w:p>
        </w:tc>
        <w:tc>
          <w:tcPr>
            <w:tcW w:type="dxa" w:w="2033"/>
            <w:vAlign w:val="top"/>
          </w:tcPr>
          <w:p>
            <w:pPr>
              <w:spacing w:after="0"/>
            </w:pPr>
            <w:r>
              <w:rPr>
                <w:sz w:val="11"/>
              </w:rPr>
              <w:t>SCORE + ExECT</w:t>
              <w:br/>
              <w:t>HARMONIZED</w:t>
            </w:r>
          </w:p>
        </w:tc>
        <w:tc>
          <w:tcPr>
            <w:tcW w:type="dxa" w:w="2033"/>
            <w:vAlign w:val="top"/>
          </w:tcPr>
          <w:p>
            <w:pPr>
              <w:spacing w:after="0"/>
            </w:pPr>
            <w:r>
              <w:rPr>
                <w:sz w:val="11"/>
              </w:rPr>
              <w:t>Final value set requires EEG profile review</w:t>
            </w:r>
          </w:p>
        </w:tc>
      </w:tr>
      <w:tr>
        <w:tc>
          <w:tcPr>
            <w:tcW w:type="dxa" w:w="2033"/>
            <w:vAlign w:val="top"/>
          </w:tcPr>
          <w:p>
            <w:pPr>
              <w:spacing w:after="0"/>
            </w:pPr>
            <w:r>
              <w:rPr>
                <w:sz w:val="11"/>
              </w:rPr>
              <w:t>EEG002</w:t>
            </w:r>
          </w:p>
        </w:tc>
        <w:tc>
          <w:tcPr>
            <w:tcW w:type="dxa" w:w="2033"/>
            <w:vAlign w:val="top"/>
          </w:tcPr>
          <w:p>
            <w:pPr>
              <w:spacing w:after="0"/>
            </w:pPr>
            <w:r>
              <w:rPr>
                <w:sz w:val="11"/>
              </w:rPr>
              <w:t>EEG background</w:t>
            </w:r>
          </w:p>
        </w:tc>
        <w:tc>
          <w:tcPr>
            <w:tcW w:type="dxa" w:w="2033"/>
            <w:vAlign w:val="top"/>
          </w:tcPr>
          <w:p>
            <w:pPr>
              <w:spacing w:after="0"/>
            </w:pPr>
            <w:r>
              <w:rPr>
                <w:sz w:val="11"/>
              </w:rPr>
              <w:t>Structured representation of clinically relevant EEG background findings; exact categories should follow the selected SCORE/EEG terminology subset.</w:t>
            </w:r>
          </w:p>
        </w:tc>
        <w:tc>
          <w:tcPr>
            <w:tcW w:type="dxa" w:w="2033"/>
            <w:vAlign w:val="top"/>
          </w:tcPr>
          <w:p>
            <w:pPr>
              <w:spacing w:after="0"/>
            </w:pPr>
            <w:r>
              <w:rPr>
                <w:sz w:val="11"/>
              </w:rPr>
              <w:t>SCORE</w:t>
              <w:br/>
              <w:t>SOURCE-CONCEPT</w:t>
            </w:r>
          </w:p>
        </w:tc>
        <w:tc>
          <w:tcPr>
            <w:tcW w:type="dxa" w:w="2033"/>
            <w:vAlign w:val="top"/>
          </w:tcPr>
          <w:p>
            <w:pPr>
              <w:spacing w:after="0"/>
            </w:pPr>
            <w:r>
              <w:rPr>
                <w:sz w:val="11"/>
              </w:rPr>
              <w:t>Pending exact SCORE subset</w:t>
            </w:r>
          </w:p>
        </w:tc>
      </w:tr>
      <w:tr>
        <w:tc>
          <w:tcPr>
            <w:tcW w:type="dxa" w:w="2033"/>
            <w:vAlign w:val="top"/>
          </w:tcPr>
          <w:p>
            <w:pPr>
              <w:spacing w:after="0"/>
            </w:pPr>
            <w:r>
              <w:rPr>
                <w:sz w:val="11"/>
              </w:rPr>
              <w:t>EEG003</w:t>
            </w:r>
          </w:p>
        </w:tc>
        <w:tc>
          <w:tcPr>
            <w:tcW w:type="dxa" w:w="2033"/>
            <w:vAlign w:val="top"/>
          </w:tcPr>
          <w:p>
            <w:pPr>
              <w:spacing w:after="0"/>
            </w:pPr>
            <w:r>
              <w:rPr>
                <w:sz w:val="11"/>
              </w:rPr>
              <w:t>IED present</w:t>
            </w:r>
          </w:p>
        </w:tc>
        <w:tc>
          <w:tcPr>
            <w:tcW w:type="dxa" w:w="2033"/>
            <w:vAlign w:val="top"/>
          </w:tcPr>
          <w:p>
            <w:pPr>
              <w:spacing w:after="0"/>
            </w:pPr>
            <w:r>
              <w:rPr>
                <w:sz w:val="11"/>
              </w:rPr>
              <w:t>Whether epileptiform interictal activity is documented in the EEG interpretation.</w:t>
            </w:r>
          </w:p>
        </w:tc>
        <w:tc>
          <w:tcPr>
            <w:tcW w:type="dxa" w:w="2033"/>
            <w:vAlign w:val="top"/>
          </w:tcPr>
          <w:p>
            <w:pPr>
              <w:spacing w:after="0"/>
            </w:pPr>
            <w:r>
              <w:rPr>
                <w:sz w:val="11"/>
              </w:rPr>
              <w:t>SCORE</w:t>
              <w:br/>
              <w:t>SOURCE-CONCEPT</w:t>
            </w:r>
          </w:p>
        </w:tc>
        <w:tc>
          <w:tcPr>
            <w:tcW w:type="dxa" w:w="2033"/>
            <w:vAlign w:val="top"/>
          </w:tcPr>
          <w:p>
            <w:pPr>
              <w:spacing w:after="0"/>
            </w:pPr>
            <w:r>
              <w:rPr>
                <w:sz w:val="11"/>
              </w:rPr>
              <w:t>Do not equate all abnormal EEG findings with IEDs</w:t>
            </w:r>
          </w:p>
        </w:tc>
      </w:tr>
      <w:tr>
        <w:tc>
          <w:tcPr>
            <w:tcW w:type="dxa" w:w="2033"/>
            <w:vAlign w:val="top"/>
          </w:tcPr>
          <w:p>
            <w:pPr>
              <w:spacing w:after="0"/>
            </w:pPr>
            <w:r>
              <w:rPr>
                <w:sz w:val="11"/>
              </w:rPr>
              <w:t>EEG004</w:t>
            </w:r>
          </w:p>
        </w:tc>
        <w:tc>
          <w:tcPr>
            <w:tcW w:type="dxa" w:w="2033"/>
            <w:vAlign w:val="top"/>
          </w:tcPr>
          <w:p>
            <w:pPr>
              <w:spacing w:after="0"/>
            </w:pPr>
            <w:r>
              <w:rPr>
                <w:sz w:val="11"/>
              </w:rPr>
              <w:t>IED location</w:t>
            </w:r>
          </w:p>
        </w:tc>
        <w:tc>
          <w:tcPr>
            <w:tcW w:type="dxa" w:w="2033"/>
            <w:vAlign w:val="top"/>
          </w:tcPr>
          <w:p>
            <w:pPr>
              <w:spacing w:after="0"/>
            </w:pPr>
            <w:r>
              <w:rPr>
                <w:sz w:val="11"/>
              </w:rPr>
              <w:t>Spatial location/distribution documented for epileptiform interictal activity.</w:t>
            </w:r>
          </w:p>
        </w:tc>
        <w:tc>
          <w:tcPr>
            <w:tcW w:type="dxa" w:w="2033"/>
            <w:vAlign w:val="top"/>
          </w:tcPr>
          <w:p>
            <w:pPr>
              <w:spacing w:after="0"/>
            </w:pPr>
            <w:r>
              <w:rPr>
                <w:sz w:val="11"/>
              </w:rPr>
              <w:t>SCORE</w:t>
              <w:br/>
              <w:t>SOURCE-CONCEPT</w:t>
            </w:r>
          </w:p>
        </w:tc>
        <w:tc>
          <w:tcPr>
            <w:tcW w:type="dxa" w:w="2033"/>
            <w:vAlign w:val="top"/>
          </w:tcPr>
          <w:p>
            <w:pPr>
              <w:spacing w:after="0"/>
            </w:pPr>
            <w:r>
              <w:rPr>
                <w:sz w:val="11"/>
              </w:rPr>
              <w:t>Exact controlled values pending EEG terminology profile</w:t>
            </w:r>
          </w:p>
        </w:tc>
      </w:tr>
      <w:tr>
        <w:tc>
          <w:tcPr>
            <w:tcW w:type="dxa" w:w="2033"/>
            <w:vAlign w:val="top"/>
          </w:tcPr>
          <w:p>
            <w:pPr>
              <w:spacing w:after="0"/>
            </w:pPr>
            <w:r>
              <w:rPr>
                <w:sz w:val="11"/>
              </w:rPr>
              <w:t>EEG005</w:t>
            </w:r>
          </w:p>
        </w:tc>
        <w:tc>
          <w:tcPr>
            <w:tcW w:type="dxa" w:w="2033"/>
            <w:vAlign w:val="top"/>
          </w:tcPr>
          <w:p>
            <w:pPr>
              <w:spacing w:after="0"/>
            </w:pPr>
            <w:r>
              <w:rPr>
                <w:sz w:val="11"/>
              </w:rPr>
              <w:t>IED laterality</w:t>
            </w:r>
          </w:p>
        </w:tc>
        <w:tc>
          <w:tcPr>
            <w:tcW w:type="dxa" w:w="2033"/>
            <w:vAlign w:val="top"/>
          </w:tcPr>
          <w:p>
            <w:pPr>
              <w:spacing w:after="0"/>
            </w:pPr>
            <w:r>
              <w:rPr>
                <w:sz w:val="11"/>
              </w:rPr>
              <w:t>Laterality documented for epileptiform interictal activity.</w:t>
            </w:r>
          </w:p>
        </w:tc>
        <w:tc>
          <w:tcPr>
            <w:tcW w:type="dxa" w:w="2033"/>
            <w:vAlign w:val="top"/>
          </w:tcPr>
          <w:p>
            <w:pPr>
              <w:spacing w:after="0"/>
            </w:pPr>
            <w:r>
              <w:rPr>
                <w:sz w:val="11"/>
              </w:rPr>
              <w:t>MedAI operationalization of EEG location</w:t>
              <w:br/>
              <w:t>MEDAI-ADAPTED</w:t>
            </w:r>
          </w:p>
        </w:tc>
        <w:tc>
          <w:tcPr>
            <w:tcW w:type="dxa" w:w="2033"/>
            <w:vAlign w:val="top"/>
          </w:tcPr>
          <w:p>
            <w:pPr>
              <w:spacing w:after="0"/>
            </w:pPr>
            <w:r>
              <w:rPr>
                <w:sz w:val="11"/>
              </w:rPr>
              <w:t>Do not infer laterality from epilepsy diagnosis alone</w:t>
            </w:r>
          </w:p>
        </w:tc>
      </w:tr>
      <w:tr>
        <w:tc>
          <w:tcPr>
            <w:tcW w:type="dxa" w:w="2033"/>
            <w:vAlign w:val="top"/>
          </w:tcPr>
          <w:p>
            <w:pPr>
              <w:spacing w:after="0"/>
            </w:pPr>
            <w:r>
              <w:rPr>
                <w:sz w:val="11"/>
              </w:rPr>
              <w:t>EEG006</w:t>
            </w:r>
          </w:p>
        </w:tc>
        <w:tc>
          <w:tcPr>
            <w:tcW w:type="dxa" w:w="2033"/>
            <w:vAlign w:val="top"/>
          </w:tcPr>
          <w:p>
            <w:pPr>
              <w:spacing w:after="0"/>
            </w:pPr>
            <w:r>
              <w:rPr>
                <w:sz w:val="11"/>
              </w:rPr>
              <w:t>Seizures captured</w:t>
            </w:r>
          </w:p>
        </w:tc>
        <w:tc>
          <w:tcPr>
            <w:tcW w:type="dxa" w:w="2033"/>
            <w:vAlign w:val="top"/>
          </w:tcPr>
          <w:p>
            <w:pPr>
              <w:spacing w:after="0"/>
            </w:pPr>
            <w:r>
              <w:rPr>
                <w:sz w:val="11"/>
              </w:rPr>
              <w:t>Whether electrographic/electroclinical seizures were captured during the EEG/monitoring study.</w:t>
            </w:r>
          </w:p>
        </w:tc>
        <w:tc>
          <w:tcPr>
            <w:tcW w:type="dxa" w:w="2033"/>
            <w:vAlign w:val="top"/>
          </w:tcPr>
          <w:p>
            <w:pPr>
              <w:spacing w:after="0"/>
            </w:pPr>
            <w:r>
              <w:rPr>
                <w:sz w:val="11"/>
              </w:rPr>
              <w:t>SCORE</w:t>
              <w:br/>
              <w:t>SOURCE-CONCEPT</w:t>
            </w:r>
          </w:p>
        </w:tc>
        <w:tc>
          <w:tcPr>
            <w:tcW w:type="dxa" w:w="2033"/>
            <w:vAlign w:val="top"/>
          </w:tcPr>
          <w:p>
            <w:pPr>
              <w:spacing w:after="0"/>
            </w:pPr>
            <w:r>
              <w:rPr>
                <w:sz w:val="11"/>
              </w:rPr>
              <w:t>Need explicit study evidence</w:t>
            </w:r>
          </w:p>
        </w:tc>
      </w:tr>
      <w:tr>
        <w:tc>
          <w:tcPr>
            <w:tcW w:type="dxa" w:w="2033"/>
            <w:vAlign w:val="top"/>
          </w:tcPr>
          <w:p>
            <w:pPr>
              <w:spacing w:after="0"/>
            </w:pPr>
            <w:r>
              <w:rPr>
                <w:sz w:val="11"/>
              </w:rPr>
              <w:t>EEG007</w:t>
            </w:r>
          </w:p>
        </w:tc>
        <w:tc>
          <w:tcPr>
            <w:tcW w:type="dxa" w:w="2033"/>
            <w:vAlign w:val="top"/>
          </w:tcPr>
          <w:p>
            <w:pPr>
              <w:spacing w:after="0"/>
            </w:pPr>
            <w:r>
              <w:rPr>
                <w:sz w:val="11"/>
              </w:rPr>
              <w:t>Ictal location</w:t>
            </w:r>
          </w:p>
        </w:tc>
        <w:tc>
          <w:tcPr>
            <w:tcW w:type="dxa" w:w="2033"/>
            <w:vAlign w:val="top"/>
          </w:tcPr>
          <w:p>
            <w:pPr>
              <w:spacing w:after="0"/>
            </w:pPr>
            <w:r>
              <w:rPr>
                <w:sz w:val="11"/>
              </w:rPr>
              <w:t>Documented spatial localization of ictal EEG onset/pattern.</w:t>
            </w:r>
          </w:p>
        </w:tc>
        <w:tc>
          <w:tcPr>
            <w:tcW w:type="dxa" w:w="2033"/>
            <w:vAlign w:val="top"/>
          </w:tcPr>
          <w:p>
            <w:pPr>
              <w:spacing w:after="0"/>
            </w:pPr>
            <w:r>
              <w:rPr>
                <w:sz w:val="11"/>
              </w:rPr>
              <w:t>SCORE</w:t>
              <w:br/>
              <w:t>SOURCE-CONCEPT</w:t>
            </w:r>
          </w:p>
        </w:tc>
        <w:tc>
          <w:tcPr>
            <w:tcW w:type="dxa" w:w="2033"/>
            <w:vAlign w:val="top"/>
          </w:tcPr>
          <w:p>
            <w:pPr>
              <w:spacing w:after="0"/>
            </w:pPr>
            <w:r>
              <w:rPr>
                <w:sz w:val="11"/>
              </w:rPr>
              <w:t>Exact terminology pending</w:t>
            </w:r>
          </w:p>
        </w:tc>
      </w:tr>
      <w:tr>
        <w:tc>
          <w:tcPr>
            <w:tcW w:type="dxa" w:w="2033"/>
            <w:vAlign w:val="top"/>
          </w:tcPr>
          <w:p>
            <w:pPr>
              <w:spacing w:after="0"/>
            </w:pPr>
            <w:r>
              <w:rPr>
                <w:sz w:val="11"/>
              </w:rPr>
              <w:t>EEG008</w:t>
            </w:r>
          </w:p>
        </w:tc>
        <w:tc>
          <w:tcPr>
            <w:tcW w:type="dxa" w:w="2033"/>
            <w:vAlign w:val="top"/>
          </w:tcPr>
          <w:p>
            <w:pPr>
              <w:spacing w:after="0"/>
            </w:pPr>
            <w:r>
              <w:rPr>
                <w:sz w:val="11"/>
              </w:rPr>
              <w:t>Ictal laterality</w:t>
            </w:r>
          </w:p>
        </w:tc>
        <w:tc>
          <w:tcPr>
            <w:tcW w:type="dxa" w:w="2033"/>
            <w:vAlign w:val="top"/>
          </w:tcPr>
          <w:p>
            <w:pPr>
              <w:spacing w:after="0"/>
            </w:pPr>
            <w:r>
              <w:rPr>
                <w:sz w:val="11"/>
              </w:rPr>
              <w:t>Laterality documented for ictal EEG onset/pattern.</w:t>
            </w:r>
          </w:p>
        </w:tc>
        <w:tc>
          <w:tcPr>
            <w:tcW w:type="dxa" w:w="2033"/>
            <w:vAlign w:val="top"/>
          </w:tcPr>
          <w:p>
            <w:pPr>
              <w:spacing w:after="0"/>
            </w:pPr>
            <w:r>
              <w:rPr>
                <w:sz w:val="11"/>
              </w:rPr>
              <w:t>MedAI operationalization</w:t>
              <w:br/>
              <w:t>MEDAI-ADAPTED</w:t>
            </w:r>
          </w:p>
        </w:tc>
        <w:tc>
          <w:tcPr>
            <w:tcW w:type="dxa" w:w="2033"/>
            <w:vAlign w:val="top"/>
          </w:tcPr>
          <w:p>
            <w:pPr>
              <w:spacing w:after="0"/>
            </w:pPr>
            <w:r>
              <w:rPr>
                <w:sz w:val="11"/>
              </w:rPr>
              <w:t>Unknown if unsupported</w:t>
            </w:r>
          </w:p>
        </w:tc>
      </w:tr>
      <w:tr>
        <w:tc>
          <w:tcPr>
            <w:tcW w:type="dxa" w:w="2033"/>
            <w:vAlign w:val="top"/>
          </w:tcPr>
          <w:p>
            <w:pPr>
              <w:spacing w:after="0"/>
            </w:pPr>
            <w:r>
              <w:rPr>
                <w:sz w:val="11"/>
              </w:rPr>
              <w:t>TX001</w:t>
            </w:r>
          </w:p>
        </w:tc>
        <w:tc>
          <w:tcPr>
            <w:tcW w:type="dxa" w:w="2033"/>
            <w:vAlign w:val="top"/>
          </w:tcPr>
          <w:p>
            <w:pPr>
              <w:spacing w:after="0"/>
            </w:pPr>
            <w:r>
              <w:rPr>
                <w:sz w:val="11"/>
              </w:rPr>
              <w:t>ASM exposure</w:t>
            </w:r>
          </w:p>
        </w:tc>
        <w:tc>
          <w:tcPr>
            <w:tcW w:type="dxa" w:w="2033"/>
            <w:vAlign w:val="top"/>
          </w:tcPr>
          <w:p>
            <w:pPr>
              <w:spacing w:after="0"/>
            </w:pPr>
            <w:r>
              <w:rPr>
                <w:sz w:val="11"/>
              </w:rPr>
              <w:t>Exposure to an antiseizure medication, including normalized drug identity and temporal/current status when documented.</w:t>
            </w:r>
          </w:p>
        </w:tc>
        <w:tc>
          <w:tcPr>
            <w:tcW w:type="dxa" w:w="2033"/>
            <w:vAlign w:val="top"/>
          </w:tcPr>
          <w:p>
            <w:pPr>
              <w:spacing w:after="0"/>
            </w:pPr>
            <w:r>
              <w:rPr>
                <w:sz w:val="11"/>
              </w:rPr>
              <w:t>MedAI + ExECT; RxNorm normalization later</w:t>
              <w:br/>
              <w:t>HARMONIZED</w:t>
            </w:r>
          </w:p>
        </w:tc>
        <w:tc>
          <w:tcPr>
            <w:tcW w:type="dxa" w:w="2033"/>
            <w:vAlign w:val="top"/>
          </w:tcPr>
          <w:p>
            <w:pPr>
              <w:spacing w:after="0"/>
            </w:pPr>
            <w:r>
              <w:rPr>
                <w:sz w:val="11"/>
              </w:rPr>
              <w:t>Drug identity to be normalized to verified RxNorm release</w:t>
            </w:r>
          </w:p>
        </w:tc>
      </w:tr>
      <w:tr>
        <w:tc>
          <w:tcPr>
            <w:tcW w:type="dxa" w:w="2033"/>
            <w:vAlign w:val="top"/>
          </w:tcPr>
          <w:p>
            <w:pPr>
              <w:spacing w:after="0"/>
            </w:pPr>
            <w:r>
              <w:rPr>
                <w:sz w:val="11"/>
              </w:rPr>
              <w:t>TX002</w:t>
            </w:r>
          </w:p>
        </w:tc>
        <w:tc>
          <w:tcPr>
            <w:tcW w:type="dxa" w:w="2033"/>
            <w:vAlign w:val="top"/>
          </w:tcPr>
          <w:p>
            <w:pPr>
              <w:spacing w:after="0"/>
            </w:pPr>
            <w:r>
              <w:rPr>
                <w:sz w:val="11"/>
              </w:rPr>
              <w:t>ASM trial outcome</w:t>
            </w:r>
          </w:p>
        </w:tc>
        <w:tc>
          <w:tcPr>
            <w:tcW w:type="dxa" w:w="2033"/>
            <w:vAlign w:val="top"/>
          </w:tcPr>
          <w:p>
            <w:pPr>
              <w:spacing w:after="0"/>
            </w:pPr>
            <w:r>
              <w:rPr>
                <w:sz w:val="11"/>
              </w:rPr>
              <w:t>Outcome of a documented ASM trial, separating efficacy failure, intolerance/adverse-effect discontinuation, seizure freedom/response, ongoing/unknown.</w:t>
            </w:r>
          </w:p>
        </w:tc>
        <w:tc>
          <w:tcPr>
            <w:tcW w:type="dxa" w:w="2033"/>
            <w:vAlign w:val="top"/>
          </w:tcPr>
          <w:p>
            <w:pPr>
              <w:spacing w:after="0"/>
            </w:pPr>
            <w:r>
              <w:rPr>
                <w:sz w:val="11"/>
              </w:rPr>
              <w:t>MedAI operationalization informed by DRE framework</w:t>
              <w:br/>
              <w:t>MEDAI-PROPOSED</w:t>
            </w:r>
          </w:p>
        </w:tc>
        <w:tc>
          <w:tcPr>
            <w:tcW w:type="dxa" w:w="2033"/>
            <w:vAlign w:val="top"/>
          </w:tcPr>
          <w:p>
            <w:pPr>
              <w:spacing w:after="0"/>
            </w:pPr>
            <w:r>
              <w:rPr>
                <w:sz w:val="11"/>
              </w:rPr>
              <w:t>Clinician review required</w:t>
            </w:r>
          </w:p>
        </w:tc>
      </w:tr>
      <w:tr>
        <w:tc>
          <w:tcPr>
            <w:tcW w:type="dxa" w:w="2033"/>
            <w:vAlign w:val="top"/>
          </w:tcPr>
          <w:p>
            <w:pPr>
              <w:spacing w:after="0"/>
            </w:pPr>
            <w:r>
              <w:rPr>
                <w:sz w:val="11"/>
              </w:rPr>
              <w:t>TX003</w:t>
            </w:r>
          </w:p>
        </w:tc>
        <w:tc>
          <w:tcPr>
            <w:tcW w:type="dxa" w:w="2033"/>
            <w:vAlign w:val="top"/>
          </w:tcPr>
          <w:p>
            <w:pPr>
              <w:spacing w:after="0"/>
            </w:pPr>
            <w:r>
              <w:rPr>
                <w:sz w:val="11"/>
              </w:rPr>
              <w:t>ASM trial adequacy</w:t>
            </w:r>
          </w:p>
        </w:tc>
        <w:tc>
          <w:tcPr>
            <w:tcW w:type="dxa" w:w="2033"/>
            <w:vAlign w:val="top"/>
          </w:tcPr>
          <w:p>
            <w:pPr>
              <w:spacing w:after="0"/>
            </w:pPr>
            <w:r>
              <w:rPr>
                <w:sz w:val="11"/>
              </w:rPr>
              <w:t>Whether documentation is sufficient to regard an ASM trial as adequate and appropriately chosen/used for DRE assessment.</w:t>
            </w:r>
          </w:p>
        </w:tc>
        <w:tc>
          <w:tcPr>
            <w:tcW w:type="dxa" w:w="2033"/>
            <w:vAlign w:val="top"/>
          </w:tcPr>
          <w:p>
            <w:pPr>
              <w:spacing w:after="0"/>
            </w:pPr>
            <w:r>
              <w:rPr>
                <w:sz w:val="11"/>
              </w:rPr>
              <w:t>ILAE DRE framework + MedAI operationalization</w:t>
              <w:br/>
              <w:t>MEDAI-OPERATIONALIZED</w:t>
            </w:r>
          </w:p>
        </w:tc>
        <w:tc>
          <w:tcPr>
            <w:tcW w:type="dxa" w:w="2033"/>
            <w:vAlign w:val="top"/>
          </w:tcPr>
          <w:p>
            <w:pPr>
              <w:spacing w:after="0"/>
            </w:pPr>
            <w:r>
              <w:rPr>
                <w:sz w:val="11"/>
              </w:rPr>
              <w:t>Never infer adequacy from medication mention alone</w:t>
            </w:r>
          </w:p>
        </w:tc>
      </w:tr>
      <w:tr>
        <w:tc>
          <w:tcPr>
            <w:tcW w:type="dxa" w:w="2033"/>
            <w:vAlign w:val="top"/>
          </w:tcPr>
          <w:p>
            <w:pPr>
              <w:spacing w:after="0"/>
            </w:pPr>
            <w:r>
              <w:rPr>
                <w:sz w:val="11"/>
              </w:rPr>
              <w:t>TX004</w:t>
            </w:r>
          </w:p>
        </w:tc>
        <w:tc>
          <w:tcPr>
            <w:tcW w:type="dxa" w:w="2033"/>
            <w:vAlign w:val="top"/>
          </w:tcPr>
          <w:p>
            <w:pPr>
              <w:spacing w:after="0"/>
            </w:pPr>
            <w:r>
              <w:rPr>
                <w:sz w:val="11"/>
              </w:rPr>
              <w:t>Drug-resistant epilepsy</w:t>
            </w:r>
          </w:p>
        </w:tc>
        <w:tc>
          <w:tcPr>
            <w:tcW w:type="dxa" w:w="2033"/>
            <w:vAlign w:val="top"/>
          </w:tcPr>
          <w:p>
            <w:pPr>
              <w:spacing w:after="0"/>
            </w:pPr>
            <w:r>
              <w:rPr>
                <w:sz w:val="11"/>
              </w:rPr>
              <w:t>ILAE drug resistance is based on failure of adequate trials of two tolerated, appropriately chosen and used ASM schedules to achieve sustained seizure freedom.</w:t>
            </w:r>
          </w:p>
        </w:tc>
        <w:tc>
          <w:tcPr>
            <w:tcW w:type="dxa" w:w="2033"/>
            <w:vAlign w:val="top"/>
          </w:tcPr>
          <w:p>
            <w:pPr>
              <w:spacing w:after="0"/>
            </w:pPr>
            <w:r>
              <w:rPr>
                <w:sz w:val="11"/>
              </w:rPr>
              <w:t>ILAE</w:t>
              <w:br/>
              <w:t>SOURCE-DEFINED + MEDAI STATES</w:t>
            </w:r>
          </w:p>
        </w:tc>
        <w:tc>
          <w:tcPr>
            <w:tcW w:type="dxa" w:w="2033"/>
            <w:vAlign w:val="top"/>
          </w:tcPr>
          <w:p>
            <w:pPr>
              <w:spacing w:after="0"/>
            </w:pPr>
            <w:r>
              <w:rPr>
                <w:sz w:val="11"/>
              </w:rPr>
              <w:t>MedAI adds indeterminate for insufficient documentation</w:t>
            </w:r>
          </w:p>
        </w:tc>
      </w:tr>
      <w:tr>
        <w:tc>
          <w:tcPr>
            <w:tcW w:type="dxa" w:w="2033"/>
            <w:vAlign w:val="top"/>
          </w:tcPr>
          <w:p>
            <w:pPr>
              <w:spacing w:after="0"/>
            </w:pPr>
            <w:r>
              <w:rPr>
                <w:sz w:val="11"/>
              </w:rPr>
              <w:t>PR001</w:t>
            </w:r>
          </w:p>
        </w:tc>
        <w:tc>
          <w:tcPr>
            <w:tcW w:type="dxa" w:w="2033"/>
            <w:vAlign w:val="top"/>
          </w:tcPr>
          <w:p>
            <w:pPr>
              <w:spacing w:after="0"/>
            </w:pPr>
            <w:r>
              <w:rPr>
                <w:sz w:val="11"/>
              </w:rPr>
              <w:t>Procedure</w:t>
            </w:r>
          </w:p>
        </w:tc>
        <w:tc>
          <w:tcPr>
            <w:tcW w:type="dxa" w:w="2033"/>
            <w:vAlign w:val="top"/>
          </w:tcPr>
          <w:p>
            <w:pPr>
              <w:spacing w:after="0"/>
            </w:pPr>
            <w:r>
              <w:rPr>
                <w:sz w:val="11"/>
              </w:rPr>
              <w:t>Epilepsy-related diagnostic or therapeutic procedure documented for the patient; detailed procedure vocabulary remains to be frozen.</w:t>
            </w:r>
          </w:p>
        </w:tc>
        <w:tc>
          <w:tcPr>
            <w:tcW w:type="dxa" w:w="2033"/>
            <w:vAlign w:val="top"/>
          </w:tcPr>
          <w:p>
            <w:pPr>
              <w:spacing w:after="0"/>
            </w:pPr>
            <w:r>
              <w:rPr>
                <w:sz w:val="11"/>
              </w:rPr>
              <w:t>MedAI operational field</w:t>
              <w:br/>
              <w:t>MEDAI-PROPOSED</w:t>
            </w:r>
          </w:p>
        </w:tc>
        <w:tc>
          <w:tcPr>
            <w:tcW w:type="dxa" w:w="2033"/>
            <w:vAlign w:val="top"/>
          </w:tcPr>
          <w:p>
            <w:pPr>
              <w:spacing w:after="0"/>
            </w:pPr>
            <w:r>
              <w:rPr>
                <w:sz w:val="11"/>
              </w:rPr>
              <w:t>Procedure ontology/value set pending</w:t>
            </w:r>
          </w:p>
        </w:tc>
      </w:tr>
      <w:tr>
        <w:tc>
          <w:tcPr>
            <w:tcW w:type="dxa" w:w="2033"/>
            <w:vAlign w:val="top"/>
          </w:tcPr>
          <w:p>
            <w:pPr>
              <w:spacing w:after="0"/>
            </w:pPr>
            <w:r>
              <w:rPr>
                <w:sz w:val="11"/>
              </w:rPr>
              <w:t>OUT001</w:t>
            </w:r>
          </w:p>
        </w:tc>
        <w:tc>
          <w:tcPr>
            <w:tcW w:type="dxa" w:w="2033"/>
            <w:vAlign w:val="top"/>
          </w:tcPr>
          <w:p>
            <w:pPr>
              <w:spacing w:after="0"/>
            </w:pPr>
            <w:r>
              <w:rPr>
                <w:sz w:val="11"/>
              </w:rPr>
              <w:t>Seizure freedom</w:t>
            </w:r>
          </w:p>
        </w:tc>
        <w:tc>
          <w:tcPr>
            <w:tcW w:type="dxa" w:w="2033"/>
            <w:vAlign w:val="top"/>
          </w:tcPr>
          <w:p>
            <w:pPr>
              <w:spacing w:after="0"/>
            </w:pPr>
            <w:r>
              <w:rPr>
                <w:sz w:val="11"/>
              </w:rPr>
              <w:t>Documented sustained absence of seizures over a stated interval; exact DRE/outcome use requires interval evidence rather than a bare yes/no assertion.</w:t>
            </w:r>
          </w:p>
        </w:tc>
        <w:tc>
          <w:tcPr>
            <w:tcW w:type="dxa" w:w="2033"/>
            <w:vAlign w:val="top"/>
          </w:tcPr>
          <w:p>
            <w:pPr>
              <w:spacing w:after="0"/>
            </w:pPr>
            <w:r>
              <w:rPr>
                <w:sz w:val="11"/>
              </w:rPr>
              <w:t>ILAE DRE context + MedAI temporal representation</w:t>
              <w:br/>
              <w:t>HARMONIZED</w:t>
            </w:r>
          </w:p>
        </w:tc>
        <w:tc>
          <w:tcPr>
            <w:tcW w:type="dxa" w:w="2033"/>
            <w:vAlign w:val="top"/>
          </w:tcPr>
          <w:p>
            <w:pPr>
              <w:spacing w:after="0"/>
            </w:pPr>
            <w:r>
              <w:rPr>
                <w:sz w:val="11"/>
              </w:rPr>
              <w:t>Operational threshold/context must be explicit</w:t>
            </w:r>
          </w:p>
        </w:tc>
      </w:tr>
      <w:tr>
        <w:tc>
          <w:tcPr>
            <w:tcW w:type="dxa" w:w="2033"/>
            <w:vAlign w:val="top"/>
          </w:tcPr>
          <w:p>
            <w:pPr>
              <w:spacing w:after="0"/>
            </w:pPr>
            <w:r>
              <w:rPr>
                <w:sz w:val="11"/>
              </w:rPr>
              <w:t>OUT002</w:t>
            </w:r>
          </w:p>
        </w:tc>
        <w:tc>
          <w:tcPr>
            <w:tcW w:type="dxa" w:w="2033"/>
            <w:vAlign w:val="top"/>
          </w:tcPr>
          <w:p>
            <w:pPr>
              <w:spacing w:after="0"/>
            </w:pPr>
            <w:r>
              <w:rPr>
                <w:sz w:val="11"/>
              </w:rPr>
              <w:t>Engel outcome</w:t>
            </w:r>
          </w:p>
        </w:tc>
        <w:tc>
          <w:tcPr>
            <w:tcW w:type="dxa" w:w="2033"/>
            <w:vAlign w:val="top"/>
          </w:tcPr>
          <w:p>
            <w:pPr>
              <w:spacing w:after="0"/>
            </w:pPr>
            <w:r>
              <w:rPr>
                <w:sz w:val="11"/>
              </w:rPr>
              <w:t>Postsurgical seizure outcome using the Engel classification when explicitly documented or separately adjudicated.</w:t>
            </w:r>
          </w:p>
        </w:tc>
        <w:tc>
          <w:tcPr>
            <w:tcW w:type="dxa" w:w="2033"/>
            <w:vAlign w:val="top"/>
          </w:tcPr>
          <w:p>
            <w:pPr>
              <w:spacing w:after="0"/>
            </w:pPr>
            <w:r>
              <w:rPr>
                <w:sz w:val="11"/>
              </w:rPr>
              <w:t>External outcome system not yet frozen</w:t>
              <w:br/>
              <w:t>SOURCE-CONCEPT-PENDING</w:t>
            </w:r>
          </w:p>
        </w:tc>
        <w:tc>
          <w:tcPr>
            <w:tcW w:type="dxa" w:w="2033"/>
            <w:vAlign w:val="top"/>
          </w:tcPr>
          <w:p>
            <w:pPr>
              <w:spacing w:after="0"/>
            </w:pPr>
            <w:r>
              <w:rPr>
                <w:sz w:val="11"/>
              </w:rPr>
              <w:t>Do not generate until source/version/definitions frozen</w:t>
            </w:r>
          </w:p>
        </w:tc>
      </w:tr>
      <w:tr>
        <w:tc>
          <w:tcPr>
            <w:tcW w:type="dxa" w:w="2033"/>
            <w:vAlign w:val="top"/>
          </w:tcPr>
          <w:p>
            <w:pPr>
              <w:spacing w:after="0"/>
            </w:pPr>
            <w:r>
              <w:rPr>
                <w:sz w:val="11"/>
              </w:rPr>
              <w:t>OUT003</w:t>
            </w:r>
          </w:p>
        </w:tc>
        <w:tc>
          <w:tcPr>
            <w:tcW w:type="dxa" w:w="2033"/>
            <w:vAlign w:val="top"/>
          </w:tcPr>
          <w:p>
            <w:pPr>
              <w:spacing w:after="0"/>
            </w:pPr>
            <w:r>
              <w:rPr>
                <w:sz w:val="11"/>
              </w:rPr>
              <w:t>ILAE surgical outcome</w:t>
            </w:r>
          </w:p>
        </w:tc>
        <w:tc>
          <w:tcPr>
            <w:tcW w:type="dxa" w:w="2033"/>
            <w:vAlign w:val="top"/>
          </w:tcPr>
          <w:p>
            <w:pPr>
              <w:spacing w:after="0"/>
            </w:pPr>
            <w:r>
              <w:rPr>
                <w:sz w:val="11"/>
              </w:rPr>
              <w:t>Postsurgical seizure outcome using the ILAE surgical outcome scale when explicitly documented or adjudicated.</w:t>
            </w:r>
          </w:p>
        </w:tc>
        <w:tc>
          <w:tcPr>
            <w:tcW w:type="dxa" w:w="2033"/>
            <w:vAlign w:val="top"/>
          </w:tcPr>
          <w:p>
            <w:pPr>
              <w:spacing w:after="0"/>
            </w:pPr>
            <w:r>
              <w:rPr>
                <w:sz w:val="11"/>
              </w:rPr>
              <w:t>ILAE outcome source not yet frozen</w:t>
              <w:br/>
              <w:t>SOURCE-CONCEPT-PENDING</w:t>
            </w:r>
          </w:p>
        </w:tc>
        <w:tc>
          <w:tcPr>
            <w:tcW w:type="dxa" w:w="2033"/>
            <w:vAlign w:val="top"/>
          </w:tcPr>
          <w:p>
            <w:pPr>
              <w:spacing w:after="0"/>
            </w:pPr>
            <w:r>
              <w:rPr>
                <w:sz w:val="11"/>
              </w:rPr>
              <w:t>Requires dedicated source freeze</w:t>
            </w:r>
          </w:p>
        </w:tc>
      </w:tr>
      <w:tr>
        <w:tc>
          <w:tcPr>
            <w:tcW w:type="dxa" w:w="2033"/>
            <w:vAlign w:val="top"/>
          </w:tcPr>
          <w:p>
            <w:pPr>
              <w:spacing w:after="0"/>
            </w:pPr>
            <w:r>
              <w:rPr>
                <w:sz w:val="11"/>
              </w:rPr>
              <w:t>SYN001</w:t>
            </w:r>
          </w:p>
        </w:tc>
        <w:tc>
          <w:tcPr>
            <w:tcW w:type="dxa" w:w="2033"/>
            <w:vAlign w:val="top"/>
          </w:tcPr>
          <w:p>
            <w:pPr>
              <w:spacing w:after="0"/>
            </w:pPr>
            <w:r>
              <w:rPr>
                <w:sz w:val="11"/>
              </w:rPr>
              <w:t>Clinical localization</w:t>
            </w:r>
          </w:p>
        </w:tc>
        <w:tc>
          <w:tcPr>
            <w:tcW w:type="dxa" w:w="2033"/>
            <w:vAlign w:val="top"/>
          </w:tcPr>
          <w:p>
            <w:pPr>
              <w:spacing w:after="0"/>
            </w:pPr>
            <w:r>
              <w:rPr>
                <w:sz w:val="11"/>
              </w:rPr>
              <w:t>Clinical hypothesis about seizure onset/localization derived from clinical documentation; not identical to EEG or MRI localization.</w:t>
            </w:r>
          </w:p>
        </w:tc>
        <w:tc>
          <w:tcPr>
            <w:tcW w:type="dxa" w:w="2033"/>
            <w:vAlign w:val="top"/>
          </w:tcPr>
          <w:p>
            <w:pPr>
              <w:spacing w:after="0"/>
            </w:pPr>
            <w:r>
              <w:rPr>
                <w:sz w:val="11"/>
              </w:rPr>
              <w:t>MedAI synthesis field</w:t>
              <w:br/>
              <w:t>MEDAI-PROPOSED</w:t>
            </w:r>
          </w:p>
        </w:tc>
        <w:tc>
          <w:tcPr>
            <w:tcW w:type="dxa" w:w="2033"/>
            <w:vAlign w:val="top"/>
          </w:tcPr>
          <w:p>
            <w:pPr>
              <w:spacing w:after="0"/>
            </w:pPr>
            <w:r>
              <w:rPr>
                <w:sz w:val="11"/>
              </w:rPr>
              <w:t>Clinician review and literature basis required</w:t>
            </w:r>
          </w:p>
        </w:tc>
      </w:tr>
      <w:tr>
        <w:tc>
          <w:tcPr>
            <w:tcW w:type="dxa" w:w="2033"/>
            <w:vAlign w:val="top"/>
          </w:tcPr>
          <w:p>
            <w:pPr>
              <w:spacing w:after="0"/>
            </w:pPr>
            <w:r>
              <w:rPr>
                <w:sz w:val="11"/>
              </w:rPr>
              <w:t>SYN002</w:t>
            </w:r>
          </w:p>
        </w:tc>
        <w:tc>
          <w:tcPr>
            <w:tcW w:type="dxa" w:w="2033"/>
            <w:vAlign w:val="top"/>
          </w:tcPr>
          <w:p>
            <w:pPr>
              <w:spacing w:after="0"/>
            </w:pPr>
            <w:r>
              <w:rPr>
                <w:sz w:val="11"/>
              </w:rPr>
              <w:t>Multimodal concordance</w:t>
            </w:r>
          </w:p>
        </w:tc>
        <w:tc>
          <w:tcPr>
            <w:tcW w:type="dxa" w:w="2033"/>
            <w:vAlign w:val="top"/>
          </w:tcPr>
          <w:p>
            <w:pPr>
              <w:spacing w:after="0"/>
            </w:pPr>
            <w:r>
              <w:rPr>
                <w:sz w:val="11"/>
              </w:rPr>
              <w:t>Structured assessment of agreement/disagreement among clinical, EEG, MRI and other localization evidence.</w:t>
            </w:r>
          </w:p>
        </w:tc>
        <w:tc>
          <w:tcPr>
            <w:tcW w:type="dxa" w:w="2033"/>
            <w:vAlign w:val="top"/>
          </w:tcPr>
          <w:p>
            <w:pPr>
              <w:spacing w:after="0"/>
            </w:pPr>
            <w:r>
              <w:rPr>
                <w:sz w:val="11"/>
              </w:rPr>
              <w:t>MedAI synthesis field</w:t>
              <w:br/>
              <w:t>MEDAI-PROPOSED</w:t>
            </w:r>
          </w:p>
        </w:tc>
        <w:tc>
          <w:tcPr>
            <w:tcW w:type="dxa" w:w="2033"/>
            <w:vAlign w:val="top"/>
          </w:tcPr>
          <w:p>
            <w:pPr>
              <w:spacing w:after="0"/>
            </w:pPr>
            <w:r>
              <w:rPr>
                <w:sz w:val="11"/>
              </w:rPr>
              <w:t>Do not generate as gold until operational rule is clinician-approved</w:t>
            </w:r>
          </w:p>
        </w:tc>
      </w:tr>
    </w:tbl>
    <w:p/>
    <w:p>
      <w:pPr>
        <w:pStyle w:val="Heading1"/>
      </w:pPr>
      <w:r>
        <w:t>4. Category/value definitions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D9EAF7"/>
          </w:tcPr>
          <w:p>
            <w:r>
              <w:rPr>
                <w:b/>
                <w:sz w:val="12"/>
              </w:rPr>
              <w:t>Variable</w:t>
            </w:r>
          </w:p>
        </w:tc>
        <w:tc>
          <w:tcPr>
            <w:tcW w:type="dxa" w:w="2541"/>
            <w:shd w:fill="D9EAF7"/>
          </w:tcPr>
          <w:p>
            <w:r>
              <w:rPr>
                <w:b/>
                <w:sz w:val="12"/>
              </w:rPr>
              <w:t>Value</w:t>
            </w:r>
          </w:p>
        </w:tc>
        <w:tc>
          <w:tcPr>
            <w:tcW w:type="dxa" w:w="2541"/>
            <w:shd w:fill="D9EAF7"/>
          </w:tcPr>
          <w:p>
            <w:r>
              <w:rPr>
                <w:b/>
                <w:sz w:val="12"/>
              </w:rPr>
              <w:t>Definition</w:t>
            </w:r>
          </w:p>
        </w:tc>
        <w:tc>
          <w:tcPr>
            <w:tcW w:type="dxa" w:w="2541"/>
            <w:shd w:fill="D9EAF7"/>
          </w:tcPr>
          <w:p>
            <w:r>
              <w:rPr>
                <w:b/>
                <w:sz w:val="12"/>
              </w:rPr>
              <w:t>Authority/status</w:t>
            </w:r>
          </w:p>
        </w:tc>
      </w:tr>
      <w:tr>
        <w:tc>
          <w:tcPr>
            <w:tcW w:type="dxa" w:w="2541"/>
            <w:vAlign w:val="top"/>
          </w:tcPr>
          <w:p>
            <w:pPr>
              <w:spacing w:after="0"/>
            </w:pPr>
            <w:r>
              <w:rPr>
                <w:sz w:val="12"/>
              </w:rPr>
              <w:t>EP002</w:t>
            </w:r>
          </w:p>
        </w:tc>
        <w:tc>
          <w:tcPr>
            <w:tcW w:type="dxa" w:w="2541"/>
            <w:vAlign w:val="top"/>
          </w:tcPr>
          <w:p>
            <w:pPr>
              <w:spacing w:after="0"/>
            </w:pPr>
            <w:r>
              <w:rPr>
                <w:sz w:val="12"/>
              </w:rPr>
              <w:t>focal</w:t>
            </w:r>
          </w:p>
        </w:tc>
        <w:tc>
          <w:tcPr>
            <w:tcW w:type="dxa" w:w="2541"/>
            <w:vAlign w:val="top"/>
          </w:tcPr>
          <w:p>
            <w:pPr>
              <w:spacing w:after="0"/>
            </w:pPr>
            <w:r>
              <w:rPr>
                <w:sz w:val="12"/>
              </w:rPr>
              <w:t>Epilepsy type characterized at the epilepsy level as focal.</w:t>
            </w:r>
          </w:p>
        </w:tc>
        <w:tc>
          <w:tcPr>
            <w:tcW w:type="dxa" w:w="2541"/>
            <w:vAlign w:val="top"/>
          </w:tcPr>
          <w:p>
            <w:pPr>
              <w:spacing w:after="0"/>
            </w:pPr>
            <w:r>
              <w:rPr>
                <w:sz w:val="12"/>
              </w:rPr>
              <w:t>ILAE 2017</w:t>
              <w:br/>
              <w:t>SOURCE-DEFINED</w:t>
            </w:r>
          </w:p>
        </w:tc>
      </w:tr>
      <w:tr>
        <w:tc>
          <w:tcPr>
            <w:tcW w:type="dxa" w:w="2541"/>
            <w:vAlign w:val="top"/>
          </w:tcPr>
          <w:p>
            <w:pPr>
              <w:spacing w:after="0"/>
            </w:pPr>
            <w:r>
              <w:rPr>
                <w:sz w:val="12"/>
              </w:rPr>
              <w:t>EP002</w:t>
            </w:r>
          </w:p>
        </w:tc>
        <w:tc>
          <w:tcPr>
            <w:tcW w:type="dxa" w:w="2541"/>
            <w:vAlign w:val="top"/>
          </w:tcPr>
          <w:p>
            <w:pPr>
              <w:spacing w:after="0"/>
            </w:pPr>
            <w:r>
              <w:rPr>
                <w:sz w:val="12"/>
              </w:rPr>
              <w:t>generalized</w:t>
            </w:r>
          </w:p>
        </w:tc>
        <w:tc>
          <w:tcPr>
            <w:tcW w:type="dxa" w:w="2541"/>
            <w:vAlign w:val="top"/>
          </w:tcPr>
          <w:p>
            <w:pPr>
              <w:spacing w:after="0"/>
            </w:pPr>
            <w:r>
              <w:rPr>
                <w:sz w:val="12"/>
              </w:rPr>
              <w:t>Epilepsy type characterized at the epilepsy level as generalized.</w:t>
            </w:r>
          </w:p>
        </w:tc>
        <w:tc>
          <w:tcPr>
            <w:tcW w:type="dxa" w:w="2541"/>
            <w:vAlign w:val="top"/>
          </w:tcPr>
          <w:p>
            <w:pPr>
              <w:spacing w:after="0"/>
            </w:pPr>
            <w:r>
              <w:rPr>
                <w:sz w:val="12"/>
              </w:rPr>
              <w:t>ILAE 2017</w:t>
              <w:br/>
              <w:t>SOURCE-DEFINED</w:t>
            </w:r>
          </w:p>
        </w:tc>
      </w:tr>
      <w:tr>
        <w:tc>
          <w:tcPr>
            <w:tcW w:type="dxa" w:w="2541"/>
            <w:vAlign w:val="top"/>
          </w:tcPr>
          <w:p>
            <w:pPr>
              <w:spacing w:after="0"/>
            </w:pPr>
            <w:r>
              <w:rPr>
                <w:sz w:val="12"/>
              </w:rPr>
              <w:t>EP002</w:t>
            </w:r>
          </w:p>
        </w:tc>
        <w:tc>
          <w:tcPr>
            <w:tcW w:type="dxa" w:w="2541"/>
            <w:vAlign w:val="top"/>
          </w:tcPr>
          <w:p>
            <w:pPr>
              <w:spacing w:after="0"/>
            </w:pPr>
            <w:r>
              <w:rPr>
                <w:sz w:val="12"/>
              </w:rPr>
              <w:t>combined_generalized_and_focal</w:t>
            </w:r>
          </w:p>
        </w:tc>
        <w:tc>
          <w:tcPr>
            <w:tcW w:type="dxa" w:w="2541"/>
            <w:vAlign w:val="top"/>
          </w:tcPr>
          <w:p>
            <w:pPr>
              <w:spacing w:after="0"/>
            </w:pPr>
            <w:r>
              <w:rPr>
                <w:sz w:val="12"/>
              </w:rPr>
              <w:t>Epilepsy type in which generalized and focal epilepsy features coexist.</w:t>
            </w:r>
          </w:p>
        </w:tc>
        <w:tc>
          <w:tcPr>
            <w:tcW w:type="dxa" w:w="2541"/>
            <w:vAlign w:val="top"/>
          </w:tcPr>
          <w:p>
            <w:pPr>
              <w:spacing w:after="0"/>
            </w:pPr>
            <w:r>
              <w:rPr>
                <w:sz w:val="12"/>
              </w:rPr>
              <w:t>ILAE 2017</w:t>
              <w:br/>
              <w:t>SOURCE-DEFINED</w:t>
            </w:r>
          </w:p>
        </w:tc>
      </w:tr>
      <w:tr>
        <w:tc>
          <w:tcPr>
            <w:tcW w:type="dxa" w:w="2541"/>
            <w:vAlign w:val="top"/>
          </w:tcPr>
          <w:p>
            <w:pPr>
              <w:spacing w:after="0"/>
            </w:pPr>
            <w:r>
              <w:rPr>
                <w:sz w:val="12"/>
              </w:rPr>
              <w:t>EP002</w:t>
            </w:r>
          </w:p>
        </w:tc>
        <w:tc>
          <w:tcPr>
            <w:tcW w:type="dxa" w:w="2541"/>
            <w:vAlign w:val="top"/>
          </w:tcPr>
          <w:p>
            <w:pPr>
              <w:spacing w:after="0"/>
            </w:pPr>
            <w:r>
              <w:rPr>
                <w:sz w:val="12"/>
              </w:rPr>
              <w:t>unknown</w:t>
            </w:r>
          </w:p>
        </w:tc>
        <w:tc>
          <w:tcPr>
            <w:tcW w:type="dxa" w:w="2541"/>
            <w:vAlign w:val="top"/>
          </w:tcPr>
          <w:p>
            <w:pPr>
              <w:spacing w:after="0"/>
            </w:pPr>
            <w:r>
              <w:rPr>
                <w:sz w:val="12"/>
              </w:rPr>
              <w:t>Epilepsy type cannot be determined as focal, generalized, or combined from available information.</w:t>
            </w:r>
          </w:p>
        </w:tc>
        <w:tc>
          <w:tcPr>
            <w:tcW w:type="dxa" w:w="2541"/>
            <w:vAlign w:val="top"/>
          </w:tcPr>
          <w:p>
            <w:pPr>
              <w:spacing w:after="0"/>
            </w:pPr>
            <w:r>
              <w:rPr>
                <w:sz w:val="12"/>
              </w:rPr>
              <w:t>ILAE 2017</w:t>
              <w:br/>
              <w:t>SOURCE-DEFINED</w:t>
            </w:r>
          </w:p>
        </w:tc>
      </w:tr>
      <w:tr>
        <w:tc>
          <w:tcPr>
            <w:tcW w:type="dxa" w:w="2541"/>
            <w:vAlign w:val="top"/>
          </w:tcPr>
          <w:p>
            <w:pPr>
              <w:spacing w:after="0"/>
            </w:pPr>
            <w:r>
              <w:rPr>
                <w:sz w:val="12"/>
              </w:rPr>
              <w:t>SZ001</w:t>
            </w:r>
          </w:p>
        </w:tc>
        <w:tc>
          <w:tcPr>
            <w:tcW w:type="dxa" w:w="2541"/>
            <w:vAlign w:val="top"/>
          </w:tcPr>
          <w:p>
            <w:pPr>
              <w:spacing w:after="0"/>
            </w:pPr>
            <w:r>
              <w:rPr>
                <w:sz w:val="12"/>
              </w:rPr>
              <w:t>focal</w:t>
            </w:r>
          </w:p>
        </w:tc>
        <w:tc>
          <w:tcPr>
            <w:tcW w:type="dxa" w:w="2541"/>
            <w:vAlign w:val="top"/>
          </w:tcPr>
          <w:p>
            <w:pPr>
              <w:spacing w:after="0"/>
            </w:pPr>
            <w:r>
              <w:rPr>
                <w:sz w:val="12"/>
              </w:rPr>
              <w:t>Seizure class originating within networks limited to one hemisphere; may be localized or more widely distributed.</w:t>
            </w:r>
          </w:p>
        </w:tc>
        <w:tc>
          <w:tcPr>
            <w:tcW w:type="dxa" w:w="2541"/>
            <w:vAlign w:val="top"/>
          </w:tcPr>
          <w:p>
            <w:pPr>
              <w:spacing w:after="0"/>
            </w:pPr>
            <w:r>
              <w:rPr>
                <w:sz w:val="12"/>
              </w:rPr>
              <w:t>ILAE 2025</w:t>
              <w:br/>
              <w:t>SOURCE-DEFINED</w:t>
            </w:r>
          </w:p>
        </w:tc>
      </w:tr>
      <w:tr>
        <w:tc>
          <w:tcPr>
            <w:tcW w:type="dxa" w:w="2541"/>
            <w:vAlign w:val="top"/>
          </w:tcPr>
          <w:p>
            <w:pPr>
              <w:spacing w:after="0"/>
            </w:pPr>
            <w:r>
              <w:rPr>
                <w:sz w:val="12"/>
              </w:rPr>
              <w:t>SZ001</w:t>
            </w:r>
          </w:p>
        </w:tc>
        <w:tc>
          <w:tcPr>
            <w:tcW w:type="dxa" w:w="2541"/>
            <w:vAlign w:val="top"/>
          </w:tcPr>
          <w:p>
            <w:pPr>
              <w:spacing w:after="0"/>
            </w:pPr>
            <w:r>
              <w:rPr>
                <w:sz w:val="12"/>
              </w:rPr>
              <w:t>generalized</w:t>
            </w:r>
          </w:p>
        </w:tc>
        <w:tc>
          <w:tcPr>
            <w:tcW w:type="dxa" w:w="2541"/>
            <w:vAlign w:val="top"/>
          </w:tcPr>
          <w:p>
            <w:pPr>
              <w:spacing w:after="0"/>
            </w:pPr>
            <w:r>
              <w:rPr>
                <w:sz w:val="12"/>
              </w:rPr>
              <w:t>Seizure class originating at some point within and rapidly engaging bilaterally distributed networks.</w:t>
            </w:r>
          </w:p>
        </w:tc>
        <w:tc>
          <w:tcPr>
            <w:tcW w:type="dxa" w:w="2541"/>
            <w:vAlign w:val="top"/>
          </w:tcPr>
          <w:p>
            <w:pPr>
              <w:spacing w:after="0"/>
            </w:pPr>
            <w:r>
              <w:rPr>
                <w:sz w:val="12"/>
              </w:rPr>
              <w:t>ILAE 2025</w:t>
              <w:br/>
              <w:t>SOURCE-DEFINED</w:t>
            </w:r>
          </w:p>
        </w:tc>
      </w:tr>
      <w:tr>
        <w:tc>
          <w:tcPr>
            <w:tcW w:type="dxa" w:w="2541"/>
            <w:vAlign w:val="top"/>
          </w:tcPr>
          <w:p>
            <w:pPr>
              <w:spacing w:after="0"/>
            </w:pPr>
            <w:r>
              <w:rPr>
                <w:sz w:val="12"/>
              </w:rPr>
              <w:t>SZ001</w:t>
            </w:r>
          </w:p>
        </w:tc>
        <w:tc>
          <w:tcPr>
            <w:tcW w:type="dxa" w:w="2541"/>
            <w:vAlign w:val="top"/>
          </w:tcPr>
          <w:p>
            <w:pPr>
              <w:spacing w:after="0"/>
            </w:pPr>
            <w:r>
              <w:rPr>
                <w:sz w:val="12"/>
              </w:rPr>
              <w:t>unknown_focal_or_generalized</w:t>
            </w:r>
          </w:p>
        </w:tc>
        <w:tc>
          <w:tcPr>
            <w:tcW w:type="dxa" w:w="2541"/>
            <w:vAlign w:val="top"/>
          </w:tcPr>
          <w:p>
            <w:pPr>
              <w:spacing w:after="0"/>
            </w:pPr>
            <w:r>
              <w:rPr>
                <w:sz w:val="12"/>
              </w:rPr>
              <w:t>Some seizure features are known, but evidence is insufficient to classify the seizure clearly as focal or generalized.</w:t>
            </w:r>
          </w:p>
        </w:tc>
        <w:tc>
          <w:tcPr>
            <w:tcW w:type="dxa" w:w="2541"/>
            <w:vAlign w:val="top"/>
          </w:tcPr>
          <w:p>
            <w:pPr>
              <w:spacing w:after="0"/>
            </w:pPr>
            <w:r>
              <w:rPr>
                <w:sz w:val="12"/>
              </w:rPr>
              <w:t>ILAE 2025</w:t>
              <w:br/>
              <w:t>SOURCE-DEFINED</w:t>
            </w:r>
          </w:p>
        </w:tc>
      </w:tr>
      <w:tr>
        <w:tc>
          <w:tcPr>
            <w:tcW w:type="dxa" w:w="2541"/>
            <w:vAlign w:val="top"/>
          </w:tcPr>
          <w:p>
            <w:pPr>
              <w:spacing w:after="0"/>
            </w:pPr>
            <w:r>
              <w:rPr>
                <w:sz w:val="12"/>
              </w:rPr>
              <w:t>SZ001</w:t>
            </w:r>
          </w:p>
        </w:tc>
        <w:tc>
          <w:tcPr>
            <w:tcW w:type="dxa" w:w="2541"/>
            <w:vAlign w:val="top"/>
          </w:tcPr>
          <w:p>
            <w:pPr>
              <w:spacing w:after="0"/>
            </w:pPr>
            <w:r>
              <w:rPr>
                <w:sz w:val="12"/>
              </w:rPr>
              <w:t>unclassified</w:t>
            </w:r>
          </w:p>
        </w:tc>
        <w:tc>
          <w:tcPr>
            <w:tcW w:type="dxa" w:w="2541"/>
            <w:vAlign w:val="top"/>
          </w:tcPr>
          <w:p>
            <w:pPr>
              <w:spacing w:after="0"/>
            </w:pPr>
            <w:r>
              <w:rPr>
                <w:sz w:val="12"/>
              </w:rPr>
              <w:t>Event is considered epileptic but available information is insufficient to characterize the seizure for classification.</w:t>
            </w:r>
          </w:p>
        </w:tc>
        <w:tc>
          <w:tcPr>
            <w:tcW w:type="dxa" w:w="2541"/>
            <w:vAlign w:val="top"/>
          </w:tcPr>
          <w:p>
            <w:pPr>
              <w:spacing w:after="0"/>
            </w:pPr>
            <w:r>
              <w:rPr>
                <w:sz w:val="12"/>
              </w:rPr>
              <w:t>ILAE 2025</w:t>
              <w:br/>
              <w:t>SOURCE-DEFINED</w:t>
            </w:r>
          </w:p>
        </w:tc>
      </w:tr>
      <w:tr>
        <w:tc>
          <w:tcPr>
            <w:tcW w:type="dxa" w:w="2541"/>
            <w:vAlign w:val="top"/>
          </w:tcPr>
          <w:p>
            <w:pPr>
              <w:spacing w:after="0"/>
            </w:pPr>
            <w:r>
              <w:rPr>
                <w:sz w:val="12"/>
              </w:rPr>
              <w:t>SZ003</w:t>
            </w:r>
          </w:p>
        </w:tc>
        <w:tc>
          <w:tcPr>
            <w:tcW w:type="dxa" w:w="2541"/>
            <w:vAlign w:val="top"/>
          </w:tcPr>
          <w:p>
            <w:pPr>
              <w:spacing w:after="0"/>
            </w:pPr>
            <w:r>
              <w:rPr>
                <w:sz w:val="12"/>
              </w:rPr>
              <w:t>preserved</w:t>
            </w:r>
          </w:p>
        </w:tc>
        <w:tc>
          <w:tcPr>
            <w:tcW w:type="dxa" w:w="2541"/>
            <w:vAlign w:val="top"/>
          </w:tcPr>
          <w:p>
            <w:pPr>
              <w:spacing w:after="0"/>
            </w:pPr>
            <w:r>
              <w:rPr>
                <w:sz w:val="12"/>
              </w:rPr>
              <w:t>Consciousness is preserved based on the operational assessment of awareness and responsiveness.</w:t>
            </w:r>
          </w:p>
        </w:tc>
        <w:tc>
          <w:tcPr>
            <w:tcW w:type="dxa" w:w="2541"/>
            <w:vAlign w:val="top"/>
          </w:tcPr>
          <w:p>
            <w:pPr>
              <w:spacing w:after="0"/>
            </w:pPr>
            <w:r>
              <w:rPr>
                <w:sz w:val="12"/>
              </w:rPr>
              <w:t>ILAE 2025</w:t>
              <w:br/>
              <w:t>SOURCE-DEFINED</w:t>
            </w:r>
          </w:p>
        </w:tc>
      </w:tr>
      <w:tr>
        <w:tc>
          <w:tcPr>
            <w:tcW w:type="dxa" w:w="2541"/>
            <w:vAlign w:val="top"/>
          </w:tcPr>
          <w:p>
            <w:pPr>
              <w:spacing w:after="0"/>
            </w:pPr>
            <w:r>
              <w:rPr>
                <w:sz w:val="12"/>
              </w:rPr>
              <w:t>SZ003</w:t>
            </w:r>
          </w:p>
        </w:tc>
        <w:tc>
          <w:tcPr>
            <w:tcW w:type="dxa" w:w="2541"/>
            <w:vAlign w:val="top"/>
          </w:tcPr>
          <w:p>
            <w:pPr>
              <w:spacing w:after="0"/>
            </w:pPr>
            <w:r>
              <w:rPr>
                <w:sz w:val="12"/>
              </w:rPr>
              <w:t>impaired</w:t>
            </w:r>
          </w:p>
        </w:tc>
        <w:tc>
          <w:tcPr>
            <w:tcW w:type="dxa" w:w="2541"/>
            <w:vAlign w:val="top"/>
          </w:tcPr>
          <w:p>
            <w:pPr>
              <w:spacing w:after="0"/>
            </w:pPr>
            <w:r>
              <w:rPr>
                <w:sz w:val="12"/>
              </w:rPr>
              <w:t>Consciousness is impaired based on awareness and/or responsiveness assessment according to ILAE operational rules.</w:t>
            </w:r>
          </w:p>
        </w:tc>
        <w:tc>
          <w:tcPr>
            <w:tcW w:type="dxa" w:w="2541"/>
            <w:vAlign w:val="top"/>
          </w:tcPr>
          <w:p>
            <w:pPr>
              <w:spacing w:after="0"/>
            </w:pPr>
            <w:r>
              <w:rPr>
                <w:sz w:val="12"/>
              </w:rPr>
              <w:t>ILAE 2025</w:t>
              <w:br/>
              <w:t>SOURCE-DEFINED-PARAPHRASE</w:t>
            </w:r>
          </w:p>
        </w:tc>
      </w:tr>
      <w:tr>
        <w:tc>
          <w:tcPr>
            <w:tcW w:type="dxa" w:w="2541"/>
            <w:vAlign w:val="top"/>
          </w:tcPr>
          <w:p>
            <w:pPr>
              <w:spacing w:after="0"/>
            </w:pPr>
            <w:r>
              <w:rPr>
                <w:sz w:val="12"/>
              </w:rPr>
              <w:t>SZ003</w:t>
            </w:r>
          </w:p>
        </w:tc>
        <w:tc>
          <w:tcPr>
            <w:tcW w:type="dxa" w:w="2541"/>
            <w:vAlign w:val="top"/>
          </w:tcPr>
          <w:p>
            <w:pPr>
              <w:spacing w:after="0"/>
            </w:pPr>
            <w:r>
              <w:rPr>
                <w:sz w:val="12"/>
              </w:rPr>
              <w:t>undetermined</w:t>
            </w:r>
          </w:p>
        </w:tc>
        <w:tc>
          <w:tcPr>
            <w:tcW w:type="dxa" w:w="2541"/>
            <w:vAlign w:val="top"/>
          </w:tcPr>
          <w:p>
            <w:pPr>
              <w:spacing w:after="0"/>
            </w:pPr>
            <w:r>
              <w:rPr>
                <w:sz w:val="12"/>
              </w:rPr>
              <w:t>Available information is insufficient to determine consciousness; parent seizure class is retained.</w:t>
            </w:r>
          </w:p>
        </w:tc>
        <w:tc>
          <w:tcPr>
            <w:tcW w:type="dxa" w:w="2541"/>
            <w:vAlign w:val="top"/>
          </w:tcPr>
          <w:p>
            <w:pPr>
              <w:spacing w:after="0"/>
            </w:pPr>
            <w:r>
              <w:rPr>
                <w:sz w:val="12"/>
              </w:rPr>
              <w:t>ILAE 2025</w:t>
              <w:br/>
              <w:t>SOURCE-DEFINED</w:t>
            </w:r>
          </w:p>
        </w:tc>
      </w:tr>
      <w:tr>
        <w:tc>
          <w:tcPr>
            <w:tcW w:type="dxa" w:w="2541"/>
            <w:vAlign w:val="top"/>
          </w:tcPr>
          <w:p>
            <w:pPr>
              <w:spacing w:after="0"/>
            </w:pPr>
            <w:r>
              <w:rPr>
                <w:sz w:val="12"/>
              </w:rPr>
              <w:t>SZ003</w:t>
            </w:r>
          </w:p>
        </w:tc>
        <w:tc>
          <w:tcPr>
            <w:tcW w:type="dxa" w:w="2541"/>
            <w:vAlign w:val="top"/>
          </w:tcPr>
          <w:p>
            <w:pPr>
              <w:spacing w:after="0"/>
            </w:pPr>
            <w:r>
              <w:rPr>
                <w:sz w:val="12"/>
              </w:rPr>
              <w:t>not_applicable</w:t>
            </w:r>
          </w:p>
        </w:tc>
        <w:tc>
          <w:tcPr>
            <w:tcW w:type="dxa" w:w="2541"/>
            <w:vAlign w:val="top"/>
          </w:tcPr>
          <w:p>
            <w:pPr>
              <w:spacing w:after="0"/>
            </w:pPr>
            <w:r>
              <w:rPr>
                <w:sz w:val="12"/>
              </w:rPr>
              <w:t>MedAI state for contexts where consciousness is not a classifier in the selected seizure representation.</w:t>
            </w:r>
          </w:p>
        </w:tc>
        <w:tc>
          <w:tcPr>
            <w:tcW w:type="dxa" w:w="2541"/>
            <w:vAlign w:val="top"/>
          </w:tcPr>
          <w:p>
            <w:pPr>
              <w:spacing w:after="0"/>
            </w:pPr>
            <w:r>
              <w:rPr>
                <w:sz w:val="12"/>
              </w:rPr>
              <w:t>MedAI</w:t>
              <w:br/>
              <w:t>MEDAI-PROPOSED</w:t>
            </w:r>
          </w:p>
        </w:tc>
      </w:tr>
      <w:tr>
        <w:tc>
          <w:tcPr>
            <w:tcW w:type="dxa" w:w="2541"/>
            <w:vAlign w:val="top"/>
          </w:tcPr>
          <w:p>
            <w:pPr>
              <w:spacing w:after="0"/>
            </w:pPr>
            <w:r>
              <w:rPr>
                <w:sz w:val="12"/>
              </w:rPr>
              <w:t>ET001</w:t>
            </w:r>
          </w:p>
        </w:tc>
        <w:tc>
          <w:tcPr>
            <w:tcW w:type="dxa" w:w="2541"/>
            <w:vAlign w:val="top"/>
          </w:tcPr>
          <w:p>
            <w:pPr>
              <w:spacing w:after="0"/>
            </w:pPr>
            <w:r>
              <w:rPr>
                <w:sz w:val="12"/>
              </w:rPr>
              <w:t>structural</w:t>
            </w:r>
          </w:p>
        </w:tc>
        <w:tc>
          <w:tcPr>
            <w:tcW w:type="dxa" w:w="2541"/>
            <w:vAlign w:val="top"/>
          </w:tcPr>
          <w:p>
            <w:pPr>
              <w:spacing w:after="0"/>
            </w:pPr>
            <w:r>
              <w:rPr>
                <w:sz w:val="12"/>
              </w:rPr>
              <w:t>Etiology supported by a structural abnormality considered relevant to epilepsy.</w:t>
            </w:r>
          </w:p>
        </w:tc>
        <w:tc>
          <w:tcPr>
            <w:tcW w:type="dxa" w:w="2541"/>
            <w:vAlign w:val="top"/>
          </w:tcPr>
          <w:p>
            <w:pPr>
              <w:spacing w:after="0"/>
            </w:pPr>
            <w:r>
              <w:rPr>
                <w:sz w:val="12"/>
              </w:rPr>
              <w:t>ILAE 2017</w:t>
              <w:br/>
              <w:t>SOURCE-DEFINED-CONCEPT</w:t>
            </w:r>
          </w:p>
        </w:tc>
      </w:tr>
      <w:tr>
        <w:tc>
          <w:tcPr>
            <w:tcW w:type="dxa" w:w="2541"/>
            <w:vAlign w:val="top"/>
          </w:tcPr>
          <w:p>
            <w:pPr>
              <w:spacing w:after="0"/>
            </w:pPr>
            <w:r>
              <w:rPr>
                <w:sz w:val="12"/>
              </w:rPr>
              <w:t>ET001</w:t>
            </w:r>
          </w:p>
        </w:tc>
        <w:tc>
          <w:tcPr>
            <w:tcW w:type="dxa" w:w="2541"/>
            <w:vAlign w:val="top"/>
          </w:tcPr>
          <w:p>
            <w:pPr>
              <w:spacing w:after="0"/>
            </w:pPr>
            <w:r>
              <w:rPr>
                <w:sz w:val="12"/>
              </w:rPr>
              <w:t>genetic</w:t>
            </w:r>
          </w:p>
        </w:tc>
        <w:tc>
          <w:tcPr>
            <w:tcW w:type="dxa" w:w="2541"/>
            <w:vAlign w:val="top"/>
          </w:tcPr>
          <w:p>
            <w:pPr>
              <w:spacing w:after="0"/>
            </w:pPr>
            <w:r>
              <w:rPr>
                <w:sz w:val="12"/>
              </w:rPr>
              <w:t>Etiology in which a genetic cause is known or presumed to be central to the epilepsy.</w:t>
            </w:r>
          </w:p>
        </w:tc>
        <w:tc>
          <w:tcPr>
            <w:tcW w:type="dxa" w:w="2541"/>
            <w:vAlign w:val="top"/>
          </w:tcPr>
          <w:p>
            <w:pPr>
              <w:spacing w:after="0"/>
            </w:pPr>
            <w:r>
              <w:rPr>
                <w:sz w:val="12"/>
              </w:rPr>
              <w:t>ILAE 2017</w:t>
              <w:br/>
              <w:t>SOURCE-DEFINED-CONCEPT</w:t>
            </w:r>
          </w:p>
        </w:tc>
      </w:tr>
      <w:tr>
        <w:tc>
          <w:tcPr>
            <w:tcW w:type="dxa" w:w="2541"/>
            <w:vAlign w:val="top"/>
          </w:tcPr>
          <w:p>
            <w:pPr>
              <w:spacing w:after="0"/>
            </w:pPr>
            <w:r>
              <w:rPr>
                <w:sz w:val="12"/>
              </w:rPr>
              <w:t>ET001</w:t>
            </w:r>
          </w:p>
        </w:tc>
        <w:tc>
          <w:tcPr>
            <w:tcW w:type="dxa" w:w="2541"/>
            <w:vAlign w:val="top"/>
          </w:tcPr>
          <w:p>
            <w:pPr>
              <w:spacing w:after="0"/>
            </w:pPr>
            <w:r>
              <w:rPr>
                <w:sz w:val="12"/>
              </w:rPr>
              <w:t>infectious</w:t>
            </w:r>
          </w:p>
        </w:tc>
        <w:tc>
          <w:tcPr>
            <w:tcW w:type="dxa" w:w="2541"/>
            <w:vAlign w:val="top"/>
          </w:tcPr>
          <w:p>
            <w:pPr>
              <w:spacing w:after="0"/>
            </w:pPr>
            <w:r>
              <w:rPr>
                <w:sz w:val="12"/>
              </w:rPr>
              <w:t>Etiology attributed to infection associated with epilepsy.</w:t>
            </w:r>
          </w:p>
        </w:tc>
        <w:tc>
          <w:tcPr>
            <w:tcW w:type="dxa" w:w="2541"/>
            <w:vAlign w:val="top"/>
          </w:tcPr>
          <w:p>
            <w:pPr>
              <w:spacing w:after="0"/>
            </w:pPr>
            <w:r>
              <w:rPr>
                <w:sz w:val="12"/>
              </w:rPr>
              <w:t>ILAE 2017</w:t>
              <w:br/>
              <w:t>SOURCE-DEFINED-CONCEPT</w:t>
            </w:r>
          </w:p>
        </w:tc>
      </w:tr>
      <w:tr>
        <w:tc>
          <w:tcPr>
            <w:tcW w:type="dxa" w:w="2541"/>
            <w:vAlign w:val="top"/>
          </w:tcPr>
          <w:p>
            <w:pPr>
              <w:spacing w:after="0"/>
            </w:pPr>
            <w:r>
              <w:rPr>
                <w:sz w:val="12"/>
              </w:rPr>
              <w:t>ET001</w:t>
            </w:r>
          </w:p>
        </w:tc>
        <w:tc>
          <w:tcPr>
            <w:tcW w:type="dxa" w:w="2541"/>
            <w:vAlign w:val="top"/>
          </w:tcPr>
          <w:p>
            <w:pPr>
              <w:spacing w:after="0"/>
            </w:pPr>
            <w:r>
              <w:rPr>
                <w:sz w:val="12"/>
              </w:rPr>
              <w:t>metabolic</w:t>
            </w:r>
          </w:p>
        </w:tc>
        <w:tc>
          <w:tcPr>
            <w:tcW w:type="dxa" w:w="2541"/>
            <w:vAlign w:val="top"/>
          </w:tcPr>
          <w:p>
            <w:pPr>
              <w:spacing w:after="0"/>
            </w:pPr>
            <w:r>
              <w:rPr>
                <w:sz w:val="12"/>
              </w:rPr>
              <w:t>Etiology attributed to a metabolic disorder in which epilepsy is a core manifestation.</w:t>
            </w:r>
          </w:p>
        </w:tc>
        <w:tc>
          <w:tcPr>
            <w:tcW w:type="dxa" w:w="2541"/>
            <w:vAlign w:val="top"/>
          </w:tcPr>
          <w:p>
            <w:pPr>
              <w:spacing w:after="0"/>
            </w:pPr>
            <w:r>
              <w:rPr>
                <w:sz w:val="12"/>
              </w:rPr>
              <w:t>ILAE 2017</w:t>
              <w:br/>
              <w:t>SOURCE-DEFINED-CONCEPT</w:t>
            </w:r>
          </w:p>
        </w:tc>
      </w:tr>
      <w:tr>
        <w:tc>
          <w:tcPr>
            <w:tcW w:type="dxa" w:w="2541"/>
            <w:vAlign w:val="top"/>
          </w:tcPr>
          <w:p>
            <w:pPr>
              <w:spacing w:after="0"/>
            </w:pPr>
            <w:r>
              <w:rPr>
                <w:sz w:val="12"/>
              </w:rPr>
              <w:t>ET001</w:t>
            </w:r>
          </w:p>
        </w:tc>
        <w:tc>
          <w:tcPr>
            <w:tcW w:type="dxa" w:w="2541"/>
            <w:vAlign w:val="top"/>
          </w:tcPr>
          <w:p>
            <w:pPr>
              <w:spacing w:after="0"/>
            </w:pPr>
            <w:r>
              <w:rPr>
                <w:sz w:val="12"/>
              </w:rPr>
              <w:t>immune</w:t>
            </w:r>
          </w:p>
        </w:tc>
        <w:tc>
          <w:tcPr>
            <w:tcW w:type="dxa" w:w="2541"/>
            <w:vAlign w:val="top"/>
          </w:tcPr>
          <w:p>
            <w:pPr>
              <w:spacing w:after="0"/>
            </w:pPr>
            <w:r>
              <w:rPr>
                <w:sz w:val="12"/>
              </w:rPr>
              <w:t>Etiology attributed to an immune-mediated disorder in which epilepsy is a core manifestation.</w:t>
            </w:r>
          </w:p>
        </w:tc>
        <w:tc>
          <w:tcPr>
            <w:tcW w:type="dxa" w:w="2541"/>
            <w:vAlign w:val="top"/>
          </w:tcPr>
          <w:p>
            <w:pPr>
              <w:spacing w:after="0"/>
            </w:pPr>
            <w:r>
              <w:rPr>
                <w:sz w:val="12"/>
              </w:rPr>
              <w:t>ILAE 2017</w:t>
              <w:br/>
              <w:t>SOURCE-DEFINED-CONCEPT</w:t>
            </w:r>
          </w:p>
        </w:tc>
      </w:tr>
      <w:tr>
        <w:tc>
          <w:tcPr>
            <w:tcW w:type="dxa" w:w="2541"/>
            <w:vAlign w:val="top"/>
          </w:tcPr>
          <w:p>
            <w:pPr>
              <w:spacing w:after="0"/>
            </w:pPr>
            <w:r>
              <w:rPr>
                <w:sz w:val="12"/>
              </w:rPr>
              <w:t>ET001</w:t>
            </w:r>
          </w:p>
        </w:tc>
        <w:tc>
          <w:tcPr>
            <w:tcW w:type="dxa" w:w="2541"/>
            <w:vAlign w:val="top"/>
          </w:tcPr>
          <w:p>
            <w:pPr>
              <w:spacing w:after="0"/>
            </w:pPr>
            <w:r>
              <w:rPr>
                <w:sz w:val="12"/>
              </w:rPr>
              <w:t>unknown</w:t>
            </w:r>
          </w:p>
        </w:tc>
        <w:tc>
          <w:tcPr>
            <w:tcW w:type="dxa" w:w="2541"/>
            <w:vAlign w:val="top"/>
          </w:tcPr>
          <w:p>
            <w:pPr>
              <w:spacing w:after="0"/>
            </w:pPr>
            <w:r>
              <w:rPr>
                <w:sz w:val="12"/>
              </w:rPr>
              <w:t>Cause of epilepsy is not known from available evidence.</w:t>
            </w:r>
          </w:p>
        </w:tc>
        <w:tc>
          <w:tcPr>
            <w:tcW w:type="dxa" w:w="2541"/>
            <w:vAlign w:val="top"/>
          </w:tcPr>
          <w:p>
            <w:pPr>
              <w:spacing w:after="0"/>
            </w:pPr>
            <w:r>
              <w:rPr>
                <w:sz w:val="12"/>
              </w:rPr>
              <w:t>ILAE 2017</w:t>
              <w:br/>
              <w:t>SOURCE-DEFINED-CONCEPT</w:t>
            </w:r>
          </w:p>
        </w:tc>
      </w:tr>
      <w:tr>
        <w:tc>
          <w:tcPr>
            <w:tcW w:type="dxa" w:w="2541"/>
            <w:vAlign w:val="top"/>
          </w:tcPr>
          <w:p>
            <w:pPr>
              <w:spacing w:after="0"/>
            </w:pPr>
            <w:r>
              <w:rPr>
                <w:sz w:val="12"/>
              </w:rPr>
              <w:t>TX004</w:t>
            </w:r>
          </w:p>
        </w:tc>
        <w:tc>
          <w:tcPr>
            <w:tcW w:type="dxa" w:w="2541"/>
            <w:vAlign w:val="top"/>
          </w:tcPr>
          <w:p>
            <w:pPr>
              <w:spacing w:after="0"/>
            </w:pPr>
            <w:r>
              <w:rPr>
                <w:sz w:val="12"/>
              </w:rPr>
              <w:t>yes</w:t>
            </w:r>
          </w:p>
        </w:tc>
        <w:tc>
          <w:tcPr>
            <w:tcW w:type="dxa" w:w="2541"/>
            <w:vAlign w:val="top"/>
          </w:tcPr>
          <w:p>
            <w:pPr>
              <w:spacing w:after="0"/>
            </w:pPr>
            <w:r>
              <w:rPr>
                <w:sz w:val="12"/>
              </w:rPr>
              <w:t>Documentation supports the ILAE drug-resistance definition.</w:t>
            </w:r>
          </w:p>
        </w:tc>
        <w:tc>
          <w:tcPr>
            <w:tcW w:type="dxa" w:w="2541"/>
            <w:vAlign w:val="top"/>
          </w:tcPr>
          <w:p>
            <w:pPr>
              <w:spacing w:after="0"/>
            </w:pPr>
            <w:r>
              <w:rPr>
                <w:sz w:val="12"/>
              </w:rPr>
              <w:t>ILAE + MedAI operationalization</w:t>
              <w:br/>
              <w:t>OPERATIONALIZED</w:t>
            </w:r>
          </w:p>
        </w:tc>
      </w:tr>
      <w:tr>
        <w:tc>
          <w:tcPr>
            <w:tcW w:type="dxa" w:w="2541"/>
            <w:vAlign w:val="top"/>
          </w:tcPr>
          <w:p>
            <w:pPr>
              <w:spacing w:after="0"/>
            </w:pPr>
            <w:r>
              <w:rPr>
                <w:sz w:val="12"/>
              </w:rPr>
              <w:t>TX004</w:t>
            </w:r>
          </w:p>
        </w:tc>
        <w:tc>
          <w:tcPr>
            <w:tcW w:type="dxa" w:w="2541"/>
            <w:vAlign w:val="top"/>
          </w:tcPr>
          <w:p>
            <w:pPr>
              <w:spacing w:after="0"/>
            </w:pPr>
            <w:r>
              <w:rPr>
                <w:sz w:val="12"/>
              </w:rPr>
              <w:t>no</w:t>
            </w:r>
          </w:p>
        </w:tc>
        <w:tc>
          <w:tcPr>
            <w:tcW w:type="dxa" w:w="2541"/>
            <w:vAlign w:val="top"/>
          </w:tcPr>
          <w:p>
            <w:pPr>
              <w:spacing w:after="0"/>
            </w:pPr>
            <w:r>
              <w:rPr>
                <w:sz w:val="12"/>
              </w:rPr>
              <w:t>Documentation supports that the patient does not currently meet the MedAI operationalized DRE definition.</w:t>
            </w:r>
          </w:p>
        </w:tc>
        <w:tc>
          <w:tcPr>
            <w:tcW w:type="dxa" w:w="2541"/>
            <w:vAlign w:val="top"/>
          </w:tcPr>
          <w:p>
            <w:pPr>
              <w:spacing w:after="0"/>
            </w:pPr>
            <w:r>
              <w:rPr>
                <w:sz w:val="12"/>
              </w:rPr>
              <w:t>MedAI</w:t>
              <w:br/>
              <w:t>MEDAI-PROPOSED</w:t>
            </w:r>
          </w:p>
        </w:tc>
      </w:tr>
      <w:tr>
        <w:tc>
          <w:tcPr>
            <w:tcW w:type="dxa" w:w="2541"/>
            <w:vAlign w:val="top"/>
          </w:tcPr>
          <w:p>
            <w:pPr>
              <w:spacing w:after="0"/>
            </w:pPr>
            <w:r>
              <w:rPr>
                <w:sz w:val="12"/>
              </w:rPr>
              <w:t>TX004</w:t>
            </w:r>
          </w:p>
        </w:tc>
        <w:tc>
          <w:tcPr>
            <w:tcW w:type="dxa" w:w="2541"/>
            <w:vAlign w:val="top"/>
          </w:tcPr>
          <w:p>
            <w:pPr>
              <w:spacing w:after="0"/>
            </w:pPr>
            <w:r>
              <w:rPr>
                <w:sz w:val="12"/>
              </w:rPr>
              <w:t>indeterminate</w:t>
            </w:r>
          </w:p>
        </w:tc>
        <w:tc>
          <w:tcPr>
            <w:tcW w:type="dxa" w:w="2541"/>
            <w:vAlign w:val="top"/>
          </w:tcPr>
          <w:p>
            <w:pPr>
              <w:spacing w:after="0"/>
            </w:pPr>
            <w:r>
              <w:rPr>
                <w:sz w:val="12"/>
              </w:rPr>
              <w:t>Available documentation is insufficient to determine whether the ILAE DRE definition is met.</w:t>
            </w:r>
          </w:p>
        </w:tc>
        <w:tc>
          <w:tcPr>
            <w:tcW w:type="dxa" w:w="2541"/>
            <w:vAlign w:val="top"/>
          </w:tcPr>
          <w:p>
            <w:pPr>
              <w:spacing w:after="0"/>
            </w:pPr>
            <w:r>
              <w:rPr>
                <w:sz w:val="12"/>
              </w:rPr>
              <w:t>MedAI</w:t>
              <w:br/>
              <w:t>MEDAI-PROPOSED</w:t>
            </w:r>
          </w:p>
        </w:tc>
      </w:tr>
      <w:tr>
        <w:tc>
          <w:tcPr>
            <w:tcW w:type="dxa" w:w="2541"/>
            <w:vAlign w:val="top"/>
          </w:tcPr>
          <w:p>
            <w:pPr>
              <w:spacing w:after="0"/>
            </w:pPr>
            <w:r>
              <w:rPr>
                <w:sz w:val="12"/>
              </w:rPr>
              <w:t>MRI003</w:t>
            </w:r>
          </w:p>
        </w:tc>
        <w:tc>
          <w:tcPr>
            <w:tcW w:type="dxa" w:w="2541"/>
            <w:vAlign w:val="top"/>
          </w:tcPr>
          <w:p>
            <w:pPr>
              <w:spacing w:after="0"/>
            </w:pPr>
            <w:r>
              <w:rPr>
                <w:sz w:val="12"/>
              </w:rPr>
              <w:t>hippocampal_sclerosis</w:t>
            </w:r>
          </w:p>
        </w:tc>
        <w:tc>
          <w:tcPr>
            <w:tcW w:type="dxa" w:w="2541"/>
            <w:vAlign w:val="top"/>
          </w:tcPr>
          <w:p>
            <w:pPr>
              <w:spacing w:after="0"/>
            </w:pPr>
            <w:r>
              <w:rPr>
                <w:sz w:val="12"/>
              </w:rPr>
              <w:t>MRI-level report/impression of hippocampal sclerosis; must not be assigned an ILAE histopathologic HS subtype from MRI alone.</w:t>
            </w:r>
          </w:p>
        </w:tc>
        <w:tc>
          <w:tcPr>
            <w:tcW w:type="dxa" w:w="2541"/>
            <w:vAlign w:val="top"/>
          </w:tcPr>
          <w:p>
            <w:pPr>
              <w:spacing w:after="0"/>
            </w:pPr>
            <w:r>
              <w:rPr>
                <w:sz w:val="12"/>
              </w:rPr>
              <w:t>MedAI imaging representation informed by ILAE pathology boundary</w:t>
              <w:br/>
              <w:t>MEDAI-ADAPTED</w:t>
            </w:r>
          </w:p>
        </w:tc>
      </w:tr>
      <w:tr>
        <w:tc>
          <w:tcPr>
            <w:tcW w:type="dxa" w:w="2541"/>
            <w:vAlign w:val="top"/>
          </w:tcPr>
          <w:p>
            <w:pPr>
              <w:spacing w:after="0"/>
            </w:pPr>
            <w:r>
              <w:rPr>
                <w:sz w:val="12"/>
              </w:rPr>
              <w:t>MRI003</w:t>
            </w:r>
          </w:p>
        </w:tc>
        <w:tc>
          <w:tcPr>
            <w:tcW w:type="dxa" w:w="2541"/>
            <w:vAlign w:val="top"/>
          </w:tcPr>
          <w:p>
            <w:pPr>
              <w:spacing w:after="0"/>
            </w:pPr>
            <w:r>
              <w:rPr>
                <w:sz w:val="12"/>
              </w:rPr>
              <w:t>focal_cortical_dysplasia</w:t>
            </w:r>
          </w:p>
        </w:tc>
        <w:tc>
          <w:tcPr>
            <w:tcW w:type="dxa" w:w="2541"/>
            <w:vAlign w:val="top"/>
          </w:tcPr>
          <w:p>
            <w:pPr>
              <w:spacing w:after="0"/>
            </w:pPr>
            <w:r>
              <w:rPr>
                <w:sz w:val="12"/>
              </w:rPr>
              <w:t>MRI-level report/impression of focal cortical dysplasia; histopathologic FCD subtype is a separate assertion.</w:t>
            </w:r>
          </w:p>
        </w:tc>
        <w:tc>
          <w:tcPr>
            <w:tcW w:type="dxa" w:w="2541"/>
            <w:vAlign w:val="top"/>
          </w:tcPr>
          <w:p>
            <w:pPr>
              <w:spacing w:after="0"/>
            </w:pPr>
            <w:r>
              <w:rPr>
                <w:sz w:val="12"/>
              </w:rPr>
              <w:t>MedAI imaging representation informed by ILAE pathology boundary</w:t>
              <w:br/>
              <w:t>MEDAI-ADAPTED</w:t>
            </w:r>
          </w:p>
        </w:tc>
      </w:tr>
      <w:tr>
        <w:tc>
          <w:tcPr>
            <w:tcW w:type="dxa" w:w="2541"/>
            <w:vAlign w:val="top"/>
          </w:tcPr>
          <w:p>
            <w:pPr>
              <w:spacing w:after="0"/>
            </w:pPr>
            <w:r>
              <w:rPr>
                <w:sz w:val="12"/>
              </w:rPr>
              <w:t>MRI003</w:t>
            </w:r>
          </w:p>
        </w:tc>
        <w:tc>
          <w:tcPr>
            <w:tcW w:type="dxa" w:w="2541"/>
            <w:vAlign w:val="top"/>
          </w:tcPr>
          <w:p>
            <w:pPr>
              <w:spacing w:after="0"/>
            </w:pPr>
            <w:r>
              <w:rPr>
                <w:sz w:val="12"/>
              </w:rPr>
              <w:t>tumor</w:t>
            </w:r>
          </w:p>
        </w:tc>
        <w:tc>
          <w:tcPr>
            <w:tcW w:type="dxa" w:w="2541"/>
            <w:vAlign w:val="top"/>
          </w:tcPr>
          <w:p>
            <w:pPr>
              <w:spacing w:after="0"/>
            </w:pPr>
            <w:r>
              <w:rPr>
                <w:sz w:val="12"/>
              </w:rPr>
              <w:t>Imaging-level tumor lesion category; exact ontology subclasses pending.</w:t>
            </w:r>
          </w:p>
        </w:tc>
        <w:tc>
          <w:tcPr>
            <w:tcW w:type="dxa" w:w="2541"/>
            <w:vAlign w:val="top"/>
          </w:tcPr>
          <w:p>
            <w:pPr>
              <w:spacing w:after="0"/>
            </w:pPr>
            <w:r>
              <w:rPr>
                <w:sz w:val="12"/>
              </w:rPr>
              <w:t>MedAI</w:t>
              <w:br/>
              <w:t>MEDAI-PROPOSED</w:t>
            </w:r>
          </w:p>
        </w:tc>
      </w:tr>
      <w:tr>
        <w:tc>
          <w:tcPr>
            <w:tcW w:type="dxa" w:w="2541"/>
            <w:vAlign w:val="top"/>
          </w:tcPr>
          <w:p>
            <w:pPr>
              <w:spacing w:after="0"/>
            </w:pPr>
            <w:r>
              <w:rPr>
                <w:sz w:val="12"/>
              </w:rPr>
              <w:t>MRI003</w:t>
            </w:r>
          </w:p>
        </w:tc>
        <w:tc>
          <w:tcPr>
            <w:tcW w:type="dxa" w:w="2541"/>
            <w:vAlign w:val="top"/>
          </w:tcPr>
          <w:p>
            <w:pPr>
              <w:spacing w:after="0"/>
            </w:pPr>
            <w:r>
              <w:rPr>
                <w:sz w:val="12"/>
              </w:rPr>
              <w:t>vascular_lesion</w:t>
            </w:r>
          </w:p>
        </w:tc>
        <w:tc>
          <w:tcPr>
            <w:tcW w:type="dxa" w:w="2541"/>
            <w:vAlign w:val="top"/>
          </w:tcPr>
          <w:p>
            <w:pPr>
              <w:spacing w:after="0"/>
            </w:pPr>
            <w:r>
              <w:rPr>
                <w:sz w:val="12"/>
              </w:rPr>
              <w:t>Imaging-level vascular lesion category; exact ontology subclasses pending.</w:t>
            </w:r>
          </w:p>
        </w:tc>
        <w:tc>
          <w:tcPr>
            <w:tcW w:type="dxa" w:w="2541"/>
            <w:vAlign w:val="top"/>
          </w:tcPr>
          <w:p>
            <w:pPr>
              <w:spacing w:after="0"/>
            </w:pPr>
            <w:r>
              <w:rPr>
                <w:sz w:val="12"/>
              </w:rPr>
              <w:t>MedAI</w:t>
              <w:br/>
              <w:t>MEDAI-PROPOSED</w:t>
            </w:r>
          </w:p>
        </w:tc>
      </w:tr>
      <w:tr>
        <w:tc>
          <w:tcPr>
            <w:tcW w:type="dxa" w:w="2541"/>
            <w:vAlign w:val="top"/>
          </w:tcPr>
          <w:p>
            <w:pPr>
              <w:spacing w:after="0"/>
            </w:pPr>
            <w:r>
              <w:rPr>
                <w:sz w:val="12"/>
              </w:rPr>
              <w:t>MRI003</w:t>
            </w:r>
          </w:p>
        </w:tc>
        <w:tc>
          <w:tcPr>
            <w:tcW w:type="dxa" w:w="2541"/>
            <w:vAlign w:val="top"/>
          </w:tcPr>
          <w:p>
            <w:pPr>
              <w:spacing w:after="0"/>
            </w:pPr>
            <w:r>
              <w:rPr>
                <w:sz w:val="12"/>
              </w:rPr>
              <w:t>other</w:t>
            </w:r>
          </w:p>
        </w:tc>
        <w:tc>
          <w:tcPr>
            <w:tcW w:type="dxa" w:w="2541"/>
            <w:vAlign w:val="top"/>
          </w:tcPr>
          <w:p>
            <w:pPr>
              <w:spacing w:after="0"/>
            </w:pPr>
            <w:r>
              <w:rPr>
                <w:sz w:val="12"/>
              </w:rPr>
              <w:t>Documented lesion not represented by a frozen specific v1 value.</w:t>
            </w:r>
          </w:p>
        </w:tc>
        <w:tc>
          <w:tcPr>
            <w:tcW w:type="dxa" w:w="2541"/>
            <w:vAlign w:val="top"/>
          </w:tcPr>
          <w:p>
            <w:pPr>
              <w:spacing w:after="0"/>
            </w:pPr>
            <w:r>
              <w:rPr>
                <w:sz w:val="12"/>
              </w:rPr>
              <w:t>MedAI</w:t>
              <w:br/>
              <w:t>MEDAI-PROPOSED</w:t>
            </w:r>
          </w:p>
        </w:tc>
      </w:tr>
      <w:tr>
        <w:tc>
          <w:tcPr>
            <w:tcW w:type="dxa" w:w="2541"/>
            <w:vAlign w:val="top"/>
          </w:tcPr>
          <w:p>
            <w:pPr>
              <w:spacing w:after="0"/>
            </w:pPr>
            <w:r>
              <w:rPr>
                <w:sz w:val="12"/>
              </w:rPr>
              <w:t>MRI003</w:t>
            </w:r>
          </w:p>
        </w:tc>
        <w:tc>
          <w:tcPr>
            <w:tcW w:type="dxa" w:w="2541"/>
            <w:vAlign w:val="top"/>
          </w:tcPr>
          <w:p>
            <w:pPr>
              <w:spacing w:after="0"/>
            </w:pPr>
            <w:r>
              <w:rPr>
                <w:sz w:val="12"/>
              </w:rPr>
              <w:t>none</w:t>
            </w:r>
          </w:p>
        </w:tc>
        <w:tc>
          <w:tcPr>
            <w:tcW w:type="dxa" w:w="2541"/>
            <w:vAlign w:val="top"/>
          </w:tcPr>
          <w:p>
            <w:pPr>
              <w:spacing w:after="0"/>
            </w:pPr>
            <w:r>
              <w:rPr>
                <w:sz w:val="12"/>
              </w:rPr>
              <w:t>No lesion supported by the source MRI interpretation under the MedAI annotation rule.</w:t>
            </w:r>
          </w:p>
        </w:tc>
        <w:tc>
          <w:tcPr>
            <w:tcW w:type="dxa" w:w="2541"/>
            <w:vAlign w:val="top"/>
          </w:tcPr>
          <w:p>
            <w:pPr>
              <w:spacing w:after="0"/>
            </w:pPr>
            <w:r>
              <w:rPr>
                <w:sz w:val="12"/>
              </w:rPr>
              <w:t>MedAI</w:t>
              <w:br/>
              <w:t>MEDAI-PROPOSED</w:t>
            </w:r>
          </w:p>
        </w:tc>
      </w:tr>
      <w:tr>
        <w:tc>
          <w:tcPr>
            <w:tcW w:type="dxa" w:w="2541"/>
            <w:vAlign w:val="top"/>
          </w:tcPr>
          <w:p>
            <w:pPr>
              <w:spacing w:after="0"/>
            </w:pPr>
            <w:r>
              <w:rPr>
                <w:sz w:val="12"/>
              </w:rPr>
              <w:t>MRI003</w:t>
            </w:r>
          </w:p>
        </w:tc>
        <w:tc>
          <w:tcPr>
            <w:tcW w:type="dxa" w:w="2541"/>
            <w:vAlign w:val="top"/>
          </w:tcPr>
          <w:p>
            <w:pPr>
              <w:spacing w:after="0"/>
            </w:pPr>
            <w:r>
              <w:rPr>
                <w:sz w:val="12"/>
              </w:rPr>
              <w:t>uncertain</w:t>
            </w:r>
          </w:p>
        </w:tc>
        <w:tc>
          <w:tcPr>
            <w:tcW w:type="dxa" w:w="2541"/>
            <w:vAlign w:val="top"/>
          </w:tcPr>
          <w:p>
            <w:pPr>
              <w:spacing w:after="0"/>
            </w:pPr>
            <w:r>
              <w:rPr>
                <w:sz w:val="12"/>
              </w:rPr>
              <w:t>Source suggests a possible lesion but does not support a definite lesion-type assertion.</w:t>
            </w:r>
          </w:p>
        </w:tc>
        <w:tc>
          <w:tcPr>
            <w:tcW w:type="dxa" w:w="2541"/>
            <w:vAlign w:val="top"/>
          </w:tcPr>
          <w:p>
            <w:pPr>
              <w:spacing w:after="0"/>
            </w:pPr>
            <w:r>
              <w:rPr>
                <w:sz w:val="12"/>
              </w:rPr>
              <w:t>MedAI</w:t>
              <w:br/>
              <w:t>MEDAI-PROPOSED</w:t>
            </w:r>
          </w:p>
        </w:tc>
      </w:tr>
      <w:tr>
        <w:tc>
          <w:tcPr>
            <w:tcW w:type="dxa" w:w="2541"/>
            <w:vAlign w:val="top"/>
          </w:tcPr>
          <w:p>
            <w:pPr>
              <w:spacing w:after="0"/>
            </w:pPr>
            <w:r>
              <w:rPr>
                <w:sz w:val="12"/>
              </w:rPr>
              <w:t>MRI005</w:t>
            </w:r>
          </w:p>
        </w:tc>
        <w:tc>
          <w:tcPr>
            <w:tcW w:type="dxa" w:w="2541"/>
            <w:vAlign w:val="top"/>
          </w:tcPr>
          <w:p>
            <w:pPr>
              <w:spacing w:after="0"/>
            </w:pPr>
            <w:r>
              <w:rPr>
                <w:sz w:val="12"/>
              </w:rPr>
              <w:t>left</w:t>
            </w:r>
          </w:p>
        </w:tc>
        <w:tc>
          <w:tcPr>
            <w:tcW w:type="dxa" w:w="2541"/>
            <w:vAlign w:val="top"/>
          </w:tcPr>
          <w:p>
            <w:pPr>
              <w:spacing w:after="0"/>
            </w:pPr>
            <w:r>
              <w:rPr>
                <w:sz w:val="12"/>
              </w:rPr>
              <w:t>Finding explicitly localized to the left side.</w:t>
            </w:r>
          </w:p>
        </w:tc>
        <w:tc>
          <w:tcPr>
            <w:tcW w:type="dxa" w:w="2541"/>
            <w:vAlign w:val="top"/>
          </w:tcPr>
          <w:p>
            <w:pPr>
              <w:spacing w:after="0"/>
            </w:pPr>
            <w:r>
              <w:rPr>
                <w:sz w:val="12"/>
              </w:rPr>
              <w:t>MedAI operational</w:t>
              <w:br/>
              <w:t>MEDAI-PROPOSED</w:t>
            </w:r>
          </w:p>
        </w:tc>
      </w:tr>
      <w:tr>
        <w:tc>
          <w:tcPr>
            <w:tcW w:type="dxa" w:w="2541"/>
            <w:vAlign w:val="top"/>
          </w:tcPr>
          <w:p>
            <w:pPr>
              <w:spacing w:after="0"/>
            </w:pPr>
            <w:r>
              <w:rPr>
                <w:sz w:val="12"/>
              </w:rPr>
              <w:t>MRI005</w:t>
            </w:r>
          </w:p>
        </w:tc>
        <w:tc>
          <w:tcPr>
            <w:tcW w:type="dxa" w:w="2541"/>
            <w:vAlign w:val="top"/>
          </w:tcPr>
          <w:p>
            <w:pPr>
              <w:spacing w:after="0"/>
            </w:pPr>
            <w:r>
              <w:rPr>
                <w:sz w:val="12"/>
              </w:rPr>
              <w:t>right</w:t>
            </w:r>
          </w:p>
        </w:tc>
        <w:tc>
          <w:tcPr>
            <w:tcW w:type="dxa" w:w="2541"/>
            <w:vAlign w:val="top"/>
          </w:tcPr>
          <w:p>
            <w:pPr>
              <w:spacing w:after="0"/>
            </w:pPr>
            <w:r>
              <w:rPr>
                <w:sz w:val="12"/>
              </w:rPr>
              <w:t>Finding explicitly localized to the right side.</w:t>
            </w:r>
          </w:p>
        </w:tc>
        <w:tc>
          <w:tcPr>
            <w:tcW w:type="dxa" w:w="2541"/>
            <w:vAlign w:val="top"/>
          </w:tcPr>
          <w:p>
            <w:pPr>
              <w:spacing w:after="0"/>
            </w:pPr>
            <w:r>
              <w:rPr>
                <w:sz w:val="12"/>
              </w:rPr>
              <w:t>MedAI operational</w:t>
              <w:br/>
              <w:t>MEDAI-PROPOSED</w:t>
            </w:r>
          </w:p>
        </w:tc>
      </w:tr>
      <w:tr>
        <w:tc>
          <w:tcPr>
            <w:tcW w:type="dxa" w:w="2541"/>
            <w:vAlign w:val="top"/>
          </w:tcPr>
          <w:p>
            <w:pPr>
              <w:spacing w:after="0"/>
            </w:pPr>
            <w:r>
              <w:rPr>
                <w:sz w:val="12"/>
              </w:rPr>
              <w:t>MRI005</w:t>
            </w:r>
          </w:p>
        </w:tc>
        <w:tc>
          <w:tcPr>
            <w:tcW w:type="dxa" w:w="2541"/>
            <w:vAlign w:val="top"/>
          </w:tcPr>
          <w:p>
            <w:pPr>
              <w:spacing w:after="0"/>
            </w:pPr>
            <w:r>
              <w:rPr>
                <w:sz w:val="12"/>
              </w:rPr>
              <w:t>bilateral</w:t>
            </w:r>
          </w:p>
        </w:tc>
        <w:tc>
          <w:tcPr>
            <w:tcW w:type="dxa" w:w="2541"/>
            <w:vAlign w:val="top"/>
          </w:tcPr>
          <w:p>
            <w:pPr>
              <w:spacing w:after="0"/>
            </w:pPr>
            <w:r>
              <w:rPr>
                <w:sz w:val="12"/>
              </w:rPr>
              <w:t>Finding explicitly involves both sides.</w:t>
            </w:r>
          </w:p>
        </w:tc>
        <w:tc>
          <w:tcPr>
            <w:tcW w:type="dxa" w:w="2541"/>
            <w:vAlign w:val="top"/>
          </w:tcPr>
          <w:p>
            <w:pPr>
              <w:spacing w:after="0"/>
            </w:pPr>
            <w:r>
              <w:rPr>
                <w:sz w:val="12"/>
              </w:rPr>
              <w:t>MedAI operational</w:t>
              <w:br/>
              <w:t>MEDAI-PROPOSED</w:t>
            </w:r>
          </w:p>
        </w:tc>
      </w:tr>
      <w:tr>
        <w:tc>
          <w:tcPr>
            <w:tcW w:type="dxa" w:w="2541"/>
            <w:vAlign w:val="top"/>
          </w:tcPr>
          <w:p>
            <w:pPr>
              <w:spacing w:after="0"/>
            </w:pPr>
            <w:r>
              <w:rPr>
                <w:sz w:val="12"/>
              </w:rPr>
              <w:t>MRI005</w:t>
            </w:r>
          </w:p>
        </w:tc>
        <w:tc>
          <w:tcPr>
            <w:tcW w:type="dxa" w:w="2541"/>
            <w:vAlign w:val="top"/>
          </w:tcPr>
          <w:p>
            <w:pPr>
              <w:spacing w:after="0"/>
            </w:pPr>
            <w:r>
              <w:rPr>
                <w:sz w:val="12"/>
              </w:rPr>
              <w:t>midline</w:t>
            </w:r>
          </w:p>
        </w:tc>
        <w:tc>
          <w:tcPr>
            <w:tcW w:type="dxa" w:w="2541"/>
            <w:vAlign w:val="top"/>
          </w:tcPr>
          <w:p>
            <w:pPr>
              <w:spacing w:after="0"/>
            </w:pPr>
            <w:r>
              <w:rPr>
                <w:sz w:val="12"/>
              </w:rPr>
              <w:t>Finding explicitly localized to a midline structure/location where applicable.</w:t>
            </w:r>
          </w:p>
        </w:tc>
        <w:tc>
          <w:tcPr>
            <w:tcW w:type="dxa" w:w="2541"/>
            <w:vAlign w:val="top"/>
          </w:tcPr>
          <w:p>
            <w:pPr>
              <w:spacing w:after="0"/>
            </w:pPr>
            <w:r>
              <w:rPr>
                <w:sz w:val="12"/>
              </w:rPr>
              <w:t>MedAI operational</w:t>
              <w:br/>
              <w:t>MEDAI-PROPOSED</w:t>
            </w:r>
          </w:p>
        </w:tc>
      </w:tr>
      <w:tr>
        <w:tc>
          <w:tcPr>
            <w:tcW w:type="dxa" w:w="2541"/>
            <w:vAlign w:val="top"/>
          </w:tcPr>
          <w:p>
            <w:pPr>
              <w:spacing w:after="0"/>
            </w:pPr>
            <w:r>
              <w:rPr>
                <w:sz w:val="12"/>
              </w:rPr>
              <w:t>MRI005</w:t>
            </w:r>
          </w:p>
        </w:tc>
        <w:tc>
          <w:tcPr>
            <w:tcW w:type="dxa" w:w="2541"/>
            <w:vAlign w:val="top"/>
          </w:tcPr>
          <w:p>
            <w:pPr>
              <w:spacing w:after="0"/>
            </w:pPr>
            <w:r>
              <w:rPr>
                <w:sz w:val="12"/>
              </w:rPr>
              <w:t>unknown</w:t>
            </w:r>
          </w:p>
        </w:tc>
        <w:tc>
          <w:tcPr>
            <w:tcW w:type="dxa" w:w="2541"/>
            <w:vAlign w:val="top"/>
          </w:tcPr>
          <w:p>
            <w:pPr>
              <w:spacing w:after="0"/>
            </w:pPr>
            <w:r>
              <w:rPr>
                <w:sz w:val="12"/>
              </w:rPr>
              <w:t>Laterality is not established by available evidence.</w:t>
            </w:r>
          </w:p>
        </w:tc>
        <w:tc>
          <w:tcPr>
            <w:tcW w:type="dxa" w:w="2541"/>
            <w:vAlign w:val="top"/>
          </w:tcPr>
          <w:p>
            <w:pPr>
              <w:spacing w:after="0"/>
            </w:pPr>
            <w:r>
              <w:rPr>
                <w:sz w:val="12"/>
              </w:rPr>
              <w:t>MedAI operational</w:t>
              <w:br/>
              <w:t>MEDAI-PROPOSED</w:t>
            </w:r>
          </w:p>
        </w:tc>
      </w:tr>
    </w:tbl>
    <w:p/>
    <w:p>
      <w:pPr>
        <w:pStyle w:val="Heading1"/>
      </w:pPr>
      <w:r>
        <w:t>5. Critical semantic boundaries</w:t>
      </w:r>
    </w:p>
    <w:tbl>
      <w:tblPr>
        <w:tblStyle w:val="TableGrid"/>
        <w:tblW w:type="auto" w:w="0"/>
        <w:tblLook w:firstColumn="1" w:firstRow="1" w:lastColumn="0" w:lastRow="0" w:noHBand="0" w:noVBand="1" w:val="04A0"/>
      </w:tblPr>
      <w:tblGrid>
        <w:gridCol w:w="10166"/>
      </w:tblGrid>
      <w:tr>
        <w:tc>
          <w:tcPr>
            <w:tcW w:type="dxa" w:w="10166"/>
            <w:shd w:fill="EEF4FB"/>
          </w:tcPr>
          <w:p>
            <w:r>
              <w:rPr>
                <w:b/>
                <w:color w:val="17365D"/>
              </w:rPr>
              <w:t>Seizure class ≠ epilepsy type</w:t>
              <w:br/>
            </w:r>
            <w:r>
              <w:t>ILAE 2025 seizure classification and the epilepsy-level framework are stored separately.</w:t>
            </w:r>
          </w:p>
        </w:tc>
      </w:tr>
    </w:tbl>
    <w:p/>
    <w:tbl>
      <w:tblPr>
        <w:tblStyle w:val="TableGrid"/>
        <w:tblW w:type="auto" w:w="0"/>
        <w:tblLook w:firstColumn="1" w:firstRow="1" w:lastColumn="0" w:lastRow="0" w:noHBand="0" w:noVBand="1" w:val="04A0"/>
      </w:tblPr>
      <w:tblGrid>
        <w:gridCol w:w="10166"/>
      </w:tblGrid>
      <w:tr>
        <w:tc>
          <w:tcPr>
            <w:tcW w:type="dxa" w:w="10166"/>
            <w:shd w:fill="EEF4FB"/>
          </w:tcPr>
          <w:p>
            <w:r>
              <w:rPr>
                <w:b/>
                <w:color w:val="17365D"/>
              </w:rPr>
              <w:t>Unknown ≠ unclassified</w:t>
              <w:br/>
            </w:r>
            <w:r>
              <w:t>Unknown focal/generalized retains some seizure information but lacks enough to decide focal vs generalized; unclassified lacks enough characterization despite confidence the event is epileptic.</w:t>
            </w:r>
          </w:p>
        </w:tc>
      </w:tr>
    </w:tbl>
    <w:p/>
    <w:tbl>
      <w:tblPr>
        <w:tblStyle w:val="TableGrid"/>
        <w:tblW w:type="auto" w:w="0"/>
        <w:tblLook w:firstColumn="1" w:firstRow="1" w:lastColumn="0" w:lastRow="0" w:noHBand="0" w:noVBand="1" w:val="04A0"/>
      </w:tblPr>
      <w:tblGrid>
        <w:gridCol w:w="10166"/>
      </w:tblGrid>
      <w:tr>
        <w:tc>
          <w:tcPr>
            <w:tcW w:type="dxa" w:w="10166"/>
            <w:shd w:fill="EEF4FB"/>
          </w:tcPr>
          <w:p>
            <w:r>
              <w:rPr>
                <w:b/>
                <w:color w:val="17365D"/>
              </w:rPr>
              <w:t>Consciousness ≠ awareness alone</w:t>
              <w:br/>
            </w:r>
            <w:r>
              <w:t>ILAE 2025 operationalizes consciousness using both awareness and responsiveness.</w:t>
            </w:r>
          </w:p>
        </w:tc>
      </w:tr>
    </w:tbl>
    <w:p/>
    <w:tbl>
      <w:tblPr>
        <w:tblStyle w:val="TableGrid"/>
        <w:tblW w:type="auto" w:w="0"/>
        <w:tblLook w:firstColumn="1" w:firstRow="1" w:lastColumn="0" w:lastRow="0" w:noHBand="0" w:noVBand="1" w:val="04A0"/>
      </w:tblPr>
      <w:tblGrid>
        <w:gridCol w:w="10166"/>
      </w:tblGrid>
      <w:tr>
        <w:tc>
          <w:tcPr>
            <w:tcW w:type="dxa" w:w="10166"/>
            <w:shd w:fill="FFF2CC"/>
          </w:tcPr>
          <w:p>
            <w:r>
              <w:rPr>
                <w:b/>
                <w:color w:val="17365D"/>
              </w:rPr>
              <w:t>MRI HS/FCD ≠ pathology subtype</w:t>
              <w:br/>
            </w:r>
            <w:r>
              <w:t>Imaging-level HS/FCD cannot generate ILAE histopathologic subtype without pathology evidence.</w:t>
            </w:r>
          </w:p>
        </w:tc>
      </w:tr>
    </w:tbl>
    <w:p/>
    <w:tbl>
      <w:tblPr>
        <w:tblStyle w:val="TableGrid"/>
        <w:tblW w:type="auto" w:w="0"/>
        <w:tblLook w:firstColumn="1" w:firstRow="1" w:lastColumn="0" w:lastRow="0" w:noHBand="0" w:noVBand="1" w:val="04A0"/>
      </w:tblPr>
      <w:tblGrid>
        <w:gridCol w:w="10166"/>
      </w:tblGrid>
      <w:tr>
        <w:tc>
          <w:tcPr>
            <w:tcW w:type="dxa" w:w="10166"/>
            <w:shd w:fill="EEF4FB"/>
          </w:tcPr>
          <w:p>
            <w:r>
              <w:rPr>
                <w:b/>
                <w:color w:val="17365D"/>
              </w:rPr>
              <w:t>Abnormal EEG ≠ IED</w:t>
              <w:br/>
            </w:r>
            <w:r>
              <w:t>SCORE distinguishes epileptiform interictal activity from other abnormalities.</w:t>
            </w:r>
          </w:p>
        </w:tc>
      </w:tr>
    </w:tbl>
    <w:p/>
    <w:tbl>
      <w:tblPr>
        <w:tblStyle w:val="TableGrid"/>
        <w:tblW w:type="auto" w:w="0"/>
        <w:tblLook w:firstColumn="1" w:firstRow="1" w:lastColumn="0" w:lastRow="0" w:noHBand="0" w:noVBand="1" w:val="04A0"/>
      </w:tblPr>
      <w:tblGrid>
        <w:gridCol w:w="10166"/>
      </w:tblGrid>
      <w:tr>
        <w:tc>
          <w:tcPr>
            <w:tcW w:type="dxa" w:w="10166"/>
            <w:shd w:fill="EEF4FB"/>
          </w:tcPr>
          <w:p>
            <w:r>
              <w:rPr>
                <w:b/>
                <w:color w:val="17365D"/>
              </w:rPr>
              <w:t>Medication count ≠ DRE</w:t>
              <w:br/>
            </w:r>
            <w:r>
              <w:t>DRE requires evidence about two qualifying trials and sustained seizure freedom.</w:t>
            </w:r>
          </w:p>
        </w:tc>
      </w:tr>
    </w:tbl>
    <w:p/>
    <w:tbl>
      <w:tblPr>
        <w:tblStyle w:val="TableGrid"/>
        <w:tblW w:type="auto" w:w="0"/>
        <w:tblLook w:firstColumn="1" w:firstRow="1" w:lastColumn="0" w:lastRow="0" w:noHBand="0" w:noVBand="1" w:val="04A0"/>
      </w:tblPr>
      <w:tblGrid>
        <w:gridCol w:w="10166"/>
      </w:tblGrid>
      <w:tr>
        <w:tc>
          <w:tcPr>
            <w:tcW w:type="dxa" w:w="10166"/>
            <w:shd w:fill="EEF4FB"/>
          </w:tcPr>
          <w:p>
            <w:r>
              <w:rPr>
                <w:b/>
                <w:color w:val="17365D"/>
              </w:rPr>
              <w:t>Indeterminate DRE is MedAI-defined</w:t>
              <w:br/>
            </w:r>
            <w:r>
              <w:t>It prevents over-inference when documentation is insufficient; it is not attributed to ILAE.</w:t>
            </w:r>
          </w:p>
        </w:tc>
      </w:tr>
    </w:tbl>
    <w:p/>
    <w:p>
      <w:pPr>
        <w:pStyle w:val="Heading1"/>
      </w:pPr>
      <w:r>
        <w:t>6. Seizure semantics</w:t>
      </w:r>
    </w:p>
    <w:p>
      <w:r>
        <w:t>The 2025 ILAE framework has four main seizure classes and 21 seizure types. It distinguishes classifiers from descriptors, uses consciousness rather than awareness as the classifier, and supports chronological semiology.</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sz w:val="14"/>
              </w:rPr>
              <w:t>Field</w:t>
            </w:r>
          </w:p>
        </w:tc>
        <w:tc>
          <w:tcPr>
            <w:tcW w:type="dxa" w:w="5083"/>
            <w:shd w:fill="D9EAF7"/>
          </w:tcPr>
          <w:p>
            <w:r>
              <w:rPr>
                <w:b/>
                <w:sz w:val="14"/>
              </w:rPr>
              <w:t>Phase 3 decision</w:t>
            </w:r>
          </w:p>
        </w:tc>
      </w:tr>
      <w:tr>
        <w:tc>
          <w:tcPr>
            <w:tcW w:type="dxa" w:w="5083"/>
            <w:vAlign w:val="top"/>
          </w:tcPr>
          <w:p>
            <w:pPr>
              <w:spacing w:after="0"/>
            </w:pPr>
            <w:r>
              <w:rPr>
                <w:sz w:val="13"/>
              </w:rPr>
              <w:t>SZ001</w:t>
            </w:r>
          </w:p>
        </w:tc>
        <w:tc>
          <w:tcPr>
            <w:tcW w:type="dxa" w:w="5083"/>
            <w:vAlign w:val="top"/>
          </w:tcPr>
          <w:p>
            <w:pPr>
              <w:spacing w:after="0"/>
            </w:pPr>
            <w:r>
              <w:rPr>
                <w:sz w:val="13"/>
              </w:rPr>
              <w:t>Four main classes frozen.</w:t>
            </w:r>
          </w:p>
        </w:tc>
      </w:tr>
      <w:tr>
        <w:tc>
          <w:tcPr>
            <w:tcW w:type="dxa" w:w="5083"/>
            <w:vAlign w:val="top"/>
          </w:tcPr>
          <w:p>
            <w:pPr>
              <w:spacing w:after="0"/>
            </w:pPr>
            <w:r>
              <w:rPr>
                <w:sz w:val="13"/>
              </w:rPr>
              <w:t>SZ002</w:t>
            </w:r>
          </w:p>
        </w:tc>
        <w:tc>
          <w:tcPr>
            <w:tcW w:type="dxa" w:w="5083"/>
            <w:vAlign w:val="top"/>
          </w:tcPr>
          <w:p>
            <w:pPr>
              <w:spacing w:after="0"/>
            </w:pPr>
            <w:r>
              <w:rPr>
                <w:sz w:val="13"/>
              </w:rPr>
              <w:t>Concept frozen; full 21-type machine-readable list remains unresolved pending exact supplement/table extraction.</w:t>
            </w:r>
          </w:p>
        </w:tc>
      </w:tr>
      <w:tr>
        <w:tc>
          <w:tcPr>
            <w:tcW w:type="dxa" w:w="5083"/>
            <w:vAlign w:val="top"/>
          </w:tcPr>
          <w:p>
            <w:pPr>
              <w:spacing w:after="0"/>
            </w:pPr>
            <w:r>
              <w:rPr>
                <w:sz w:val="13"/>
              </w:rPr>
              <w:t>SZ003</w:t>
            </w:r>
          </w:p>
        </w:tc>
        <w:tc>
          <w:tcPr>
            <w:tcW w:type="dxa" w:w="5083"/>
            <w:vAlign w:val="top"/>
          </w:tcPr>
          <w:p>
            <w:pPr>
              <w:spacing w:after="0"/>
            </w:pPr>
            <w:r>
              <w:rPr>
                <w:sz w:val="13"/>
              </w:rPr>
              <w:t>preserved/impaired/undetermined source-based; not_applicable explicitly MedAI-proposed.</w:t>
            </w:r>
          </w:p>
        </w:tc>
      </w:tr>
      <w:tr>
        <w:tc>
          <w:tcPr>
            <w:tcW w:type="dxa" w:w="5083"/>
            <w:vAlign w:val="top"/>
          </w:tcPr>
          <w:p>
            <w:pPr>
              <w:spacing w:after="0"/>
            </w:pPr>
            <w:r>
              <w:rPr>
                <w:sz w:val="13"/>
              </w:rPr>
              <w:t>SZ004</w:t>
            </w:r>
          </w:p>
        </w:tc>
        <w:tc>
          <w:tcPr>
            <w:tcW w:type="dxa" w:w="5083"/>
            <w:vAlign w:val="top"/>
          </w:tcPr>
          <w:p>
            <w:pPr>
              <w:spacing w:after="0"/>
            </w:pPr>
            <w:r>
              <w:rPr>
                <w:sz w:val="13"/>
              </w:rPr>
              <w:t>Chronological semiology stored as descriptors.</w:t>
            </w:r>
          </w:p>
        </w:tc>
      </w:tr>
    </w:tbl>
    <w:p/>
    <w:p>
      <w:pPr>
        <w:pStyle w:val="Heading1"/>
      </w:pPr>
      <w:r>
        <w:t>7. Etiology semantics</w:t>
      </w:r>
    </w:p>
    <w:p>
      <w:r>
        <w:t>ILAE 2017 etiology is considered alongside epilepsy classification; multiple etiologic categories can apply. MedAI therefore does not force a single mutually exclusive category.</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sz w:val="14"/>
              </w:rPr>
              <w:t>Value</w:t>
            </w:r>
          </w:p>
        </w:tc>
        <w:tc>
          <w:tcPr>
            <w:tcW w:type="dxa" w:w="5083"/>
            <w:shd w:fill="D9EAF7"/>
          </w:tcPr>
          <w:p>
            <w:r>
              <w:rPr>
                <w:b/>
                <w:sz w:val="14"/>
              </w:rPr>
              <w:t>Definition</w:t>
            </w:r>
          </w:p>
        </w:tc>
      </w:tr>
      <w:tr>
        <w:tc>
          <w:tcPr>
            <w:tcW w:type="dxa" w:w="5083"/>
            <w:vAlign w:val="top"/>
          </w:tcPr>
          <w:p>
            <w:pPr>
              <w:spacing w:after="0"/>
            </w:pPr>
            <w:r>
              <w:rPr>
                <w:sz w:val="14"/>
              </w:rPr>
              <w:t>structural</w:t>
            </w:r>
          </w:p>
        </w:tc>
        <w:tc>
          <w:tcPr>
            <w:tcW w:type="dxa" w:w="5083"/>
            <w:vAlign w:val="top"/>
          </w:tcPr>
          <w:p>
            <w:pPr>
              <w:spacing w:after="0"/>
            </w:pPr>
            <w:r>
              <w:rPr>
                <w:sz w:val="14"/>
              </w:rPr>
              <w:t>Etiology supported by a structural abnormality considered relevant to epilepsy.</w:t>
            </w:r>
          </w:p>
        </w:tc>
      </w:tr>
      <w:tr>
        <w:tc>
          <w:tcPr>
            <w:tcW w:type="dxa" w:w="5083"/>
            <w:vAlign w:val="top"/>
          </w:tcPr>
          <w:p>
            <w:pPr>
              <w:spacing w:after="0"/>
            </w:pPr>
            <w:r>
              <w:rPr>
                <w:sz w:val="14"/>
              </w:rPr>
              <w:t>genetic</w:t>
            </w:r>
          </w:p>
        </w:tc>
        <w:tc>
          <w:tcPr>
            <w:tcW w:type="dxa" w:w="5083"/>
            <w:vAlign w:val="top"/>
          </w:tcPr>
          <w:p>
            <w:pPr>
              <w:spacing w:after="0"/>
            </w:pPr>
            <w:r>
              <w:rPr>
                <w:sz w:val="14"/>
              </w:rPr>
              <w:t>Etiology in which a genetic cause is known or presumed to be central to the epilepsy.</w:t>
            </w:r>
          </w:p>
        </w:tc>
      </w:tr>
      <w:tr>
        <w:tc>
          <w:tcPr>
            <w:tcW w:type="dxa" w:w="5083"/>
            <w:vAlign w:val="top"/>
          </w:tcPr>
          <w:p>
            <w:pPr>
              <w:spacing w:after="0"/>
            </w:pPr>
            <w:r>
              <w:rPr>
                <w:sz w:val="14"/>
              </w:rPr>
              <w:t>infectious</w:t>
            </w:r>
          </w:p>
        </w:tc>
        <w:tc>
          <w:tcPr>
            <w:tcW w:type="dxa" w:w="5083"/>
            <w:vAlign w:val="top"/>
          </w:tcPr>
          <w:p>
            <w:pPr>
              <w:spacing w:after="0"/>
            </w:pPr>
            <w:r>
              <w:rPr>
                <w:sz w:val="14"/>
              </w:rPr>
              <w:t>Etiology attributed to infection associated with epilepsy.</w:t>
            </w:r>
          </w:p>
        </w:tc>
      </w:tr>
      <w:tr>
        <w:tc>
          <w:tcPr>
            <w:tcW w:type="dxa" w:w="5083"/>
            <w:vAlign w:val="top"/>
          </w:tcPr>
          <w:p>
            <w:pPr>
              <w:spacing w:after="0"/>
            </w:pPr>
            <w:r>
              <w:rPr>
                <w:sz w:val="14"/>
              </w:rPr>
              <w:t>metabolic</w:t>
            </w:r>
          </w:p>
        </w:tc>
        <w:tc>
          <w:tcPr>
            <w:tcW w:type="dxa" w:w="5083"/>
            <w:vAlign w:val="top"/>
          </w:tcPr>
          <w:p>
            <w:pPr>
              <w:spacing w:after="0"/>
            </w:pPr>
            <w:r>
              <w:rPr>
                <w:sz w:val="14"/>
              </w:rPr>
              <w:t>Etiology attributed to a metabolic disorder in which epilepsy is a core manifestation.</w:t>
            </w:r>
          </w:p>
        </w:tc>
      </w:tr>
      <w:tr>
        <w:tc>
          <w:tcPr>
            <w:tcW w:type="dxa" w:w="5083"/>
            <w:vAlign w:val="top"/>
          </w:tcPr>
          <w:p>
            <w:pPr>
              <w:spacing w:after="0"/>
            </w:pPr>
            <w:r>
              <w:rPr>
                <w:sz w:val="14"/>
              </w:rPr>
              <w:t>immune</w:t>
            </w:r>
          </w:p>
        </w:tc>
        <w:tc>
          <w:tcPr>
            <w:tcW w:type="dxa" w:w="5083"/>
            <w:vAlign w:val="top"/>
          </w:tcPr>
          <w:p>
            <w:pPr>
              <w:spacing w:after="0"/>
            </w:pPr>
            <w:r>
              <w:rPr>
                <w:sz w:val="14"/>
              </w:rPr>
              <w:t>Etiology attributed to an immune-mediated disorder in which epilepsy is a core manifestation.</w:t>
            </w:r>
          </w:p>
        </w:tc>
      </w:tr>
      <w:tr>
        <w:tc>
          <w:tcPr>
            <w:tcW w:type="dxa" w:w="5083"/>
            <w:vAlign w:val="top"/>
          </w:tcPr>
          <w:p>
            <w:pPr>
              <w:spacing w:after="0"/>
            </w:pPr>
            <w:r>
              <w:rPr>
                <w:sz w:val="14"/>
              </w:rPr>
              <w:t>unknown</w:t>
            </w:r>
          </w:p>
        </w:tc>
        <w:tc>
          <w:tcPr>
            <w:tcW w:type="dxa" w:w="5083"/>
            <w:vAlign w:val="top"/>
          </w:tcPr>
          <w:p>
            <w:pPr>
              <w:spacing w:after="0"/>
            </w:pPr>
            <w:r>
              <w:rPr>
                <w:sz w:val="14"/>
              </w:rPr>
              <w:t>Cause of epilepsy is not known from available evidence.</w:t>
            </w:r>
          </w:p>
        </w:tc>
      </w:tr>
    </w:tbl>
    <w:p/>
    <w:p>
      <w:pPr>
        <w:pStyle w:val="Heading1"/>
      </w:pPr>
      <w:r>
        <w:t>8. MRI and pathology separation</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sz w:val="14"/>
              </w:rPr>
              <w:t>Concept</w:t>
            </w:r>
          </w:p>
        </w:tc>
        <w:tc>
          <w:tcPr>
            <w:tcW w:type="dxa" w:w="5083"/>
            <w:shd w:fill="D9EAF7"/>
          </w:tcPr>
          <w:p>
            <w:r>
              <w:rPr>
                <w:b/>
                <w:sz w:val="14"/>
              </w:rPr>
              <w:t>Semantic rule</w:t>
            </w:r>
          </w:p>
        </w:tc>
      </w:tr>
      <w:tr>
        <w:tc>
          <w:tcPr>
            <w:tcW w:type="dxa" w:w="5083"/>
            <w:vAlign w:val="top"/>
          </w:tcPr>
          <w:p>
            <w:pPr>
              <w:spacing w:after="0"/>
            </w:pPr>
            <w:r>
              <w:rPr>
                <w:sz w:val="13"/>
              </w:rPr>
              <w:t>MRI hippocampal sclerosis</w:t>
            </w:r>
          </w:p>
        </w:tc>
        <w:tc>
          <w:tcPr>
            <w:tcW w:type="dxa" w:w="5083"/>
            <w:vAlign w:val="top"/>
          </w:tcPr>
          <w:p>
            <w:pPr>
              <w:spacing w:after="0"/>
            </w:pPr>
            <w:r>
              <w:rPr>
                <w:sz w:val="13"/>
              </w:rPr>
              <w:t>Imaging-level finding/impression only.</w:t>
            </w:r>
          </w:p>
        </w:tc>
      </w:tr>
      <w:tr>
        <w:tc>
          <w:tcPr>
            <w:tcW w:type="dxa" w:w="5083"/>
            <w:vAlign w:val="top"/>
          </w:tcPr>
          <w:p>
            <w:pPr>
              <w:spacing w:after="0"/>
            </w:pPr>
            <w:r>
              <w:rPr>
                <w:sz w:val="13"/>
              </w:rPr>
              <w:t>HS ILAE type 1</w:t>
            </w:r>
          </w:p>
        </w:tc>
        <w:tc>
          <w:tcPr>
            <w:tcW w:type="dxa" w:w="5083"/>
            <w:vAlign w:val="top"/>
          </w:tcPr>
          <w:p>
            <w:pPr>
              <w:spacing w:after="0"/>
            </w:pPr>
            <w:r>
              <w:rPr>
                <w:sz w:val="13"/>
              </w:rPr>
              <w:t>Histopathology: severe neuronal loss/gliosis predominantly CA1 and CA4.</w:t>
            </w:r>
          </w:p>
        </w:tc>
      </w:tr>
      <w:tr>
        <w:tc>
          <w:tcPr>
            <w:tcW w:type="dxa" w:w="5083"/>
            <w:vAlign w:val="top"/>
          </w:tcPr>
          <w:p>
            <w:pPr>
              <w:spacing w:after="0"/>
            </w:pPr>
            <w:r>
              <w:rPr>
                <w:sz w:val="13"/>
              </w:rPr>
              <w:t>HS ILAE type 2</w:t>
            </w:r>
          </w:p>
        </w:tc>
        <w:tc>
          <w:tcPr>
            <w:tcW w:type="dxa" w:w="5083"/>
            <w:vAlign w:val="top"/>
          </w:tcPr>
          <w:p>
            <w:pPr>
              <w:spacing w:after="0"/>
            </w:pPr>
            <w:r>
              <w:rPr>
                <w:sz w:val="13"/>
              </w:rPr>
              <w:t>Histopathology: CA1-predominant neuronal loss/gliosis.</w:t>
            </w:r>
          </w:p>
        </w:tc>
      </w:tr>
      <w:tr>
        <w:tc>
          <w:tcPr>
            <w:tcW w:type="dxa" w:w="5083"/>
            <w:vAlign w:val="top"/>
          </w:tcPr>
          <w:p>
            <w:pPr>
              <w:spacing w:after="0"/>
            </w:pPr>
            <w:r>
              <w:rPr>
                <w:sz w:val="13"/>
              </w:rPr>
              <w:t>HS ILAE type 3</w:t>
            </w:r>
          </w:p>
        </w:tc>
        <w:tc>
          <w:tcPr>
            <w:tcW w:type="dxa" w:w="5083"/>
            <w:vAlign w:val="top"/>
          </w:tcPr>
          <w:p>
            <w:pPr>
              <w:spacing w:after="0"/>
            </w:pPr>
            <w:r>
              <w:rPr>
                <w:sz w:val="13"/>
              </w:rPr>
              <w:t>Histopathology: CA4-predominant neuronal loss/gliosis.</w:t>
            </w:r>
          </w:p>
        </w:tc>
      </w:tr>
      <w:tr>
        <w:tc>
          <w:tcPr>
            <w:tcW w:type="dxa" w:w="5083"/>
            <w:vAlign w:val="top"/>
          </w:tcPr>
          <w:p>
            <w:pPr>
              <w:spacing w:after="0"/>
            </w:pPr>
            <w:r>
              <w:rPr>
                <w:sz w:val="13"/>
              </w:rPr>
              <w:t>MRI focal cortical dysplasia</w:t>
            </w:r>
          </w:p>
        </w:tc>
        <w:tc>
          <w:tcPr>
            <w:tcW w:type="dxa" w:w="5083"/>
            <w:vAlign w:val="top"/>
          </w:tcPr>
          <w:p>
            <w:pPr>
              <w:spacing w:after="0"/>
            </w:pPr>
            <w:r>
              <w:rPr>
                <w:sz w:val="13"/>
              </w:rPr>
              <w:t>Imaging-level finding/impression only.</w:t>
            </w:r>
          </w:p>
        </w:tc>
      </w:tr>
      <w:tr>
        <w:tc>
          <w:tcPr>
            <w:tcW w:type="dxa" w:w="5083"/>
            <w:vAlign w:val="top"/>
          </w:tcPr>
          <w:p>
            <w:pPr>
              <w:spacing w:after="0"/>
            </w:pPr>
            <w:r>
              <w:rPr>
                <w:sz w:val="13"/>
              </w:rPr>
              <w:t>FCD pathology</w:t>
            </w:r>
          </w:p>
        </w:tc>
        <w:tc>
          <w:tcPr>
            <w:tcW w:type="dxa" w:w="5083"/>
            <w:vAlign w:val="top"/>
          </w:tcPr>
          <w:p>
            <w:pPr>
              <w:spacing w:after="0"/>
            </w:pPr>
            <w:r>
              <w:rPr>
                <w:sz w:val="13"/>
              </w:rPr>
              <w:t>Use the ILAE 2022 pathology framework; do not derive subtype from MRI wording alone.</w:t>
            </w:r>
          </w:p>
        </w:tc>
      </w:tr>
    </w:tbl>
    <w:p/>
    <w:p>
      <w:pPr>
        <w:pStyle w:val="Heading1"/>
      </w:pPr>
      <w:r>
        <w:t>9. EEG semantics</w:t>
      </w:r>
    </w:p>
    <w:p>
      <w:r>
        <w:t>SCORE is the semantic parent for structured EEG reporting. The exact MedAI SCORE subset remains unresolved and must be frozen in a dedicated EEG profile.</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sz w:val="14"/>
              </w:rPr>
              <w:t>Field</w:t>
            </w:r>
          </w:p>
        </w:tc>
        <w:tc>
          <w:tcPr>
            <w:tcW w:type="dxa" w:w="5083"/>
            <w:shd w:fill="D9EAF7"/>
          </w:tcPr>
          <w:p>
            <w:r>
              <w:rPr>
                <w:b/>
                <w:sz w:val="14"/>
              </w:rPr>
              <w:t>Boundary</w:t>
            </w:r>
          </w:p>
        </w:tc>
      </w:tr>
      <w:tr>
        <w:tc>
          <w:tcPr>
            <w:tcW w:type="dxa" w:w="5083"/>
            <w:vAlign w:val="top"/>
          </w:tcPr>
          <w:p>
            <w:pPr>
              <w:spacing w:after="0"/>
            </w:pPr>
            <w:r>
              <w:rPr>
                <w:sz w:val="13"/>
              </w:rPr>
              <w:t>EEG002</w:t>
            </w:r>
          </w:p>
        </w:tc>
        <w:tc>
          <w:tcPr>
            <w:tcW w:type="dxa" w:w="5083"/>
            <w:vAlign w:val="top"/>
          </w:tcPr>
          <w:p>
            <w:pPr>
              <w:spacing w:after="0"/>
            </w:pPr>
            <w:r>
              <w:rPr>
                <w:sz w:val="13"/>
              </w:rPr>
              <w:t>Structured background terms; no diagnosis-based inference.</w:t>
            </w:r>
          </w:p>
        </w:tc>
      </w:tr>
      <w:tr>
        <w:tc>
          <w:tcPr>
            <w:tcW w:type="dxa" w:w="5083"/>
            <w:vAlign w:val="top"/>
          </w:tcPr>
          <w:p>
            <w:pPr>
              <w:spacing w:after="0"/>
            </w:pPr>
            <w:r>
              <w:rPr>
                <w:sz w:val="13"/>
              </w:rPr>
              <w:t>EEG003</w:t>
            </w:r>
          </w:p>
        </w:tc>
        <w:tc>
          <w:tcPr>
            <w:tcW w:type="dxa" w:w="5083"/>
            <w:vAlign w:val="top"/>
          </w:tcPr>
          <w:p>
            <w:pPr>
              <w:spacing w:after="0"/>
            </w:pPr>
            <w:r>
              <w:rPr>
                <w:sz w:val="13"/>
              </w:rPr>
              <w:t>IED requires documented epileptiform interictal activity.</w:t>
            </w:r>
          </w:p>
        </w:tc>
      </w:tr>
      <w:tr>
        <w:tc>
          <w:tcPr>
            <w:tcW w:type="dxa" w:w="5083"/>
            <w:vAlign w:val="top"/>
          </w:tcPr>
          <w:p>
            <w:pPr>
              <w:spacing w:after="0"/>
            </w:pPr>
            <w:r>
              <w:rPr>
                <w:sz w:val="13"/>
              </w:rPr>
              <w:t>EEG004/005</w:t>
            </w:r>
          </w:p>
        </w:tc>
        <w:tc>
          <w:tcPr>
            <w:tcW w:type="dxa" w:w="5083"/>
            <w:vAlign w:val="top"/>
          </w:tcPr>
          <w:p>
            <w:pPr>
              <w:spacing w:after="0"/>
            </w:pPr>
            <w:r>
              <w:rPr>
                <w:sz w:val="13"/>
              </w:rPr>
              <w:t>Location/laterality require explicit evidence.</w:t>
            </w:r>
          </w:p>
        </w:tc>
      </w:tr>
      <w:tr>
        <w:tc>
          <w:tcPr>
            <w:tcW w:type="dxa" w:w="5083"/>
            <w:vAlign w:val="top"/>
          </w:tcPr>
          <w:p>
            <w:pPr>
              <w:spacing w:after="0"/>
            </w:pPr>
            <w:r>
              <w:rPr>
                <w:sz w:val="13"/>
              </w:rPr>
              <w:t>EEG006</w:t>
            </w:r>
          </w:p>
        </w:tc>
        <w:tc>
          <w:tcPr>
            <w:tcW w:type="dxa" w:w="5083"/>
            <w:vAlign w:val="top"/>
          </w:tcPr>
          <w:p>
            <w:pPr>
              <w:spacing w:after="0"/>
            </w:pPr>
            <w:r>
              <w:rPr>
                <w:sz w:val="13"/>
              </w:rPr>
              <w:t>Seizures captured requires study-level evidence.</w:t>
            </w:r>
          </w:p>
        </w:tc>
      </w:tr>
      <w:tr>
        <w:tc>
          <w:tcPr>
            <w:tcW w:type="dxa" w:w="5083"/>
            <w:vAlign w:val="top"/>
          </w:tcPr>
          <w:p>
            <w:pPr>
              <w:spacing w:after="0"/>
            </w:pPr>
            <w:r>
              <w:rPr>
                <w:sz w:val="13"/>
              </w:rPr>
              <w:t>EEG007/008</w:t>
            </w:r>
          </w:p>
        </w:tc>
        <w:tc>
          <w:tcPr>
            <w:tcW w:type="dxa" w:w="5083"/>
            <w:vAlign w:val="top"/>
          </w:tcPr>
          <w:p>
            <w:pPr>
              <w:spacing w:after="0"/>
            </w:pPr>
            <w:r>
              <w:rPr>
                <w:sz w:val="13"/>
              </w:rPr>
              <w:t>Ictal localization/laterality require explicit ictal EEG interpretation.</w:t>
            </w:r>
          </w:p>
        </w:tc>
      </w:tr>
    </w:tbl>
    <w:p/>
    <w:p>
      <w:pPr>
        <w:pStyle w:val="Heading1"/>
      </w:pPr>
      <w:r>
        <w:t>10. Treatment and DRE</w:t>
      </w:r>
    </w:p>
    <w:p>
      <w:r>
        <w:t>The ILAE consensus defines drug resistance around failure of two adequate, tolerated, appropriately chosen and used ASM schedules to achieve sustained seizure freedom. MedAI adds documentation states so missing evidence is not mistaken for a clinical conclusion.</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r>
              <w:rPr>
                <w:b/>
                <w:sz w:val="14"/>
              </w:rPr>
              <w:t>Value</w:t>
            </w:r>
          </w:p>
        </w:tc>
        <w:tc>
          <w:tcPr>
            <w:tcW w:type="dxa" w:w="3389"/>
            <w:shd w:fill="D9EAF7"/>
          </w:tcPr>
          <w:p>
            <w:r>
              <w:rPr>
                <w:b/>
                <w:sz w:val="14"/>
              </w:rPr>
              <w:t>Meaning</w:t>
            </w:r>
          </w:p>
        </w:tc>
        <w:tc>
          <w:tcPr>
            <w:tcW w:type="dxa" w:w="3389"/>
            <w:shd w:fill="D9EAF7"/>
          </w:tcPr>
          <w:p>
            <w:r>
              <w:rPr>
                <w:b/>
                <w:sz w:val="14"/>
              </w:rPr>
              <w:t>Status</w:t>
            </w:r>
          </w:p>
        </w:tc>
      </w:tr>
      <w:tr>
        <w:tc>
          <w:tcPr>
            <w:tcW w:type="dxa" w:w="3389"/>
            <w:vAlign w:val="top"/>
          </w:tcPr>
          <w:p>
            <w:pPr>
              <w:spacing w:after="0"/>
            </w:pPr>
            <w:r>
              <w:rPr>
                <w:sz w:val="13"/>
              </w:rPr>
              <w:t>yes</w:t>
            </w:r>
          </w:p>
        </w:tc>
        <w:tc>
          <w:tcPr>
            <w:tcW w:type="dxa" w:w="3389"/>
            <w:vAlign w:val="top"/>
          </w:tcPr>
          <w:p>
            <w:pPr>
              <w:spacing w:after="0"/>
            </w:pPr>
            <w:r>
              <w:rPr>
                <w:sz w:val="13"/>
              </w:rPr>
              <w:t>Documentation supports the ILAE drug-resistance definition.</w:t>
            </w:r>
          </w:p>
        </w:tc>
        <w:tc>
          <w:tcPr>
            <w:tcW w:type="dxa" w:w="3389"/>
            <w:vAlign w:val="top"/>
          </w:tcPr>
          <w:p>
            <w:pPr>
              <w:spacing w:after="0"/>
            </w:pPr>
            <w:r>
              <w:rPr>
                <w:sz w:val="13"/>
              </w:rPr>
              <w:t>OPERATIONALIZED</w:t>
            </w:r>
          </w:p>
        </w:tc>
      </w:tr>
      <w:tr>
        <w:tc>
          <w:tcPr>
            <w:tcW w:type="dxa" w:w="3389"/>
            <w:vAlign w:val="top"/>
          </w:tcPr>
          <w:p>
            <w:pPr>
              <w:spacing w:after="0"/>
            </w:pPr>
            <w:r>
              <w:rPr>
                <w:sz w:val="13"/>
              </w:rPr>
              <w:t>no</w:t>
            </w:r>
          </w:p>
        </w:tc>
        <w:tc>
          <w:tcPr>
            <w:tcW w:type="dxa" w:w="3389"/>
            <w:vAlign w:val="top"/>
          </w:tcPr>
          <w:p>
            <w:pPr>
              <w:spacing w:after="0"/>
            </w:pPr>
            <w:r>
              <w:rPr>
                <w:sz w:val="13"/>
              </w:rPr>
              <w:t>Documentation supports that the patient does not currently meet the MedAI operationalized DRE definition.</w:t>
            </w:r>
          </w:p>
        </w:tc>
        <w:tc>
          <w:tcPr>
            <w:tcW w:type="dxa" w:w="3389"/>
            <w:vAlign w:val="top"/>
          </w:tcPr>
          <w:p>
            <w:pPr>
              <w:spacing w:after="0"/>
            </w:pPr>
            <w:r>
              <w:rPr>
                <w:sz w:val="13"/>
              </w:rPr>
              <w:t>MEDAI-PROPOSED</w:t>
            </w:r>
          </w:p>
        </w:tc>
      </w:tr>
      <w:tr>
        <w:tc>
          <w:tcPr>
            <w:tcW w:type="dxa" w:w="3389"/>
            <w:vAlign w:val="top"/>
          </w:tcPr>
          <w:p>
            <w:pPr>
              <w:spacing w:after="0"/>
            </w:pPr>
            <w:r>
              <w:rPr>
                <w:sz w:val="13"/>
              </w:rPr>
              <w:t>indeterminate</w:t>
            </w:r>
          </w:p>
        </w:tc>
        <w:tc>
          <w:tcPr>
            <w:tcW w:type="dxa" w:w="3389"/>
            <w:vAlign w:val="top"/>
          </w:tcPr>
          <w:p>
            <w:pPr>
              <w:spacing w:after="0"/>
            </w:pPr>
            <w:r>
              <w:rPr>
                <w:sz w:val="13"/>
              </w:rPr>
              <w:t>Available documentation is insufficient to determine whether the ILAE DRE definition is met.</w:t>
            </w:r>
          </w:p>
        </w:tc>
        <w:tc>
          <w:tcPr>
            <w:tcW w:type="dxa" w:w="3389"/>
            <w:vAlign w:val="top"/>
          </w:tcPr>
          <w:p>
            <w:pPr>
              <w:spacing w:after="0"/>
            </w:pPr>
            <w:r>
              <w:rPr>
                <w:sz w:val="13"/>
              </w:rPr>
              <w:t>MEDAI-PROPOSED</w:t>
            </w:r>
          </w:p>
        </w:tc>
      </w:tr>
    </w:tbl>
    <w:p/>
    <w:p>
      <w:pPr>
        <w:pStyle w:val="Heading1"/>
      </w:pPr>
      <w:r>
        <w:t>11. Null, uncertainty and evidence policy</w:t>
      </w:r>
    </w:p>
    <w:p>
      <w:pPr>
        <w:pStyle w:val="ListBullet"/>
      </w:pPr>
      <w:r>
        <w:t>unknown = in scope but evidence does not establish a value</w:t>
      </w:r>
    </w:p>
    <w:p>
      <w:pPr>
        <w:pStyle w:val="ListBullet"/>
      </w:pPr>
      <w:r>
        <w:t>not_applicable = structurally not applicable, not a synonym for unknown</w:t>
      </w:r>
    </w:p>
    <w:p>
      <w:pPr>
        <w:pStyle w:val="ListBullet"/>
      </w:pPr>
      <w:r>
        <w:t>negated findings remain explicit assertions</w:t>
      </w:r>
    </w:p>
    <w:p>
      <w:pPr>
        <w:pStyle w:val="ListBullet"/>
      </w:pPr>
      <w:r>
        <w:t>uncertain/suspected findings must not be strengthened to definite</w:t>
      </w:r>
    </w:p>
    <w:p>
      <w:pPr>
        <w:pStyle w:val="ListBullet"/>
      </w:pPr>
      <w:r>
        <w:t>gold document-derived phenotypes require evidence provenance where applicable</w:t>
      </w:r>
    </w:p>
    <w:p>
      <w:pPr>
        <w:pStyle w:val="ListBullet"/>
      </w:pPr>
      <w:r>
        <w:t>conflicting timepoints/sources remain separate until a derived reconciliation layer</w:t>
      </w:r>
    </w:p>
    <w:p>
      <w:pPr>
        <w:pStyle w:val="Heading1"/>
      </w:pPr>
      <w:r>
        <w:t>12. Unresolved semantic registry</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D9EAF7"/>
          </w:tcPr>
          <w:p>
            <w:r>
              <w:rPr>
                <w:b/>
                <w:sz w:val="13"/>
              </w:rPr>
              <w:t>Item</w:t>
            </w:r>
          </w:p>
        </w:tc>
        <w:tc>
          <w:tcPr>
            <w:tcW w:type="dxa" w:w="2541"/>
            <w:shd w:fill="D9EAF7"/>
          </w:tcPr>
          <w:p>
            <w:r>
              <w:rPr>
                <w:b/>
                <w:sz w:val="13"/>
              </w:rPr>
              <w:t>Unresolved definition/mapping</w:t>
            </w:r>
          </w:p>
        </w:tc>
        <w:tc>
          <w:tcPr>
            <w:tcW w:type="dxa" w:w="2541"/>
            <w:shd w:fill="D9EAF7"/>
          </w:tcPr>
          <w:p>
            <w:r>
              <w:rPr>
                <w:b/>
                <w:sz w:val="13"/>
              </w:rPr>
              <w:t>Reason</w:t>
            </w:r>
          </w:p>
        </w:tc>
        <w:tc>
          <w:tcPr>
            <w:tcW w:type="dxa" w:w="2541"/>
            <w:shd w:fill="D9EAF7"/>
          </w:tcPr>
          <w:p>
            <w:r>
              <w:rPr>
                <w:b/>
                <w:sz w:val="13"/>
              </w:rPr>
              <w:t>Priority</w:t>
            </w:r>
          </w:p>
        </w:tc>
      </w:tr>
      <w:tr>
        <w:tc>
          <w:tcPr>
            <w:tcW w:type="dxa" w:w="2541"/>
            <w:vAlign w:val="top"/>
          </w:tcPr>
          <w:p>
            <w:pPr>
              <w:spacing w:after="0"/>
            </w:pPr>
            <w:r>
              <w:rPr>
                <w:sz w:val="12"/>
              </w:rPr>
              <w:t>SZ002</w:t>
            </w:r>
          </w:p>
        </w:tc>
        <w:tc>
          <w:tcPr>
            <w:tcW w:type="dxa" w:w="2541"/>
            <w:vAlign w:val="top"/>
          </w:tcPr>
          <w:p>
            <w:pPr>
              <w:spacing w:after="0"/>
            </w:pPr>
            <w:r>
              <w:rPr>
                <w:sz w:val="12"/>
              </w:rPr>
              <w:t>Full 21 seizure-type value set</w:t>
            </w:r>
          </w:p>
        </w:tc>
        <w:tc>
          <w:tcPr>
            <w:tcW w:type="dxa" w:w="2541"/>
            <w:vAlign w:val="top"/>
          </w:tcPr>
          <w:p>
            <w:pPr>
              <w:spacing w:after="0"/>
            </w:pPr>
            <w:r>
              <w:rPr>
                <w:sz w:val="12"/>
              </w:rPr>
              <w:t>Need exact table/supplement extraction from ILAE 2025 before freezing machine-readable values.</w:t>
            </w:r>
          </w:p>
        </w:tc>
        <w:tc>
          <w:tcPr>
            <w:tcW w:type="dxa" w:w="2541"/>
            <w:vAlign w:val="top"/>
          </w:tcPr>
          <w:p>
            <w:pPr>
              <w:spacing w:after="0"/>
            </w:pPr>
            <w:r>
              <w:rPr>
                <w:sz w:val="12"/>
              </w:rPr>
              <w:t>HIGH</w:t>
            </w:r>
          </w:p>
        </w:tc>
      </w:tr>
      <w:tr>
        <w:tc>
          <w:tcPr>
            <w:tcW w:type="dxa" w:w="2541"/>
            <w:vAlign w:val="top"/>
          </w:tcPr>
          <w:p>
            <w:pPr>
              <w:spacing w:after="0"/>
            </w:pPr>
            <w:r>
              <w:rPr>
                <w:sz w:val="12"/>
              </w:rPr>
              <w:t>SZ003</w:t>
            </w:r>
          </w:p>
        </w:tc>
        <w:tc>
          <w:tcPr>
            <w:tcW w:type="dxa" w:w="2541"/>
            <w:vAlign w:val="top"/>
          </w:tcPr>
          <w:p>
            <w:pPr>
              <w:spacing w:after="0"/>
            </w:pPr>
            <w:r>
              <w:rPr>
                <w:sz w:val="12"/>
              </w:rPr>
              <w:t>Exact impaired/preserved consciousness decision edge cases</w:t>
            </w:r>
          </w:p>
        </w:tc>
        <w:tc>
          <w:tcPr>
            <w:tcW w:type="dxa" w:w="2541"/>
            <w:vAlign w:val="top"/>
          </w:tcPr>
          <w:p>
            <w:pPr>
              <w:spacing w:after="0"/>
            </w:pPr>
            <w:r>
              <w:rPr>
                <w:sz w:val="12"/>
              </w:rPr>
              <w:t>Paper establishes awareness+responsiveness framework; annotation decision table/examples should be extracted before generation.</w:t>
            </w:r>
          </w:p>
        </w:tc>
        <w:tc>
          <w:tcPr>
            <w:tcW w:type="dxa" w:w="2541"/>
            <w:vAlign w:val="top"/>
          </w:tcPr>
          <w:p>
            <w:pPr>
              <w:spacing w:after="0"/>
            </w:pPr>
            <w:r>
              <w:rPr>
                <w:sz w:val="12"/>
              </w:rPr>
              <w:t>HIGH</w:t>
            </w:r>
          </w:p>
        </w:tc>
      </w:tr>
      <w:tr>
        <w:tc>
          <w:tcPr>
            <w:tcW w:type="dxa" w:w="2541"/>
            <w:vAlign w:val="top"/>
          </w:tcPr>
          <w:p>
            <w:pPr>
              <w:spacing w:after="0"/>
            </w:pPr>
            <w:r>
              <w:rPr>
                <w:sz w:val="12"/>
              </w:rPr>
              <w:t>EP003</w:t>
            </w:r>
          </w:p>
        </w:tc>
        <w:tc>
          <w:tcPr>
            <w:tcW w:type="dxa" w:w="2541"/>
            <w:vAlign w:val="top"/>
          </w:tcPr>
          <w:p>
            <w:pPr>
              <w:spacing w:after="0"/>
            </w:pPr>
            <w:r>
              <w:rPr>
                <w:sz w:val="12"/>
              </w:rPr>
              <w:t>Syndrome-specific value set and diagnostic criteria</w:t>
            </w:r>
          </w:p>
        </w:tc>
        <w:tc>
          <w:tcPr>
            <w:tcW w:type="dxa" w:w="2541"/>
            <w:vAlign w:val="top"/>
          </w:tcPr>
          <w:p>
            <w:pPr>
              <w:spacing w:after="0"/>
            </w:pPr>
            <w:r>
              <w:rPr>
                <w:sz w:val="12"/>
              </w:rPr>
              <w:t>Must be sourced syndrome-by-syndrome from ILAE 2022 series.</w:t>
            </w:r>
          </w:p>
        </w:tc>
        <w:tc>
          <w:tcPr>
            <w:tcW w:type="dxa" w:w="2541"/>
            <w:vAlign w:val="top"/>
          </w:tcPr>
          <w:p>
            <w:pPr>
              <w:spacing w:after="0"/>
            </w:pPr>
            <w:r>
              <w:rPr>
                <w:sz w:val="12"/>
              </w:rPr>
              <w:t>MEDIUM</w:t>
            </w:r>
          </w:p>
        </w:tc>
      </w:tr>
      <w:tr>
        <w:tc>
          <w:tcPr>
            <w:tcW w:type="dxa" w:w="2541"/>
            <w:vAlign w:val="top"/>
          </w:tcPr>
          <w:p>
            <w:pPr>
              <w:spacing w:after="0"/>
            </w:pPr>
            <w:r>
              <w:rPr>
                <w:sz w:val="12"/>
              </w:rPr>
              <w:t>NINDS</w:t>
            </w:r>
          </w:p>
        </w:tc>
        <w:tc>
          <w:tcPr>
            <w:tcW w:type="dxa" w:w="2541"/>
            <w:vAlign w:val="top"/>
          </w:tcPr>
          <w:p>
            <w:pPr>
              <w:spacing w:after="0"/>
            </w:pPr>
            <w:r>
              <w:rPr>
                <w:sz w:val="12"/>
              </w:rPr>
              <w:t>Exact CDE identifiers/permissible values</w:t>
            </w:r>
          </w:p>
        </w:tc>
        <w:tc>
          <w:tcPr>
            <w:tcW w:type="dxa" w:w="2541"/>
            <w:vAlign w:val="top"/>
          </w:tcPr>
          <w:p>
            <w:pPr>
              <w:spacing w:after="0"/>
            </w:pPr>
            <w:r>
              <w:rPr>
                <w:sz w:val="12"/>
              </w:rPr>
              <w:t>Dynamic resource; exact rows/version not yet frozen.</w:t>
            </w:r>
          </w:p>
        </w:tc>
        <w:tc>
          <w:tcPr>
            <w:tcW w:type="dxa" w:w="2541"/>
            <w:vAlign w:val="top"/>
          </w:tcPr>
          <w:p>
            <w:pPr>
              <w:spacing w:after="0"/>
            </w:pPr>
            <w:r>
              <w:rPr>
                <w:sz w:val="12"/>
              </w:rPr>
              <w:t>HIGH</w:t>
            </w:r>
          </w:p>
        </w:tc>
      </w:tr>
      <w:tr>
        <w:tc>
          <w:tcPr>
            <w:tcW w:type="dxa" w:w="2541"/>
            <w:vAlign w:val="top"/>
          </w:tcPr>
          <w:p>
            <w:pPr>
              <w:spacing w:after="0"/>
            </w:pPr>
            <w:r>
              <w:rPr>
                <w:sz w:val="12"/>
              </w:rPr>
              <w:t>EpSO</w:t>
            </w:r>
          </w:p>
        </w:tc>
        <w:tc>
          <w:tcPr>
            <w:tcW w:type="dxa" w:w="2541"/>
            <w:vAlign w:val="top"/>
          </w:tcPr>
          <w:p>
            <w:pPr>
              <w:spacing w:after="0"/>
            </w:pPr>
            <w:r>
              <w:rPr>
                <w:sz w:val="12"/>
              </w:rPr>
              <w:t>Exact v3.1 class URIs/predicates</w:t>
            </w:r>
          </w:p>
        </w:tc>
        <w:tc>
          <w:tcPr>
            <w:tcW w:type="dxa" w:w="2541"/>
            <w:vAlign w:val="top"/>
          </w:tcPr>
          <w:p>
            <w:pPr>
              <w:spacing w:after="0"/>
            </w:pPr>
            <w:r>
              <w:rPr>
                <w:sz w:val="12"/>
              </w:rPr>
              <w:t>Release verified but OWL/CSV crosswalk not yet extracted.</w:t>
            </w:r>
          </w:p>
        </w:tc>
        <w:tc>
          <w:tcPr>
            <w:tcW w:type="dxa" w:w="2541"/>
            <w:vAlign w:val="top"/>
          </w:tcPr>
          <w:p>
            <w:pPr>
              <w:spacing w:after="0"/>
            </w:pPr>
            <w:r>
              <w:rPr>
                <w:sz w:val="12"/>
              </w:rPr>
              <w:t>HIGH</w:t>
            </w:r>
          </w:p>
        </w:tc>
      </w:tr>
      <w:tr>
        <w:tc>
          <w:tcPr>
            <w:tcW w:type="dxa" w:w="2541"/>
            <w:vAlign w:val="top"/>
          </w:tcPr>
          <w:p>
            <w:pPr>
              <w:spacing w:after="0"/>
            </w:pPr>
            <w:r>
              <w:rPr>
                <w:sz w:val="12"/>
              </w:rPr>
              <w:t>EEG002-008</w:t>
            </w:r>
          </w:p>
        </w:tc>
        <w:tc>
          <w:tcPr>
            <w:tcW w:type="dxa" w:w="2541"/>
            <w:vAlign w:val="top"/>
          </w:tcPr>
          <w:p>
            <w:pPr>
              <w:spacing w:after="0"/>
            </w:pPr>
            <w:r>
              <w:rPr>
                <w:sz w:val="12"/>
              </w:rPr>
              <w:t>Exact SCORE subset/value sets</w:t>
            </w:r>
          </w:p>
        </w:tc>
        <w:tc>
          <w:tcPr>
            <w:tcW w:type="dxa" w:w="2541"/>
            <w:vAlign w:val="top"/>
          </w:tcPr>
          <w:p>
            <w:pPr>
              <w:spacing w:after="0"/>
            </w:pPr>
            <w:r>
              <w:rPr>
                <w:sz w:val="12"/>
              </w:rPr>
              <w:t>SCORE framework verified; MedAI subset and current terminology need dedicated EEG profile.</w:t>
            </w:r>
          </w:p>
        </w:tc>
        <w:tc>
          <w:tcPr>
            <w:tcW w:type="dxa" w:w="2541"/>
            <w:vAlign w:val="top"/>
          </w:tcPr>
          <w:p>
            <w:pPr>
              <w:spacing w:after="0"/>
            </w:pPr>
            <w:r>
              <w:rPr>
                <w:sz w:val="12"/>
              </w:rPr>
              <w:t>HIGH</w:t>
            </w:r>
          </w:p>
        </w:tc>
      </w:tr>
      <w:tr>
        <w:tc>
          <w:tcPr>
            <w:tcW w:type="dxa" w:w="2541"/>
            <w:vAlign w:val="top"/>
          </w:tcPr>
          <w:p>
            <w:pPr>
              <w:spacing w:after="0"/>
            </w:pPr>
            <w:r>
              <w:rPr>
                <w:sz w:val="12"/>
              </w:rPr>
              <w:t>MRI003-005</w:t>
            </w:r>
          </w:p>
        </w:tc>
        <w:tc>
          <w:tcPr>
            <w:tcW w:type="dxa" w:w="2541"/>
            <w:vAlign w:val="top"/>
          </w:tcPr>
          <w:p>
            <w:pPr>
              <w:spacing w:after="0"/>
            </w:pPr>
            <w:r>
              <w:rPr>
                <w:sz w:val="12"/>
              </w:rPr>
              <w:t>Imaging-specific lesion/anatomy ontology</w:t>
            </w:r>
          </w:p>
        </w:tc>
        <w:tc>
          <w:tcPr>
            <w:tcW w:type="dxa" w:w="2541"/>
            <w:vAlign w:val="top"/>
          </w:tcPr>
          <w:p>
            <w:pPr>
              <w:spacing w:after="0"/>
            </w:pPr>
            <w:r>
              <w:rPr>
                <w:sz w:val="12"/>
              </w:rPr>
              <w:t>Need epilepsy MRI reporting literature plus verified RadLex/SNOMED mappings.</w:t>
            </w:r>
          </w:p>
        </w:tc>
        <w:tc>
          <w:tcPr>
            <w:tcW w:type="dxa" w:w="2541"/>
            <w:vAlign w:val="top"/>
          </w:tcPr>
          <w:p>
            <w:pPr>
              <w:spacing w:after="0"/>
            </w:pPr>
            <w:r>
              <w:rPr>
                <w:sz w:val="12"/>
              </w:rPr>
              <w:t>HIGH</w:t>
            </w:r>
          </w:p>
        </w:tc>
      </w:tr>
      <w:tr>
        <w:tc>
          <w:tcPr>
            <w:tcW w:type="dxa" w:w="2541"/>
            <w:vAlign w:val="top"/>
          </w:tcPr>
          <w:p>
            <w:pPr>
              <w:spacing w:after="0"/>
            </w:pPr>
            <w:r>
              <w:rPr>
                <w:sz w:val="12"/>
              </w:rPr>
              <w:t>TX001</w:t>
            </w:r>
          </w:p>
        </w:tc>
        <w:tc>
          <w:tcPr>
            <w:tcW w:type="dxa" w:w="2541"/>
            <w:vAlign w:val="top"/>
          </w:tcPr>
          <w:p>
            <w:pPr>
              <w:spacing w:after="0"/>
            </w:pPr>
            <w:r>
              <w:rPr>
                <w:sz w:val="12"/>
              </w:rPr>
              <w:t>RxNorm RXCUIs/release</w:t>
            </w:r>
          </w:p>
        </w:tc>
        <w:tc>
          <w:tcPr>
            <w:tcW w:type="dxa" w:w="2541"/>
            <w:vAlign w:val="top"/>
          </w:tcPr>
          <w:p>
            <w:pPr>
              <w:spacing w:after="0"/>
            </w:pPr>
            <w:r>
              <w:rPr>
                <w:sz w:val="12"/>
              </w:rPr>
              <w:t>Exact medication registry and release not frozen.</w:t>
            </w:r>
          </w:p>
        </w:tc>
        <w:tc>
          <w:tcPr>
            <w:tcW w:type="dxa" w:w="2541"/>
            <w:vAlign w:val="top"/>
          </w:tcPr>
          <w:p>
            <w:pPr>
              <w:spacing w:after="0"/>
            </w:pPr>
            <w:r>
              <w:rPr>
                <w:sz w:val="12"/>
              </w:rPr>
              <w:t>MEDIUM</w:t>
            </w:r>
          </w:p>
        </w:tc>
      </w:tr>
      <w:tr>
        <w:tc>
          <w:tcPr>
            <w:tcW w:type="dxa" w:w="2541"/>
            <w:vAlign w:val="top"/>
          </w:tcPr>
          <w:p>
            <w:pPr>
              <w:spacing w:after="0"/>
            </w:pPr>
            <w:r>
              <w:rPr>
                <w:sz w:val="12"/>
              </w:rPr>
              <w:t>OUT002</w:t>
            </w:r>
          </w:p>
        </w:tc>
        <w:tc>
          <w:tcPr>
            <w:tcW w:type="dxa" w:w="2541"/>
            <w:vAlign w:val="top"/>
          </w:tcPr>
          <w:p>
            <w:pPr>
              <w:spacing w:after="0"/>
            </w:pPr>
            <w:r>
              <w:rPr>
                <w:sz w:val="12"/>
              </w:rPr>
              <w:t>Engel outcome definitions/source</w:t>
            </w:r>
          </w:p>
        </w:tc>
        <w:tc>
          <w:tcPr>
            <w:tcW w:type="dxa" w:w="2541"/>
            <w:vAlign w:val="top"/>
          </w:tcPr>
          <w:p>
            <w:pPr>
              <w:spacing w:after="0"/>
            </w:pPr>
            <w:r>
              <w:rPr>
                <w:sz w:val="12"/>
              </w:rPr>
              <w:t>Dedicated authoritative source not frozen in Phase 1.</w:t>
            </w:r>
          </w:p>
        </w:tc>
        <w:tc>
          <w:tcPr>
            <w:tcW w:type="dxa" w:w="2541"/>
            <w:vAlign w:val="top"/>
          </w:tcPr>
          <w:p>
            <w:pPr>
              <w:spacing w:after="0"/>
            </w:pPr>
            <w:r>
              <w:rPr>
                <w:sz w:val="12"/>
              </w:rPr>
              <w:t>MEDIUM</w:t>
            </w:r>
          </w:p>
        </w:tc>
      </w:tr>
      <w:tr>
        <w:tc>
          <w:tcPr>
            <w:tcW w:type="dxa" w:w="2541"/>
            <w:vAlign w:val="top"/>
          </w:tcPr>
          <w:p>
            <w:pPr>
              <w:spacing w:after="0"/>
            </w:pPr>
            <w:r>
              <w:rPr>
                <w:sz w:val="12"/>
              </w:rPr>
              <w:t>OUT003</w:t>
            </w:r>
          </w:p>
        </w:tc>
        <w:tc>
          <w:tcPr>
            <w:tcW w:type="dxa" w:w="2541"/>
            <w:vAlign w:val="top"/>
          </w:tcPr>
          <w:p>
            <w:pPr>
              <w:spacing w:after="0"/>
            </w:pPr>
            <w:r>
              <w:rPr>
                <w:sz w:val="12"/>
              </w:rPr>
              <w:t>ILAE surgical outcome scale definitions/source</w:t>
            </w:r>
          </w:p>
        </w:tc>
        <w:tc>
          <w:tcPr>
            <w:tcW w:type="dxa" w:w="2541"/>
            <w:vAlign w:val="top"/>
          </w:tcPr>
          <w:p>
            <w:pPr>
              <w:spacing w:after="0"/>
            </w:pPr>
            <w:r>
              <w:rPr>
                <w:sz w:val="12"/>
              </w:rPr>
              <w:t>Dedicated authoritative source not frozen.</w:t>
            </w:r>
          </w:p>
        </w:tc>
        <w:tc>
          <w:tcPr>
            <w:tcW w:type="dxa" w:w="2541"/>
            <w:vAlign w:val="top"/>
          </w:tcPr>
          <w:p>
            <w:pPr>
              <w:spacing w:after="0"/>
            </w:pPr>
            <w:r>
              <w:rPr>
                <w:sz w:val="12"/>
              </w:rPr>
              <w:t>MEDIUM</w:t>
            </w:r>
          </w:p>
        </w:tc>
      </w:tr>
      <w:tr>
        <w:tc>
          <w:tcPr>
            <w:tcW w:type="dxa" w:w="2541"/>
            <w:vAlign w:val="top"/>
          </w:tcPr>
          <w:p>
            <w:pPr>
              <w:spacing w:after="0"/>
            </w:pPr>
            <w:r>
              <w:rPr>
                <w:sz w:val="12"/>
              </w:rPr>
              <w:t>SYN001</w:t>
            </w:r>
          </w:p>
        </w:tc>
        <w:tc>
          <w:tcPr>
            <w:tcW w:type="dxa" w:w="2541"/>
            <w:vAlign w:val="top"/>
          </w:tcPr>
          <w:p>
            <w:pPr>
              <w:spacing w:after="0"/>
            </w:pPr>
            <w:r>
              <w:rPr>
                <w:sz w:val="12"/>
              </w:rPr>
              <w:t>Clinical localization operationalization</w:t>
            </w:r>
          </w:p>
        </w:tc>
        <w:tc>
          <w:tcPr>
            <w:tcW w:type="dxa" w:w="2541"/>
            <w:vAlign w:val="top"/>
          </w:tcPr>
          <w:p>
            <w:pPr>
              <w:spacing w:after="0"/>
            </w:pPr>
            <w:r>
              <w:rPr>
                <w:sz w:val="12"/>
              </w:rPr>
              <w:t>No frozen annotation standard yet.</w:t>
            </w:r>
          </w:p>
        </w:tc>
        <w:tc>
          <w:tcPr>
            <w:tcW w:type="dxa" w:w="2541"/>
            <w:vAlign w:val="top"/>
          </w:tcPr>
          <w:p>
            <w:pPr>
              <w:spacing w:after="0"/>
            </w:pPr>
            <w:r>
              <w:rPr>
                <w:sz w:val="12"/>
              </w:rPr>
              <w:t>HIGH</w:t>
            </w:r>
          </w:p>
        </w:tc>
      </w:tr>
      <w:tr>
        <w:tc>
          <w:tcPr>
            <w:tcW w:type="dxa" w:w="2541"/>
            <w:vAlign w:val="top"/>
          </w:tcPr>
          <w:p>
            <w:pPr>
              <w:spacing w:after="0"/>
            </w:pPr>
            <w:r>
              <w:rPr>
                <w:sz w:val="12"/>
              </w:rPr>
              <w:t>SYN002</w:t>
            </w:r>
          </w:p>
        </w:tc>
        <w:tc>
          <w:tcPr>
            <w:tcW w:type="dxa" w:w="2541"/>
            <w:vAlign w:val="top"/>
          </w:tcPr>
          <w:p>
            <w:pPr>
              <w:spacing w:after="0"/>
            </w:pPr>
            <w:r>
              <w:rPr>
                <w:sz w:val="12"/>
              </w:rPr>
              <w:t>Multimodal concordance operationalization</w:t>
            </w:r>
          </w:p>
        </w:tc>
        <w:tc>
          <w:tcPr>
            <w:tcW w:type="dxa" w:w="2541"/>
            <w:vAlign w:val="top"/>
          </w:tcPr>
          <w:p>
            <w:pPr>
              <w:spacing w:after="0"/>
            </w:pPr>
            <w:r>
              <w:rPr>
                <w:sz w:val="12"/>
              </w:rPr>
              <w:t>No published annotation manual identified; literature-informed clinician rule needed.</w:t>
            </w:r>
          </w:p>
        </w:tc>
        <w:tc>
          <w:tcPr>
            <w:tcW w:type="dxa" w:w="2541"/>
            <w:vAlign w:val="top"/>
          </w:tcPr>
          <w:p>
            <w:pPr>
              <w:spacing w:after="0"/>
            </w:pPr>
            <w:r>
              <w:rPr>
                <w:sz w:val="12"/>
              </w:rPr>
              <w:t>HIGH</w:t>
            </w:r>
          </w:p>
        </w:tc>
      </w:tr>
    </w:tbl>
    <w:p/>
    <w:p>
      <w:pPr>
        <w:pStyle w:val="Heading1"/>
      </w:pPr>
      <w:r>
        <w:t>13. Machine-readable package</w:t>
      </w:r>
    </w:p>
    <w:p>
      <w:pPr>
        <w:pStyle w:val="ListBullet"/>
      </w:pPr>
      <w:r>
        <w:t>MedAI_Phase3_Data_Dictionary_v1.0.csv</w:t>
      </w:r>
    </w:p>
    <w:p>
      <w:pPr>
        <w:pStyle w:val="ListBullet"/>
      </w:pPr>
      <w:r>
        <w:t>MedAI_Phase3_Value_Sets_v1.0.csv</w:t>
      </w:r>
    </w:p>
    <w:p>
      <w:pPr>
        <w:pStyle w:val="ListBullet"/>
      </w:pPr>
      <w:r>
        <w:t>MedAI_Phase3_Definition_Sources_v1.0.csv</w:t>
      </w:r>
    </w:p>
    <w:p>
      <w:pPr>
        <w:pStyle w:val="ListBullet"/>
      </w:pPr>
      <w:r>
        <w:t>MedAI_Phase3_Unresolved_Definitions_v1.0.csv</w:t>
      </w:r>
    </w:p>
    <w:p>
      <w:pPr>
        <w:pStyle w:val="ListBullet"/>
      </w:pPr>
      <w:r>
        <w:t>MedAI_Phase3_Core_Phenotype_Schema_v1.0.json</w:t>
      </w:r>
    </w:p>
    <w:p>
      <w:pPr>
        <w:pStyle w:val="Heading1"/>
      </w:pPr>
      <w:r>
        <w:t>14. Gate decision</w:t>
      </w:r>
    </w:p>
    <w:tbl>
      <w:tblPr>
        <w:tblStyle w:val="TableGrid"/>
        <w:tblW w:type="auto" w:w="0"/>
        <w:tblLook w:firstColumn="1" w:firstRow="1" w:lastColumn="0" w:lastRow="0" w:noHBand="0" w:noVBand="1" w:val="04A0"/>
      </w:tblPr>
      <w:tblGrid>
        <w:gridCol w:w="10166"/>
      </w:tblGrid>
      <w:tr>
        <w:tc>
          <w:tcPr>
            <w:tcW w:type="dxa" w:w="10166"/>
            <w:shd w:fill="E2F0D9"/>
          </w:tcPr>
          <w:p>
            <w:r>
              <w:rPr>
                <w:b/>
                <w:color w:val="17365D"/>
              </w:rPr>
              <w:t>PASS FOR CORE SEMANTICS; CONDITIONAL FOR GENERATION</w:t>
              <w:br/>
            </w:r>
            <w:r>
              <w:t>The core variables, major source-defined categories and critical boundaries are documented. Large-scale generation remains blocked by high-priority unresolved items: full ILAE-2025 seizure-type implementation, exact NINDS/EpSO mappings, EEG controlled subset, MRI imaging ontology and clinician-approved synthesis rules.</w:t>
            </w:r>
          </w:p>
        </w:tc>
      </w:tr>
    </w:tbl>
    <w:p/>
    <w:p>
      <w:pPr>
        <w:pStyle w:val="Heading1"/>
      </w:pPr>
      <w:r>
        <w:t>15. References</w:t>
      </w:r>
    </w:p>
    <w:p>
      <w:r>
        <w:t>1. Beniczky S, Trinka E, Wirrell E, et al. Updated classification of epileptic seizures. Epilepsia. 2025;66:1804–1823. DOI 10.1111/epi.18338</w:t>
      </w:r>
    </w:p>
    <w:p>
      <w:r>
        <w:t>2. Scheffer IE, Berkovic S, Capovilla G, et al. Epilepsia. 2017;58:512–521. DOI 10.1111/epi.13709</w:t>
      </w:r>
    </w:p>
    <w:p>
      <w:r>
        <w:t>3. Kwan P, Arzimanoglou A, Berg AT, et al. Epilepsia. 2010;51:1069–1077. DOI 10.1111/j.1528-1167.2009.02397.x</w:t>
      </w:r>
    </w:p>
    <w:p>
      <w:r>
        <w:t>4. Beniczky S, Aurlien H, Brøgger JC, et al. Clin Neurophysiol. 2017;128:2334–2346. DOI 10.1016/j.clinph.2017.07.418</w:t>
      </w:r>
    </w:p>
    <w:p>
      <w:r>
        <w:t>5. Blümcke I, Thom M, Aronica E, et al. Epilepsia. 2013;54:1315–1329. DOI 10.1111/epi.12220</w:t>
      </w:r>
    </w:p>
    <w:p>
      <w:r>
        <w:t>6. Najm I, Lal D, Alonso Vanegas M, et al. Epilepsia. 2022;63:1899–1919. DOI 10.1111/epi.17301</w:t>
      </w:r>
    </w:p>
    <w:p>
      <w:r>
        <w:t>7. NINDS Common Data Elements: Epilepsy, dynamic resource; exact CDE row/version must be frozen when mapped.</w:t>
      </w:r>
    </w:p>
    <w:p>
      <w:r>
        <w:t>8. Fonferko-Shadrach et al. J Biomed Semantics. 2024;15:17. DOI 10.1186/s13326-024-00316-z; ExECT v2.1 guideline artifact.</w:t>
      </w:r>
    </w:p>
    <w:p>
      <w:r>
        <w:t>9. Abeysinghe R, et al. npj Digit Med. 2025;8:208. DOI 10.1038/s41746-025-01592-4</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