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17365D"/>
          <w:sz w:val="58"/>
        </w:rPr>
        <w:t>MedAI / EpiSynth</w:t>
      </w:r>
    </w:p>
    <w:p>
      <w:pPr>
        <w:jc w:val="center"/>
      </w:pPr>
      <w:r>
        <w:rPr>
          <w:b/>
          <w:color w:val="2F5597"/>
          <w:sz w:val="34"/>
        </w:rPr>
        <w:t>Phase 4A + 4B: Annotation Evidence Harmonization &amp; Application Profile</w:t>
      </w:r>
    </w:p>
    <w:p>
      <w:pPr>
        <w:jc w:val="center"/>
      </w:pPr>
      <w:r>
        <w:rPr>
          <w:sz w:val="20"/>
        </w:rPr>
        <w:t>Evidence-audited annotation architecture aligned to the existing generation stack</w:t>
        <w:br/>
        <w:t>Version 1.0 • 25 September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2F0D9"/>
          </w:tcPr>
          <w:p>
            <w:r>
              <w:rPr>
                <w:b/>
                <w:color w:val="17365D"/>
              </w:rPr>
              <w:t>Release status</w:t>
              <w:br/>
            </w:r>
            <w:r>
              <w:t>Phase 4A evidence harmonization: COMPLETE for the verified core sources below. Phase 4B application-profile core: FROZEN where it directly reuses already-frozen MedAI objects/rules; LIMITED or BLOCKED where the evidence base does not justify a universal annotation rule. No new clinical taxonomy is introduced.</w:t>
            </w:r>
          </w:p>
        </w:tc>
      </w:tr>
    </w:tbl>
    <w:p/>
    <w:p>
      <w:pPr>
        <w:pStyle w:val="Heading1"/>
      </w:pPr>
      <w:r>
        <w:t>1. Audit question</w:t>
      </w:r>
    </w:p>
    <w:p>
      <w:r>
        <w:t>Can EpiSynth build synthetic and real-note annotations from published epilepsy annotation precedent while preserving every clinically relevant semantic/provenance layer already built for generation? The answer is yes for a core profile, but only if external annotations are treated as source-native evidence and the generation stack remains the governing MedAI semantic backbone.</w:t>
      </w:r>
    </w:p>
    <w:p>
      <w:pPr>
        <w:pStyle w:val="Heading1"/>
      </w:pPr>
      <w:r>
        <w:t>2. Non-negotiable inheritance from generation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D9EAF7"/>
          </w:tcPr>
          <w:p>
            <w:r>
              <w:rPr>
                <w:b/>
                <w:sz w:val="12"/>
              </w:rPr>
              <w:t>Existing generation layer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  <w:sz w:val="12"/>
              </w:rPr>
              <w:t>Annotation requirement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  <w:sz w:val="12"/>
              </w:rPr>
              <w:t>Status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ClinicalDocument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A document being annotated/rendered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PRESERVE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EvidenceSpan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Exact text offsets supporting a direct assertion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PRESERVE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SourceConcept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Source-native clinical concept/version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PRESERVE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PhenotypeAssertion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Clinical assertion with concept/value/context/provenance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PRESERVE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DIRECT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Text-supported assertion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PRESERVE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NORMALIZED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Mapped representation that adds no new clinical conclusion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PRESERVE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DERIVED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Computed synthesis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PRESERVE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PatientPhenotypeView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Patient-level aggregation/synthesis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PRESERVE_LIMITED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LatentPatientTruth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Synthetic patient truth before prose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PRESERVE_SYNTHETIC_ONLY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ClinicalEvent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Time-stamped event feeding generation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PRESERVE_SYNTHETIC_ONLY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AllowedSourceEventIDs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Experimental information scope supplied to renderer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PRESERVE_SYNTHETIC_ONLY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RequiredAssertions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Assertions required by semantic plan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PRESERVE_SYNTHETIC_ONLY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ProhibitedAssertions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Assertions renderer may not introduce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PRESERVE_SYNTHETIC_ONLY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DocumentType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Source document family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PRESERVE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DocumentDate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Document timestamp/date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PRESERVE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Certainty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Assertion uncertainty/certainty as supported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PRESERVE_WITH_SOURCE_RULE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Negation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Assertion polarity/context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PRESERVE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Temporality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Temporal context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PRESERVE_WITH_SOURCE_RULE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Experiencer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Patient vs other experiencer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PRESERVE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Laterality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Laterality if text-supported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PRESERVE_SOURCE_TEXT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AnatomicalSite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Text-supported anatomical location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PRESERVE_SOURCE_TEXT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2F0D9"/>
          </w:tcPr>
          <w:p>
            <w:r>
              <w:rPr>
                <w:b/>
                <w:color w:val="17365D"/>
              </w:rPr>
              <w:t>Result</w:t>
              <w:br/>
            </w:r>
            <w:r>
              <w:t>No major generation object is dropped. ClinicalDocument, EvidenceSpan, SourceConcept, PhenotypeAssertion, DIRECT/NORMALIZED/DERIVED layers, patient-view separation, latent truth/events, allowed events, required/prohibited assertions, document provenance, assertion context, and source mapping all remain represented. Synthetic-only objects are not falsely imposed on real notes.</w:t>
            </w:r>
          </w:p>
        </w:tc>
      </w:tr>
    </w:tbl>
    <w:p/>
    <w:p>
      <w:pPr>
        <w:pStyle w:val="Heading1"/>
      </w:pPr>
      <w:r>
        <w:t>3. Verified published annotation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D9EAF7"/>
          </w:tcPr>
          <w:p>
            <w:r>
              <w:rPr>
                <w:b/>
                <w:sz w:val="12"/>
              </w:rPr>
              <w:t>Source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  <w:sz w:val="12"/>
              </w:rPr>
              <w:t>What is directly supported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  <w:sz w:val="12"/>
              </w:rPr>
              <w:t>How MedAI uses it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ExECT 2019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Patient-attributed epilepsy diagnosis; epilepsy/seizure type extraction; source-native five-level certainty; CT/MRI/EEG results; prescriptions; negation/context.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Precedent for attribution, uncertainty/context and epilepsy clinic-letter extraction. Five-level certainty remains source-specific.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ExECTv2 2024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Synthetic epilepsy clinic letters plus annotation guidelines for broad epilepsy-clinic content; benchmark for ExECTv2.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Synthetic annotation precedent and crosswalk source; detailed rules already inventoried in Phase 2B.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EpiDEA 2012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104 real EMU discharge summaries; two-clinician gold; seven cohort constraints; disagreement resolution with another epileptologist.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Real-note clinician-gold and adjudication precedent; source concepts are not silently modernized.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SZFreqExtract 2025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800 segments from six institutions; manually annotated frequency phrases and detailed attributes; exact span positions; public de-identified data/code.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Primary evidence for detailed seizure-frequency span/attribute layer.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Decker et al. 2022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Seizure-frequency element combines seizure descriptor with rate/count and temporal information; multiple elements and seizure freedom supported.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Complementary definition for frequency-element annotation.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LLM clinic-letter study 2025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280 real clinic letters independently reviewed by two epileptologists for category presence/absence.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Precedent for independent specialist document-level labels; not used as span-rule evidence.</w:t>
            </w:r>
          </w:p>
        </w:tc>
      </w:tr>
    </w:tbl>
    <w:p/>
    <w:p>
      <w:pPr>
        <w:pStyle w:val="Heading1"/>
      </w:pPr>
      <w:r>
        <w:t>4. What is source-backed versus MedAI method</w:t>
      </w:r>
    </w:p>
    <w:p>
      <w:r>
        <w:t>The profile deliberately distinguishes three things: (1) clinical semantics inherited from authoritative Phase 1/3B/3D sources; (2) published annotation methods from epilepsy corpora; and (3) MedAI benchmark/provenance mechanics. Published annotation studies do not by themselves authorize new clinical taxonomy.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D9EAF7"/>
          </w:tcPr>
          <w:p>
            <w:r>
              <w:rPr>
                <w:b/>
                <w:sz w:val="12"/>
              </w:rPr>
              <w:t>Class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  <w:sz w:val="12"/>
              </w:rPr>
              <w:t>Meaning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  <w:sz w:val="12"/>
              </w:rPr>
              <w:t>Example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SOURCE-DEFINED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Explicit in published annotation method/corpus.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SZFreqExtract Event, Quantity, Temporal unit; EpiDEA two-clinician gold.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LITERATURE-ADAPTED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Published method adapted without claiming universal clinical authority.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Independent double review; span-offset evaluation.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MEDAI-FROZEN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Already defined in corrected MedAI generation/annotation specifications.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EvidenceSpan; DIRECT/NORMALIZED/DERIVED; source-event linkage.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MEDAI-EXPERIMENTAL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Benchmark workflow choice requiring prospective validation.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Exact annotation-origin vocabulary or projection workflow not previously source-defined.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BLOCKED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Not sufficiently resolved to become canonical gold.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Derived DRE; universal certainty/temporality ontology; multimodal concordance.</w:t>
            </w:r>
          </w:p>
        </w:tc>
      </w:tr>
    </w:tbl>
    <w:p/>
    <w:p>
      <w:pPr>
        <w:pStyle w:val="Heading1"/>
      </w:pPr>
      <w:r>
        <w:t>5. Phase 4A rule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D9EAF7"/>
          </w:tcPr>
          <w:p>
            <w:r>
              <w:rPr>
                <w:b/>
                <w:sz w:val="11"/>
              </w:rPr>
              <w:t>Rule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  <w:sz w:val="11"/>
              </w:rPr>
              <w:t>Source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  <w:sz w:val="11"/>
              </w:rPr>
              <w:t>Disposition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Patient attribution for epilepsy diagnosis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EXECT19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ADOPT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Diagnosis/type/seizure-type certainty qualifier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EXECT19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ADAPT_SOURCE_SPECIFIC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Negation/context detection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EXECT19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ADAPT_METHOD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EMU cohort gold review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EPIDEA12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ADAPT_METHOD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EpiDEA cohort constraints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EPIDEA12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MAP_ONLY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Seizure frequency element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FREQ22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ADOPT_CONCEPT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Frequency phrase span annotation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SZFREQ25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ADOPT_METHOD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Frequency Event attribute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SZFREQ25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ADOPT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Frequency Quantity attribute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SZFREQ25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ADOPT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Frequency Temporal unit attribute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SZFREQ25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ADOPT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Frequency min/max quantity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SZFREQ25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ADOPT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Frequency interval start/end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SZFREQ25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ADOPT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Frequency time/relative time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SZFREQ25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ADOPT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Frequency duration field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SZFREQ25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ADOPT_WITH_RENAME_GUARD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Independent specialist document-level review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LLM-CLINIC-25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ADAPT_METHOD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Evidence span object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MEDAI-3C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ADOPT_INTERNAL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Direct vs normalized vs derived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MEDAI-3C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ADOPT_INTERNAL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No unstated inference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MEDAI-4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ADOPT_INTERNAL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Normalization adds no new conclusion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MEDAI-4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ADOPT_INTERNAL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Derived assertion provenance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MEDAI-3C;MEDAI-4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ADOPT_INTERNAL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Generation authorization linkage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MEDAI-5;MEDAI-6B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ADOPT_INTERNAL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Blocked canonical concepts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MEDAI-3D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ADOPT_INTERNAL</w:t>
            </w:r>
          </w:p>
        </w:tc>
      </w:tr>
    </w:tbl>
    <w:p/>
    <w:p>
      <w:pPr>
        <w:pStyle w:val="Heading1"/>
      </w:pPr>
      <w:r>
        <w:t>6. Phase 4B annotation application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D9EAF7"/>
          </w:tcPr>
          <w:p>
            <w:r>
              <w:rPr>
                <w:b/>
                <w:sz w:val="12"/>
              </w:rPr>
              <w:t>Field</w:t>
            </w:r>
          </w:p>
        </w:tc>
        <w:tc>
          <w:tcPr>
            <w:tcW w:type="dxa" w:w="2570"/>
            <w:shd w:fill="D9EAF7"/>
          </w:tcPr>
          <w:p>
            <w:r>
              <w:rPr>
                <w:b/>
                <w:sz w:val="12"/>
              </w:rPr>
              <w:t>Layer</w:t>
            </w:r>
          </w:p>
        </w:tc>
        <w:tc>
          <w:tcPr>
            <w:tcW w:type="dxa" w:w="2570"/>
            <w:shd w:fill="D9EAF7"/>
          </w:tcPr>
          <w:p>
            <w:r>
              <w:rPr>
                <w:b/>
                <w:sz w:val="12"/>
              </w:rPr>
              <w:t>Source</w:t>
            </w:r>
          </w:p>
        </w:tc>
        <w:tc>
          <w:tcPr>
            <w:tcW w:type="dxa" w:w="2570"/>
            <w:shd w:fill="D9EAF7"/>
          </w:tcPr>
          <w:p>
            <w:r>
              <w:rPr>
                <w:b/>
                <w:sz w:val="12"/>
              </w:rPr>
              <w:t>Status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evidence_text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DIRECT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MEDAI-3C;MEDAI-4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FROZEN_INTERNAL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start_offset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DIRECT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MEDAI-3C;SZFREQ25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FROZEN_INTERNAL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end_offset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DIRECT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MEDAI-3C;SZFREQ25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FROZEN_INTERNAL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concept_id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DIRECT/NORMALIZED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MEDAI-3B;MEDAI-3D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FROZEN_BY_PROFILE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normalized_value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NORMALIZED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MEDAI-3D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FROZEN_BY_PROFILE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assertion_status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DIRECT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MEDAI-3D;MEDAI-4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FROZEN_CORE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experiencer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DIRECT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EXECT19;MEDAI-4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FROZEN_RULE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temporality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DIRECT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MEDAI-3C;MEDAI-3D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LIMITED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certainty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DIRECT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EXECT19;MEDAI-3D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LIMITED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laterality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DIRECT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MEDAI-3D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SOURCE_TEXT_ONLY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anatomical_site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DIRECT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MEDAI-3C;MEDAI-3D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LIMITED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source_document_type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PROVENANCE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MEDAI-3C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FROZEN_INTERNAL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document_date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PROVENANCE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MEDAI-3C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FROZEN_INTERNAL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source_standard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PROVENANCE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MEDAI-3B;MEDAI-3D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FROZEN_INTERNAL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source_version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PROVENANCE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MEDAI-3B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FROZEN_INTERNAL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mapping_status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PROVENANCE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MEDAI-3D;MEDAI-4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FROZEN_INTERNAL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source_event_id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G0/G1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MEDAI-5;MEDAI-6B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FROZEN_SYNTHETIC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latent_assertion_id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G0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MEDAI-5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FROZEN_SYNTHETIC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semantic_plan_id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G1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MEDAI-6B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FROZEN_SYNTHETIC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derivation_rule_id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DERIVED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MEDAI-3C;MEDAI-4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FROZEN_INTERNAL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input_assertion_ids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DERIVED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MEDAI-3C;MEDAI-4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FROZEN_INTERNAL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annotation_origin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PROVENANCE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MEDAI-PROPOSED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EXPERIMENTAL_METHOD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adjudication_status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PROVENANCE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MEDAI-PROPOSED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NOT_YET_FROZEN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2CC"/>
          </w:tcPr>
          <w:p>
            <w:r>
              <w:rPr>
                <w:b/>
                <w:color w:val="17365D"/>
              </w:rPr>
              <w:t>Key restriction</w:t>
              <w:br/>
            </w:r>
            <w:r>
              <w:t>Fields marked LIMITED, SOURCE_TEXT_ONLY, NOT_YET_FROZEN, EXPERIMENTAL_METHOD, or BLOCKED must not be presented as universally validated annotation ontology. They either preserve source text or require a later prospective method freeze.</w:t>
            </w:r>
          </w:p>
        </w:tc>
      </w:tr>
    </w:tbl>
    <w:p/>
    <w:p>
      <w:pPr>
        <w:pStyle w:val="Heading1"/>
      </w:pPr>
      <w:r>
        <w:t>7. Four gold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D9EAF7"/>
          </w:tcPr>
          <w:p>
            <w:r>
              <w:rPr>
                <w:b/>
                <w:sz w:val="12"/>
              </w:rPr>
              <w:t>Layer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  <w:sz w:val="12"/>
              </w:rPr>
              <w:t>Meaning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  <w:sz w:val="12"/>
              </w:rPr>
              <w:t>Rule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2"/>
              </w:rPr>
              <w:t>G0 Latent Gold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2"/>
              </w:rPr>
              <w:t>Synthetic patient/event truth before prose.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2"/>
              </w:rPr>
              <w:t>Never used to overwrite what the rendered text actually says.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2"/>
              </w:rPr>
              <w:t>G1 Authorized Document Gold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2"/>
              </w:rPr>
              <w:t>What semantic plan allowed/required renderer to communicate.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2"/>
              </w:rPr>
              <w:t>Used to measure omission/leakage; not automatically a text annotation.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2"/>
              </w:rPr>
              <w:t>G2 Rendered Evidence Annotation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2"/>
              </w:rPr>
              <w:t>What the document actually says, with evidence spans.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2"/>
              </w:rPr>
              <w:t>For synthetic and real notes; must faithfully annotate text even when it conflicts with G0/G1.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2"/>
              </w:rPr>
              <w:t>G3 Human-Adjudicated Gold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2"/>
              </w:rPr>
              <w:t>Human-reviewed benchmark annotation.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2"/>
              </w:rPr>
              <w:t>Workflow/rubric must be frozen before production; latent labels alone are not G3.</w:t>
            </w:r>
          </w:p>
        </w:tc>
      </w:tr>
    </w:tbl>
    <w:p/>
    <w:p>
      <w:pPr>
        <w:pStyle w:val="Heading1"/>
      </w:pPr>
      <w:r>
        <w:t>8. Synthetic and real notes use one profile</w:t>
      </w:r>
    </w:p>
    <w:p>
      <w:r>
        <w:t>Synthetic documents have G0/G1 provenance because their truth and information scope are known. Real notes do not. Both converge at G2: document text → EvidenceSpan → DIRECT PhenotypeAssertion → optional NORMALIZED assertion. DERIVED patient-level synthesis remains separate in both settings.</w:t>
      </w:r>
    </w:p>
    <w:p>
      <w:pPr>
        <w:pStyle w:val="Heading1"/>
      </w:pPr>
      <w:r>
        <w:t>9. Explicit unresolved/blocked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D9EAF7"/>
          </w:tcPr>
          <w:p>
            <w:r>
              <w:rPr>
                <w:b/>
                <w:sz w:val="12"/>
              </w:rPr>
              <w:t>Item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  <w:sz w:val="12"/>
              </w:rPr>
              <w:t>Why blocked/limited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  <w:sz w:val="12"/>
              </w:rPr>
              <w:t>Handling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Universal certainty ontology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Different sources use different uncertainty representations; no universal epilepsy certainty ontology frozen.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Preserve source wording/source-specific scale; MedAI core assertion state only where already frozen.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Universal temporality ontology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Temporal fields exist in published corpora, but a universal MedAI temporal ontology is unresolved.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Preserve source temporal spans/attributes; do not force unsupported normalization.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Detailed SCORE hierarchy/codes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Detailed hierarchy remains unresolved in Phase 3D.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Do not create canonical EEG gold beyond frozen/limited scope.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MRI lesion ontology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No frozen source-backed lesion ontology in current application profile.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MRI finding remains source text unless separately sourced/frozen.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Syndrome computational diagnosis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Direct mention allowed; computational diagnosis blocked.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Do not infer syndrome from features.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DRE computational derivation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ILAE definition exists, but MedAI computational derivation remains blocked.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Direct clinician DRE mention only until derivation method validated.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Multimodal concordance/localization synthesis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MedAI proposed and not frozen as canonical gold.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Derived research output only after separate validated rule.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Automatic G0/G1 to G2 projection as gold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Latent/authorized truth does not prove what renderer actually wrote.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Projection may be candidate aid only; rendered evidence requires independent verification.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Published source concept equivalence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External corpus labels may differ in era/granularity.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Keep source-native label + explicit crosswalk; no silent replacement.</w:t>
            </w:r>
          </w:p>
        </w:tc>
      </w:tr>
    </w:tbl>
    <w:p/>
    <w:p>
      <w:pPr>
        <w:pStyle w:val="Heading1"/>
      </w:pPr>
      <w:r>
        <w:t>10. What this audit changes</w:t>
      </w:r>
    </w:p>
    <w:p>
      <w:pPr>
        <w:pStyle w:val="ListBullet"/>
      </w:pPr>
      <w:r>
        <w:t>Phase 2B remains the detailed extraction inventory for ExECTv2/SZFreqExtract and is not discarded.</w:t>
      </w:r>
    </w:p>
    <w:p>
      <w:pPr>
        <w:pStyle w:val="ListBullet"/>
      </w:pPr>
      <w:r>
        <w:t>Phase 3B remains the source-taxonomy authority; annotation datasets cannot redefine the clinical hierarchy.</w:t>
      </w:r>
    </w:p>
    <w:p>
      <w:pPr>
        <w:pStyle w:val="ListBullet"/>
      </w:pPr>
      <w:r>
        <w:t>Phase 3C remains the shared object model for documents, evidence and assertions.</w:t>
      </w:r>
    </w:p>
    <w:p>
      <w:pPr>
        <w:pStyle w:val="ListBullet"/>
      </w:pPr>
      <w:r>
        <w:t>Phase 3D/4.1 remains the canonical-gold gate: blocked concepts stay blocked.</w:t>
      </w:r>
    </w:p>
    <w:p>
      <w:pPr>
        <w:pStyle w:val="ListBullet"/>
      </w:pPr>
      <w:r>
        <w:t>Phase 4 remains the human annotation behavior manual.</w:t>
      </w:r>
    </w:p>
    <w:p>
      <w:pPr>
        <w:pStyle w:val="ListBullet"/>
      </w:pPr>
      <w:r>
        <w:t>Phase 5/6B synthetic latent/event/authorization objects are added as provenance around G2 rather than collapsed into G2.</w:t>
      </w:r>
    </w:p>
    <w:p>
      <w:pPr>
        <w:pStyle w:val="ListBullet"/>
      </w:pPr>
      <w:r>
        <w:t>Phase 6D.3 should use this profile for rendered-evidence annotation and truth-preservation adjudication.</w:t>
      </w:r>
    </w:p>
    <w:p>
      <w:pPr>
        <w:pStyle w:val="Heading1"/>
      </w:pPr>
      <w:r>
        <w:t>11. Immediate next gate before Phase 6D.2 execution</w:t>
      </w:r>
    </w:p>
    <w:p>
      <w:r>
        <w:t>The core annotation architecture is now evidence-audited, but the exact production adjudication workflow and annotation-origin/adjudication-status vocabularies should be prospectively frozen before scoring generated outputs. This does not require inventing clinical concepts; it is a study-method freeze.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2F0D9"/>
          </w:tcPr>
          <w:p>
            <w:r>
              <w:rPr>
                <w:b/>
                <w:color w:val="17365D"/>
              </w:rPr>
              <w:t>Recommended next artifact</w:t>
              <w:br/>
            </w:r>
            <w:r>
              <w:t>Phase 4B.1 / 6D.3 Annotation &amp; Adjudication Pre-Run Freeze: exact claim/span unit, annotator instructions, disagreement workflow, error labels, G2/G3 release criteria, and machine-projection role. This should be frozen before inspecting the 6D.2 outputs.</w:t>
            </w:r>
          </w:p>
        </w:tc>
      </w:tr>
    </w:tbl>
    <w:p/>
    <w:p>
      <w:pPr>
        <w:pStyle w:val="Heading1"/>
      </w:pPr>
      <w:r>
        <w:t>12. Evidence references</w:t>
      </w:r>
    </w:p>
    <w:p>
      <w:pPr>
        <w:pStyle w:val="ListBullet"/>
      </w:pPr>
      <w:r>
        <w:t>Using NLP to extract structured epilepsy data from unstructured clinic letters (2019). https://pmc.ncbi.nlm.nih.gov/articles/PMC6500195/</w:t>
      </w:r>
    </w:p>
    <w:p>
      <w:pPr>
        <w:pStyle w:val="ListBullet"/>
      </w:pPr>
      <w:r>
        <w:t>Annotation of epilepsy clinic letters for natural language processing (2024). https://pmc.ncbi.nlm.nih.gov/articles/PMC11402197/</w:t>
      </w:r>
    </w:p>
    <w:p>
      <w:pPr>
        <w:pStyle w:val="ListBullet"/>
      </w:pPr>
      <w:r>
        <w:t>EpiDEA: Extracting Structured Epilepsy and Seizure Information from Patient Discharge Summaries (2012). https://pmc.ncbi.nlm.nih.gov/articles/PMC3540531/</w:t>
      </w:r>
    </w:p>
    <w:p>
      <w:pPr>
        <w:pStyle w:val="ListBullet"/>
      </w:pPr>
      <w:r>
        <w:t>Leveraging pretrained language models for seizure frequency extraction from epilepsy evaluation reports (2025). https://pmc.ncbi.nlm.nih.gov/articles/PMC11997153/</w:t>
      </w:r>
    </w:p>
    <w:p>
      <w:pPr>
        <w:pStyle w:val="ListBullet"/>
      </w:pPr>
      <w:r>
        <w:t>Development of an NLP Algorithm to Extract Seizure Types and Frequencies from the EHR (2022). https://pmc.ncbi.nlm.nih.gov/articles/PMC9547963/</w:t>
      </w:r>
    </w:p>
    <w:p>
      <w:pPr>
        <w:pStyle w:val="ListBullet"/>
      </w:pPr>
      <w:r>
        <w:t>Extracting epilepsy-related information from unstructured clinic letters using LLMs (2025). https://pmc.ncbi.nlm.nih.gov/articles/PMC12455391/</w:t>
      </w:r>
    </w:p>
    <w:p>
      <w:r>
        <w:t>Internal dependencies: MedAI Phases 3B, 3C, 3D/4.1, 4, 5, and 6B. These are MedAI methods/specifications, not external clinical standards.</w:t>
      </w:r>
    </w:p>
    <w:sectPr w:rsidR="00FC693F" w:rsidRPr="0006063C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