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b/>
          <w:color w:val="17365D"/>
          <w:sz w:val="58"/>
        </w:rPr>
        <w:t>MedAI / EpiSynth</w:t>
      </w:r>
    </w:p>
    <w:p>
      <w:pPr>
        <w:jc w:val="center"/>
      </w:pPr>
      <w:r>
        <w:rPr>
          <w:b/>
          <w:color w:val="2F5597"/>
          <w:sz w:val="34"/>
        </w:rPr>
        <w:t>Phase 4B.1 / 6D.3 Annotation &amp; Adjudication Pre-Run Freeze</w:t>
      </w:r>
    </w:p>
    <w:p>
      <w:pPr>
        <w:jc w:val="center"/>
      </w:pPr>
      <w:r>
        <w:rPr>
          <w:sz w:val="20"/>
        </w:rPr>
        <w:t>Prospective evaluation rules for rendered evidence and truth-preservation adjudication</w:t>
        <w:br/>
        <w:t>Version 1.0 • 25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</w:tcPr>
          <w:p>
            <w:r>
              <w:rPr>
                <w:b/>
                <w:color w:val="17365D"/>
              </w:rPr>
              <w:t>Release status</w:t>
              <w:br/>
            </w:r>
            <w:r>
              <w:t>FROZEN FOR THE PHASE 6D PILOT. This document freezes study-operational annotation/adjudication mechanics only. It does not introduce new epilepsy clinical taxonomy, does not un-block unresolved Phase 3D/4.1 concepts, and does not report results.</w:t>
            </w:r>
          </w:p>
        </w:tc>
      </w:tr>
    </w:tbl>
    <w:p/>
    <w:p>
      <w:pPr>
        <w:pStyle w:val="Heading1"/>
      </w:pPr>
      <w:r>
        <w:t>1. Evidence audit before freeze</w:t>
      </w:r>
    </w:p>
    <w:p>
      <w:r>
        <w:t>Published epilepsy annotation work supports independent human review, consensus/adjudication, exact span annotation for seizure frequency, and real-note gold standards. ExECTv2 double-annotated synthetic epilepsy clinic letters; EpiDEA created a clinician gold standard for 104 EMU discharge summaries; SZFreqExtract manually annotated seizure-frequency spans and detailed attributes in 800 segments from six institutions. These sources support the annotation methodology but do not define all MedAI clinical semantics.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</w:tcPr>
          <w:p>
            <w:r>
              <w:rPr>
                <w:b/>
                <w:color w:val="17365D"/>
              </w:rPr>
              <w:t>Clinical-semantics rule</w:t>
              <w:br/>
            </w:r>
            <w:r>
              <w:t>The source clinical taxonomy and allowed canonical values remain governed by MedAI Phase 3B and Phase 3D/4.1. Published annotation corpora are not allowed to silently redefine the clinical hierarchy.</w:t>
            </w:r>
          </w:p>
        </w:tc>
      </w:tr>
    </w:tbl>
    <w:p/>
    <w:p>
      <w:pPr>
        <w:pStyle w:val="Heading1"/>
      </w:pPr>
      <w:r>
        <w:t>2. Generation-layer inheritance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Generation layer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Preserved?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Annotation handling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ClinicalDocument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Document identity/type/date/provenance retained.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EvidenceSpan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Exact rendered offsets retained.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SourceConcept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Source-native concept/version retained.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PhenotypeAssertion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Shared central assertion object.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DIRECT/NORMALIZED/DERIVED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Layer separation retained.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PatientPhenotypeView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YES-LIMITED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Patient synthesis remains separate from direct document gold.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LatentPatientTruth (G0)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YES-SYNTHETIC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Never substituted for rendered evidence.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ClinicalEvent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YES-SYNTHETIC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Source event link retained.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AllowedSourceEventIDs / information scope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YES-SYNTHETIC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Used for leakage/support adjudication.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RequiredAssertions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YES-SYNTHETIC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Used for target-expression outcome.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ProhibitedAssertions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YES-SYNTHETIC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Used for leakage/rule outcomes.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Certainty / negation / temporality / experiencer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Retained with existing frozen/limited boundaries.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Laterality / anatomical site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Source-text/limited boundaries preserved.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Source standard/version/mapping status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Retained.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Generator/condition/request/output provenance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YES-SYNTHETIC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Retained from 6D.2 execution.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</w:tcPr>
          <w:p>
            <w:r>
              <w:rPr>
                <w:b/>
                <w:color w:val="17365D"/>
              </w:rPr>
              <w:t>Audit result</w:t>
              <w:br/>
            </w:r>
            <w:r>
              <w:t>All core generation layers needed for traceability are preserved. Synthetic-only truth/authorization layers are retained as G0/G1 provenance and are not imposed on real notes or substituted for G2 rendered evidence.</w:t>
            </w:r>
          </w:p>
        </w:tc>
      </w:tr>
    </w:tbl>
    <w:p/>
    <w:p>
      <w:pPr>
        <w:pStyle w:val="Heading1"/>
      </w:pPr>
      <w:r>
        <w:t>3. Frozen claim/evidence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Rule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Definition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Basis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CU01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Annotate the smallest text span that expresses one clinically meaningful proposition without destroying its meaning.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MEDAI-PROPOSED study method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CU02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If one sentence contains separable clinical propositions, create separate claim units.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MEDAI-PROPOSED study method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CU03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If a modifier is necessary to preserve meaning (negation, uncertainty, quantity, temporal unit, laterality), include it in the claim/evidence span.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MedAI Phase 3C/4 + published span precedent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CU04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Do not split an expression if splitting would make an attribute uninterpretable or detach it from its clinical target.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MEDAI-PROPOSED study method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CU05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Non-clinical boilerplate is not adjudicated as a clinical claim unless it violates a frozen document rule.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MEDAI-PROPOSED study method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CU06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Annotate what the rendered text says even when it disagrees with latent/authorized truth.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G0/G1/G2 architecture; MedAI Phase 3C/4/5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CU07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 derived conclusion is not assigned a fabricated direct evidence span; if the renderer states it explicitly, that rendered statement itself can be annotated as G2 and then judged against authorization.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MedAI Phase 3C/4</w:t>
            </w:r>
          </w:p>
        </w:tc>
      </w:tr>
    </w:tbl>
    <w:p/>
    <w:p>
      <w:r>
        <w:t>These claim-unit rules are study-method choices. Where published epilepsy corpora provide span precedent, that precedent is cited; where no published universal claim-unit rule exists, the rule is explicitly labeled MEDAI-PROPOSED rather than presented as a clinical standard.</w:t>
      </w:r>
    </w:p>
    <w:p>
      <w:pPr>
        <w:pStyle w:val="Heading1"/>
      </w:pPr>
      <w:r>
        <w:t>4. Frozen adjudication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D9EAF7"/>
          </w:tcPr>
          <w:p>
            <w:r>
              <w:rPr>
                <w:b/>
                <w:sz w:val="12"/>
              </w:rPr>
              <w:t>Dimension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  <w:sz w:val="12"/>
              </w:rPr>
              <w:t>Label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  <w:sz w:val="12"/>
              </w:rPr>
              <w:t>Operational definition</w:t>
            </w:r>
          </w:p>
        </w:tc>
        <w:tc>
          <w:tcPr>
            <w:tcW w:type="dxa" w:w="2570"/>
            <w:shd w:fill="D9EAF7"/>
          </w:tcPr>
          <w:p>
            <w:r>
              <w:rPr>
                <w:b/>
                <w:sz w:val="12"/>
              </w:rPr>
              <w:t>Status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SUPPORT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SUPPORTED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Generated claim is fully supported by one or more authorized source assertions/events without clinically meaningful attribute change.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FROZEN_FOR_PILOT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SUPPORT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UNSUPPORTED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Generated clinical claim has no supporting authorized source assertion/event.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FROZEN_FOR_PILOT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SUPPORT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PARTIALLY_SUPPORTED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Claim contains both supported content and an inseparable unsupported or corrupted component.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FROZEN_FOR_PILOT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TARGET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EXPRESSED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Required assertion is expressed without clinically meaningful corruption.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FROZEN_FOR_PILOT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TARGET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OMITTED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Required assertion is not expressed in the rendered document.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FROZEN_FOR_PILOT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TARGET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CORRUPTED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Required assertion is expressed but a clinically meaningful value/attribute differs from authorized truth.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FROZEN_FOR_PILOT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ERROR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CONTRADICTION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Rendered claim directly conflicts with authorized truth.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FROZEN_FOR_PILOT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ERROR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INFORMATION_LEAKAGE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Rendered clinical information falls outside the condition-specific authorized information scope.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FROZEN_FOR_PILOT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ERROR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DOCUMENT_RULE_VIOLATION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Rendered content violates a frozen document-family/generation rule.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FROZEN_FOR_PILOT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TRACE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TRACEABLE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Claim can be linked to authorized source assertion/event(s).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FROZEN_FOR_PILOT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TRACE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UNTRACEABLE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No valid authorized source link exists.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1"/>
              </w:rPr>
              <w:t>FROZEN_FOR_PILOT</w:t>
            </w:r>
          </w:p>
        </w:tc>
      </w:tr>
    </w:tbl>
    <w:p/>
    <w:p>
      <w:pPr>
        <w:pStyle w:val="Heading1"/>
      </w:pPr>
      <w:r>
        <w:t>5. Annotation and adjudication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Step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Procedure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Requirement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W01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Freeze raw Phase 6D.2 output before annotation.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W02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Create a de-identified adjudication view that masks generator and condition where technically feasible.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REQUIRED_IF_FEASIBLE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W03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Annotator reviews rendered text first and marks G2 evidence/claims using the frozen annotation profile.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W04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Only after G2 capture, compare claims against G0/G1 authorization to assign support/target/error labels.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W05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Preserve each annotator's original labels before consensus/adjudication.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W06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Resolve disagreement by documented consensus/adjudication; do not silently overwrite first-pass labels.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W07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Do not expose downstream model-extraction predictions to adjudicators.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W08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Do not use the generation model as final adjudicator of its own output.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</w:tcPr>
          <w:p>
            <w:r>
              <w:rPr>
                <w:b/>
                <w:color w:val="17365D"/>
              </w:rPr>
              <w:t>Anti-circularity safeguard</w:t>
              <w:br/>
            </w:r>
            <w:r>
              <w:t>G0/G1 can tell us what should have been available to the renderer. They cannot determine what the renderer actually wrote. G2 is annotated from the rendered text; G3 requires human consensus/adjudication.</w:t>
            </w:r>
          </w:p>
        </w:tc>
      </w:tr>
    </w:tbl>
    <w:p/>
    <w:p>
      <w:pPr>
        <w:pStyle w:val="Heading1"/>
      </w:pPr>
      <w:r>
        <w:t>6. Machine projection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Policy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Rule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  <w:sz w:val="12"/>
              </w:rPr>
              <w:t>Status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P01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G0/G1 may pre-populate expected assertion IDs and candidate source-event links, but not G2 text spans or final support labels.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ALLOWED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P02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Automatic string/offset matching may propose candidate evidence spans; candidate status must be retained until human verification.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ALLOWED_CANDIDATE_ONLY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P03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A projected annotation cannot become G3 solely because it matches latent truth.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PROHIBITED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P04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If rendered text contradicts G0/G1, G2 records the rendered meaning; the discrepancy is separately labeled.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P05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Blocked Phase 3D/4.1 concepts cannot be auto-projected into canonical gold.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1"/>
              </w:rPr>
              <w:t>PROHIBITED</w:t>
            </w:r>
          </w:p>
        </w:tc>
      </w:tr>
    </w:tbl>
    <w:p/>
    <w:p>
      <w:pPr>
        <w:pStyle w:val="Heading1"/>
      </w:pPr>
      <w:r>
        <w:t>7. G0 → G3 evaluation logic</w:t>
      </w:r>
    </w:p>
    <w:p>
      <w:pPr>
        <w:jc w:val="center"/>
      </w:pPr>
      <w:r>
        <w:rPr>
          <w:b/>
          <w:color w:val="17365D"/>
          <w:sz w:val="18"/>
        </w:rPr>
        <w:t>G0 — LATENT TRUTH: what is true in the synthetic patient/event model</w:t>
      </w:r>
    </w:p>
    <w:p>
      <w:pPr>
        <w:jc w:val="center"/>
      </w:pPr>
      <w:r>
        <w:rPr>
          <w:b w:val="0"/>
          <w:color w:val="17365D"/>
          <w:sz w:val="18"/>
        </w:rPr>
        <w:t>↓</w:t>
      </w:r>
    </w:p>
    <w:p>
      <w:pPr>
        <w:jc w:val="center"/>
      </w:pPr>
      <w:r>
        <w:rPr>
          <w:b/>
          <w:color w:val="17365D"/>
          <w:sz w:val="18"/>
        </w:rPr>
        <w:t>G1 — AUTHORIZED DOCUMENT CONTENT: what the semantic plan permits/requires</w:t>
      </w:r>
    </w:p>
    <w:p>
      <w:pPr>
        <w:jc w:val="center"/>
      </w:pPr>
      <w:r>
        <w:rPr>
          <w:b w:val="0"/>
          <w:color w:val="17365D"/>
          <w:sz w:val="18"/>
        </w:rPr>
        <w:t>↓  renderer</w:t>
      </w:r>
    </w:p>
    <w:p>
      <w:pPr>
        <w:jc w:val="center"/>
      </w:pPr>
      <w:r>
        <w:rPr>
          <w:b/>
          <w:color w:val="17365D"/>
          <w:sz w:val="18"/>
        </w:rPr>
        <w:t>RAW DOCUMENT — frozen before annotation</w:t>
      </w:r>
    </w:p>
    <w:p>
      <w:pPr>
        <w:jc w:val="center"/>
      </w:pPr>
      <w:r>
        <w:rPr>
          <w:b w:val="0"/>
          <w:color w:val="17365D"/>
          <w:sz w:val="18"/>
        </w:rPr>
        <w:t>↓  independent evidence annotation</w:t>
      </w:r>
    </w:p>
    <w:p>
      <w:pPr>
        <w:jc w:val="center"/>
      </w:pPr>
      <w:r>
        <w:rPr>
          <w:b/>
          <w:color w:val="17365D"/>
          <w:sz w:val="18"/>
        </w:rPr>
        <w:t>G2 — RENDERED EVIDENCE: what the document actually states</w:t>
      </w:r>
    </w:p>
    <w:p>
      <w:pPr>
        <w:jc w:val="center"/>
      </w:pPr>
      <w:r>
        <w:rPr>
          <w:b w:val="0"/>
          <w:color w:val="17365D"/>
          <w:sz w:val="18"/>
        </w:rPr>
        <w:t>↓  independent review + consensus/adjudication</w:t>
      </w:r>
    </w:p>
    <w:p>
      <w:pPr>
        <w:jc w:val="center"/>
      </w:pPr>
      <w:r>
        <w:rPr>
          <w:b/>
          <w:color w:val="17365D"/>
          <w:sz w:val="18"/>
        </w:rPr>
        <w:t>G3 — HUMAN-ADJUDICATED GOLD</w:t>
      </w:r>
    </w:p>
    <w:p>
      <w:pPr>
        <w:jc w:val="center"/>
      </w:pPr>
      <w:r>
        <w:rPr>
          <w:b w:val="0"/>
          <w:color w:val="17365D"/>
          <w:sz w:val="18"/>
        </w:rPr>
        <w:t>↓</w:t>
      </w:r>
    </w:p>
    <w:p>
      <w:pPr>
        <w:jc w:val="center"/>
      </w:pPr>
      <w:r>
        <w:rPr>
          <w:b/>
          <w:color w:val="17365D"/>
          <w:sz w:val="18"/>
        </w:rPr>
        <w:t>GENERATION ERROR ANALYSIS: compare G2/G3 against G0/G1 without overwriting either layer</w:t>
      </w:r>
    </w:p>
    <w:p>
      <w:pPr>
        <w:pStyle w:val="Heading1"/>
      </w:pPr>
      <w:r>
        <w:t>8. What remains blocked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  <w:sz w:val="12"/>
              </w:rPr>
              <w:t>Item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  <w:sz w:val="12"/>
              </w:rPr>
              <w:t>Handling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Universal certainty ontology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Still unresolved; preserve source-supported certainty/source-specific scales.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Universal temporality ontology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Still unresolved; preserve source temporal evidence/attributes.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Detailed SCORE hierarchy/codes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Do not create new canonical EEG labels.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MRI lesion ontology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Do not infer/normalize pathology subtype beyond frozen source support.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Syndrome computational diagnosis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Direct mention only; no computed syndrome gold.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DRE computational derivation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Direct clinician statement only until separate validated derivation.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Multimodal concordance/localization synthesis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Not canonical gold.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Automatic G0/G1→G2/G3 conversion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Forbidden; rendered text and human adjudication remain separate.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Clinician realism score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Not part of 6D.3; deferred until Phase 6E rubric is prospectively defined.</w:t>
            </w:r>
          </w:p>
        </w:tc>
      </w:tr>
    </w:tbl>
    <w:p/>
    <w:p>
      <w:pPr>
        <w:pStyle w:val="Heading1"/>
      </w:pPr>
      <w:r>
        <w:t>9. Required Phase 6D.3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  <w:sz w:val="12"/>
              </w:rPr>
              <w:t>Artifact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  <w:sz w:val="12"/>
              </w:rPr>
              <w:t>Purpose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claim_annotations.jsonl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G2 claim/evidence records with offsets and normalized assertion links.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annotator_A.jsonl / annotator_B.jsonl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Preserved independent first-pass annotations.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disagreement_log.csv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All disagreements and resolution status.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adjudicated_gold.jsonl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G3 consensus/adjudicated records.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generation_error_labels.jsonl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Support, target expression, corruption, contradiction, leakage and rule-violation outcomes.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adjudication_manifest.json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Versions/hashes of raw outputs, rules, profile and adjudication artifacts.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IAA_report.csv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1"/>
              </w:rPr>
              <w:t>Agreement measures selected to match the final annotation unit/scale; method must be stated explicitly.</w:t>
            </w:r>
          </w:p>
        </w:tc>
      </w:tr>
    </w:tbl>
    <w:p/>
    <w:p>
      <w:pPr>
        <w:pStyle w:val="Heading1"/>
      </w:pPr>
      <w:r>
        <w:t>10. Gate to Phase 6D.2 execution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</w:tcPr>
          <w:p>
            <w:r>
              <w:rPr>
                <w:b/>
                <w:color w:val="17365D"/>
              </w:rPr>
              <w:t>PASS — ANNOTATION/EVALUATION PRE-RUN FREEZE</w:t>
              <w:br/>
            </w:r>
            <w:r>
              <w:t>The core G2/G3 annotation and truth-preservation adjudication rules are prospectively frozen for the six-case pilot. Clinical concepts that were unresolved before this freeze remain unresolved. Phase 6D.2 can now be executed without needing to inspect outputs to invent the evaluation rules afterward.</w:t>
            </w:r>
          </w:p>
        </w:tc>
      </w:tr>
    </w:tbl>
    <w:p/>
    <w:p>
      <w:pPr>
        <w:pStyle w:val="Heading1"/>
      </w:pPr>
      <w:r>
        <w:t>11. Evidence sources</w:t>
      </w:r>
    </w:p>
    <w:p>
      <w:pPr>
        <w:pStyle w:val="ListBullet"/>
      </w:pPr>
      <w:r>
        <w:t>Fonferko-Shadrach et al. Annotation of epilepsy clinic letters for natural language processing. Journal of Biomedical Semantics. 2024. 200 synthetic epilepsy clinic letters; double annotation by trained researchers/clinicians; annotation guidelines and consensus gold.</w:t>
      </w:r>
    </w:p>
    <w:p>
      <w:pPr>
        <w:pStyle w:val="ListBullet"/>
      </w:pPr>
      <w:r>
        <w:t>Cui et al. EpiDEA: Extracting Structured Epilepsy and Seizure Information from Patient Discharge Summaries for Cohort Identification. AMIA. 2012. 104 EMU discharge summaries; gold standard by two epileptologists/clinicians with documented resolution of disagreement.</w:t>
      </w:r>
    </w:p>
    <w:p>
      <w:pPr>
        <w:pStyle w:val="ListBullet"/>
      </w:pPr>
      <w:r>
        <w:t>Leveraging pretrained language models for seizure frequency extraction from epilepsy evaluation reports. npj Digital Medicine. 2025. 800 manually annotated text segments from six institutions with frequency spans and detailed attributes.</w:t>
      </w:r>
    </w:p>
    <w:p>
      <w:pPr>
        <w:pStyle w:val="ListBullet"/>
      </w:pPr>
      <w:r>
        <w:t>Using natural language processing to extract structured epilepsy data from unstructured clinic letters: development and validation of ExECT. BMJ Open. 2019. Epilepsy clinic-letter extraction including diagnosis/type, certainty/context, investigations and medications.</w:t>
      </w:r>
    </w:p>
    <w:p>
      <w:pPr>
        <w:pStyle w:val="ListBullet"/>
      </w:pPr>
      <w:r>
        <w:t>Internal MedAI corrected specifications: Phases 3B, 3C, 3D/4.1, 4, 5, 6B, 6D, and Phase 4A/4B annotation evidence/profile.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