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8"/>
        </w:rPr>
        <w:t>MedAI</w:t>
      </w:r>
    </w:p>
    <w:p>
      <w:pPr>
        <w:jc w:val="center"/>
      </w:pPr>
      <w:r>
        <w:rPr>
          <w:b/>
          <w:color w:val="2F5597"/>
          <w:sz w:val="40"/>
        </w:rPr>
        <w:t>Phase 4 — Evidence-Backed Annotation Manual</w:t>
      </w:r>
    </w:p>
    <w:p>
      <w:pPr>
        <w:jc w:val="center"/>
      </w:pPr>
      <w:r>
        <w:rPr>
          <w:sz w:val="22"/>
        </w:rPr>
        <w:t>Version 1.0 • 25 September 2026</w:t>
        <w:br/>
        <w:t>Conservative annotation rules for heterogeneous epilepsy clinical text</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Non-negotiable evidence rule</w:t>
              <w:br/>
            </w:r>
            <w:r>
              <w:t>Nothing in this manual is presented as an external clinical standard unless the cited source supports it. MedAI operational choices are explicitly labeled MEDAI-PROPOSED; source precedents modified for this project are labeled ADAPTED or EXTENDED. Unresolved semantics are blocked rather than guessed.</w:t>
            </w:r>
          </w:p>
        </w:tc>
      </w:tr>
    </w:tbl>
    <w:p/>
    <w:p>
      <w:r>
        <w:br w:type="page"/>
      </w:r>
    </w:p>
    <w:p>
      <w:pPr>
        <w:pStyle w:val="Heading1"/>
      </w:pPr>
      <w:r>
        <w:t>1. Purpose and scope</w:t>
      </w:r>
    </w:p>
    <w:p>
      <w:r>
        <w:t>This manual governs human annotation for MedAI Paper 1 and the future EpiSynth validation corpus. The input is clinical text: neurology notes, epilepsy consultations, EEG/EMU reports, MRI/radiology reports, presurgical evaluations, conference notes, procedure notes, pathology reports, and discharge summaries.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Paper 1 boundary</w:t>
              <w:br/>
            </w:r>
            <w:r>
              <w:t>MRI report text is not raw MRI. EEG report text is not raw EEG. Annotators label what the clinical document states. Raw signals/images are reserved for later multimodal studies.</w:t>
            </w:r>
          </w:p>
        </w:tc>
      </w:tr>
    </w:tbl>
    <w:p/>
    <w:p>
      <w:pPr>
        <w:pStyle w:val="Heading1"/>
      </w:pPr>
      <w:r>
        <w:t>2. Evidence hierarchy and rule provenance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4"/>
              </w:rPr>
              <w:t>Class</w:t>
            </w:r>
          </w:p>
        </w:tc>
        <w:tc>
          <w:tcPr>
            <w:tcW w:type="dxa" w:w="5141"/>
            <w:shd w:fill="D9EAF7"/>
          </w:tcPr>
          <w:p>
            <w:r>
              <w:rPr>
                <w:b/>
                <w:sz w:val="14"/>
              </w:rPr>
              <w:t>Meaning</w:t>
            </w:r>
          </w:p>
        </w:tc>
      </w:tr>
      <w:tr>
        <w:tc>
          <w:tcPr>
            <w:tcW w:type="dxa" w:w="5141"/>
            <w:vAlign w:val="top"/>
          </w:tcPr>
          <w:p>
            <w:pPr>
              <w:spacing w:after="0"/>
            </w:pPr>
            <w:r>
              <w:rPr>
                <w:sz w:val="14"/>
              </w:rPr>
              <w:t>ADOPTED</w:t>
            </w:r>
          </w:p>
        </w:tc>
        <w:tc>
          <w:tcPr>
            <w:tcW w:type="dxa" w:w="5141"/>
            <w:vAlign w:val="top"/>
          </w:tcPr>
          <w:p>
            <w:pPr>
              <w:spacing w:after="0"/>
            </w:pPr>
            <w:r>
              <w:rPr>
                <w:sz w:val="14"/>
              </w:rPr>
              <w:t>The annotation rule is directly supported by a cited published/standards source.</w:t>
            </w:r>
          </w:p>
        </w:tc>
      </w:tr>
      <w:tr>
        <w:tc>
          <w:tcPr>
            <w:tcW w:type="dxa" w:w="5141"/>
            <w:vAlign w:val="top"/>
          </w:tcPr>
          <w:p>
            <w:pPr>
              <w:spacing w:after="0"/>
            </w:pPr>
            <w:r>
              <w:rPr>
                <w:sz w:val="14"/>
              </w:rPr>
              <w:t>ADAPTED</w:t>
            </w:r>
          </w:p>
        </w:tc>
        <w:tc>
          <w:tcPr>
            <w:tcW w:type="dxa" w:w="5141"/>
            <w:vAlign w:val="top"/>
          </w:tcPr>
          <w:p>
            <w:pPr>
              <w:spacing w:after="0"/>
            </w:pPr>
            <w:r>
              <w:rPr>
                <w:sz w:val="14"/>
              </w:rPr>
              <w:t>A source-backed concept/rule is transparently operationalized for MedAI.</w:t>
            </w:r>
          </w:p>
        </w:tc>
      </w:tr>
      <w:tr>
        <w:tc>
          <w:tcPr>
            <w:tcW w:type="dxa" w:w="5141"/>
            <w:vAlign w:val="top"/>
          </w:tcPr>
          <w:p>
            <w:pPr>
              <w:spacing w:after="0"/>
            </w:pPr>
            <w:r>
              <w:rPr>
                <w:sz w:val="14"/>
              </w:rPr>
              <w:t>EXTENDED</w:t>
            </w:r>
          </w:p>
        </w:tc>
        <w:tc>
          <w:tcPr>
            <w:tcW w:type="dxa" w:w="5141"/>
            <w:vAlign w:val="top"/>
          </w:tcPr>
          <w:p>
            <w:pPr>
              <w:spacing w:after="0"/>
            </w:pPr>
            <w:r>
              <w:rPr>
                <w:sz w:val="14"/>
              </w:rPr>
              <w:t>A published annotation precedent is extended to heterogeneous/longitudinal documents.</w:t>
            </w:r>
          </w:p>
        </w:tc>
      </w:tr>
      <w:tr>
        <w:tc>
          <w:tcPr>
            <w:tcW w:type="dxa" w:w="5141"/>
            <w:vAlign w:val="top"/>
          </w:tcPr>
          <w:p>
            <w:pPr>
              <w:spacing w:after="0"/>
            </w:pPr>
            <w:r>
              <w:rPr>
                <w:sz w:val="14"/>
              </w:rPr>
              <w:t>MEDAI-PROPOSED</w:t>
            </w:r>
          </w:p>
        </w:tc>
        <w:tc>
          <w:tcPr>
            <w:tcW w:type="dxa" w:w="5141"/>
            <w:vAlign w:val="top"/>
          </w:tcPr>
          <w:p>
            <w:pPr>
              <w:spacing w:after="0"/>
            </w:pPr>
            <w:r>
              <w:rPr>
                <w:sz w:val="14"/>
              </w:rPr>
              <w:t>A project operational safeguard or data-model rule. It is not claimed to be ILAE, SCORE, ExECT, etc.</w:t>
            </w:r>
          </w:p>
        </w:tc>
      </w:tr>
    </w:tbl>
    <w:p/>
    <w:p>
      <w:r>
        <w:t>These labels describe provenance, not scientific quality. A MEDAI-PROPOSED rule can be useful, but it must remain distinguishable from a clinical standard.</w:t>
      </w:r>
    </w:p>
    <w:p>
      <w:pPr>
        <w:pStyle w:val="Heading1"/>
      </w:pPr>
      <w:r>
        <w:t>3. Gold annotation unit</w:t>
      </w:r>
    </w:p>
    <w:p>
      <w:r>
        <w:t>The primary gold unit is a source-grounded PhenotypeAssertion linked to a ClinicalDocument and supporting EvidenceSpan. Phase 4 inherits the Phase 3C distinction among DIRECT, NORMALIZED, and DERIVED assertions.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4"/>
              </w:rPr>
              <w:t>Layer</w:t>
            </w:r>
          </w:p>
        </w:tc>
        <w:tc>
          <w:tcPr>
            <w:tcW w:type="dxa" w:w="5141"/>
            <w:shd w:fill="D9EAF7"/>
          </w:tcPr>
          <w:p>
            <w:r>
              <w:rPr>
                <w:b/>
                <w:sz w:val="14"/>
              </w:rPr>
              <w:t>Annotation policy</w:t>
            </w:r>
          </w:p>
        </w:tc>
      </w:tr>
      <w:tr>
        <w:tc>
          <w:tcPr>
            <w:tcW w:type="dxa" w:w="5141"/>
            <w:vAlign w:val="top"/>
          </w:tcPr>
          <w:p>
            <w:pPr>
              <w:spacing w:after="0"/>
            </w:pPr>
            <w:r>
              <w:rPr>
                <w:sz w:val="13"/>
              </w:rPr>
              <w:t>DIRECT</w:t>
            </w:r>
          </w:p>
        </w:tc>
        <w:tc>
          <w:tcPr>
            <w:tcW w:type="dxa" w:w="5141"/>
            <w:vAlign w:val="top"/>
          </w:tcPr>
          <w:p>
            <w:pPr>
              <w:spacing w:after="0"/>
            </w:pPr>
            <w:r>
              <w:rPr>
                <w:sz w:val="13"/>
              </w:rPr>
              <w:t>Human annotator labels what the document states, including relevant negation, uncertainty, time, laterality, anatomy, and value.</w:t>
            </w:r>
          </w:p>
        </w:tc>
      </w:tr>
      <w:tr>
        <w:tc>
          <w:tcPr>
            <w:tcW w:type="dxa" w:w="5141"/>
            <w:vAlign w:val="top"/>
          </w:tcPr>
          <w:p>
            <w:pPr>
              <w:spacing w:after="0"/>
            </w:pPr>
            <w:r>
              <w:rPr>
                <w:sz w:val="13"/>
              </w:rPr>
              <w:t>NORMALIZED</w:t>
            </w:r>
          </w:p>
        </w:tc>
        <w:tc>
          <w:tcPr>
            <w:tcW w:type="dxa" w:w="5141"/>
            <w:vAlign w:val="top"/>
          </w:tcPr>
          <w:p>
            <w:pPr>
              <w:spacing w:after="0"/>
            </w:pPr>
            <w:r>
              <w:rPr>
                <w:sz w:val="13"/>
              </w:rPr>
              <w:t>Maps the direct assertion to a frozen standardized concept/value without adding a new clinical conclusion.</w:t>
            </w:r>
          </w:p>
        </w:tc>
      </w:tr>
      <w:tr>
        <w:tc>
          <w:tcPr>
            <w:tcW w:type="dxa" w:w="5141"/>
            <w:vAlign w:val="top"/>
          </w:tcPr>
          <w:p>
            <w:pPr>
              <w:spacing w:after="0"/>
            </w:pPr>
            <w:r>
              <w:rPr>
                <w:sz w:val="13"/>
              </w:rPr>
              <w:t>DERIVED</w:t>
            </w:r>
          </w:p>
        </w:tc>
        <w:tc>
          <w:tcPr>
            <w:tcW w:type="dxa" w:w="5141"/>
            <w:vAlign w:val="top"/>
          </w:tcPr>
          <w:p>
            <w:pPr>
              <w:spacing w:after="0"/>
            </w:pPr>
            <w:r>
              <w:rPr>
                <w:sz w:val="13"/>
              </w:rPr>
              <w:t>Computed from one or more assertions using a separately specified rule. Not a direct text annotation.</w:t>
            </w:r>
          </w:p>
        </w:tc>
      </w:tr>
      <w:tr>
        <w:tc>
          <w:tcPr>
            <w:tcW w:type="dxa" w:w="5141"/>
            <w:vAlign w:val="top"/>
          </w:tcPr>
          <w:p>
            <w:pPr>
              <w:spacing w:after="0"/>
            </w:pPr>
            <w:r>
              <w:rPr>
                <w:sz w:val="13"/>
              </w:rPr>
              <w:t>DOCUMENT_SUMMARY</w:t>
            </w:r>
          </w:p>
        </w:tc>
        <w:tc>
          <w:tcPr>
            <w:tcW w:type="dxa" w:w="5141"/>
            <w:vAlign w:val="top"/>
          </w:tcPr>
          <w:p>
            <w:pPr>
              <w:spacing w:after="0"/>
            </w:pPr>
            <w:r>
              <w:rPr>
                <w:sz w:val="13"/>
              </w:rPr>
              <w:t>Clinician-authored synthesis can be directly annotated because it appears in the document.</w:t>
            </w:r>
          </w:p>
        </w:tc>
      </w:tr>
      <w:tr>
        <w:tc>
          <w:tcPr>
            <w:tcW w:type="dxa" w:w="5141"/>
            <w:vAlign w:val="top"/>
          </w:tcPr>
          <w:p>
            <w:pPr>
              <w:spacing w:after="0"/>
            </w:pPr>
            <w:r>
              <w:rPr>
                <w:sz w:val="13"/>
              </w:rPr>
              <w:t>PATIENT_SYNTHESIS</w:t>
            </w:r>
          </w:p>
        </w:tc>
        <w:tc>
          <w:tcPr>
            <w:tcW w:type="dxa" w:w="5141"/>
            <w:vAlign w:val="top"/>
          </w:tcPr>
          <w:p>
            <w:pPr>
              <w:spacing w:after="0"/>
            </w:pPr>
            <w:r>
              <w:rPr>
                <w:sz w:val="13"/>
              </w:rPr>
              <w:t>Cross-document synthesis is not direct gold; requires an explicit derivation/adjudication protocol.</w:t>
            </w:r>
          </w:p>
        </w:tc>
      </w:tr>
    </w:tbl>
    <w:p/>
    <w:p>
      <w:pPr>
        <w:pStyle w:val="Heading1"/>
      </w:pPr>
      <w:r>
        <w:t>4. General annotation rules</w:t>
      </w:r>
    </w:p>
    <w:p>
      <w:r>
        <w:t>P4-GEN-001 [ADAPTED] — Annotate document text, not unstated patient truth.</w:t>
      </w:r>
    </w:p>
    <w:p>
      <w:r>
        <w:t>P4-GEN-002 [ADOPTED] — Keep each annotation attributable to the patient; do not treat family-member epilepsy statements as patient diagnoses.</w:t>
      </w:r>
    </w:p>
    <w:p>
      <w:r>
        <w:t>P4-GEN-003 [ADAPTED] — Do not infer a higher-level diagnosis from a lower-level observation unless the clinician states it or a separately validated derivation rule is applied.</w:t>
      </w:r>
    </w:p>
    <w:p>
      <w:r>
        <w:t>P4-GEN-004 [EXTENDED] — Preserve multiple mentions/assertions when they differ in time, certainty, value, or source.</w:t>
      </w:r>
    </w:p>
    <w:p>
      <w:r>
        <w:t>P4-GEN-005 [MEDAI-PROPOSED] — A normalized label must retain the original evidence text and must not add a new clinical conclusion.</w:t>
      </w:r>
    </w:p>
    <w:p>
      <w:r>
        <w:t>P4-GEN-006 [MEDAI-PROPOSED] — Derived assertions must reference input assertion IDs and an explicit derivation rule; they do not receive fabricated text spans.</w:t>
      </w:r>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Central safeguard</w:t>
              <w:br/>
            </w:r>
            <w:r>
              <w:t>Annotators must not repair the record. If the note is uncertain, contradictory, old, incomplete, or clinically awkward, preserve that state. The benchmark should measure extraction from documentation, not an annotator's reconstruction of the patient's ultimate truth.</w:t>
            </w:r>
          </w:p>
        </w:tc>
      </w:tr>
    </w:tbl>
    <w:p/>
    <w:p>
      <w:pPr>
        <w:pStyle w:val="Heading1"/>
      </w:pPr>
      <w:r>
        <w:t>5. Evidence spans, negation and uncertainty</w:t>
      </w:r>
    </w:p>
    <w:p>
      <w:r>
        <w:t>P4-EV-001 [ADAPTED] — For direct annotations, select text that is sufficient to support the entity and its required context.</w:t>
      </w:r>
    </w:p>
    <w:p>
      <w:r>
        <w:t>P4-EV-002 [ADAPTED] — Preserve context needed for negation or uncertainty as attributes/context even when the core concept span is shorter.</w:t>
      </w:r>
    </w:p>
    <w:p>
      <w:r>
        <w:t>P4-EV-003 [MEDAI-PROPOSED] — Do not create an evidence span for a conclusion that is only derived across documents.</w:t>
      </w:r>
    </w:p>
    <w:p>
      <w:r>
        <w:t>ExECT provides direct epilepsy-specific precedent for representing diagnostic certainty and for handling negation/context. Its earlier system used a five-level certainty scheme for diagnosis-related concepts. Phase 4 does not automatically extend that five-level scale to every MRI, EEG, treatment, and outcome assertion; the universal cross-domain certainty model remains unresolved.</w:t>
      </w:r>
    </w:p>
    <w:p>
      <w:pPr>
        <w:pStyle w:val="Heading1"/>
      </w:pPr>
      <w:r>
        <w:t>6. Diagnosis: epilepsy type, seizure type, syndrome</w:t>
      </w:r>
    </w:p>
    <w:p>
      <w:r>
        <w:t>P4-DX-001 [ADOPTED] — Annotate explicit epilepsy diagnoses and diagnostic statements, including uncertainty/negation where expressed.</w:t>
      </w:r>
    </w:p>
    <w:p>
      <w:r>
        <w:t>P4-DX-002 [ADOPTED] — Do not use clinic attendance or general discussion of epilepsy as evidence that the patient has epilepsy.</w:t>
      </w:r>
    </w:p>
    <w:p>
      <w:r>
        <w:t>P4-DX-003 [ADAPTED] — Keep seizure type, epilepsy type, and epilepsy syndrome as distinct semantic targets.</w:t>
      </w:r>
    </w:p>
    <w:p>
      <w:r>
        <w:t>P4-DX-004 [ADAPTED] — For new seizure classification, use ILAE 2025 terminology; if the text does not support a more specific level, do not force one.</w:t>
      </w:r>
    </w:p>
    <w:p>
      <w:r>
        <w:t>P4-DX-005 [ADOPTED] — Do not convert 'unknown whether focal or generalized' into 'unclassified'; they are distinct ILAE 2025 classes/states.</w:t>
      </w:r>
    </w:p>
    <w:p>
      <w:r>
        <w:t>P4-DX-006 [MEDAI-PROPOSED] — Do not derive a syndrome merely from isolated features or a syndrome name mapping unless the clinician states it; computational syndrome derivation is blocked until syndrome-specific criteria are extracted.</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ILAE structure</w:t>
              <w:br/>
            </w:r>
            <w:r>
              <w:t>ILAE 2017 separates seizure type, epilepsy type, and epilepsy syndrome, while considering etiology at each stage. ILAE 2025 supplies the current seizure taxonomy. Annotation must preserve those distinctions rather than flatten them into one generic 'epilepsy category'.</w:t>
            </w:r>
          </w:p>
        </w:tc>
      </w:tr>
    </w:tbl>
    <w:p/>
    <w:p>
      <w:pPr>
        <w:pStyle w:val="Heading1"/>
      </w:pPr>
      <w:r>
        <w:t>7. Seizure classification and descriptors</w:t>
      </w:r>
    </w:p>
    <w:p>
      <w:r>
        <w:t>P4-SZ-001 [ADAPTED] — Annotate seizure class/type only to the specificity supported by the text.</w:t>
      </w:r>
    </w:p>
    <w:p>
      <w:r>
        <w:t>P4-SZ-002 [ADOPTED] — For focal and unknown-origin seizures, consciousness is a classifier when determinable; do not invent a consciousness state when unknown.</w:t>
      </w:r>
    </w:p>
    <w:p>
      <w:r>
        <w:t>P4-SZ-003 [ADOPTED] — Treat semiology descriptors as descriptors, not as seizure-type child categories unless the ILAE taxonomy defines the seizure type.</w:t>
      </w:r>
    </w:p>
    <w:p>
      <w:r>
        <w:t>P4-SZ-004 [ADAPTED] — Record seizure frequency separately from seizure classification.</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2025 classifier rule</w:t>
              <w:br/>
            </w:r>
            <w:r>
              <w:t>For focal and unknown-whether-focal-or-generalized seizures, consciousness is operationally based on awareness and responsiveness. If consciousness is unknown, ILAE 2025 allows classification without that sub-classification. Do not manufacture a value.</w:t>
            </w:r>
          </w:p>
        </w:tc>
      </w:tr>
    </w:tbl>
    <w:p/>
    <w:p>
      <w:pPr>
        <w:pStyle w:val="Heading1"/>
      </w:pPr>
      <w:r>
        <w:t>8. Seizure frequency</w:t>
      </w:r>
    </w:p>
    <w:p>
      <w:r>
        <w:t>P4-SZ-005 [ADOPTED] — Annotate explicit seizure counts, qualitative changes, seizure-free periods, and associated temporal anchors when stated.</w:t>
      </w:r>
    </w:p>
    <w:p>
      <w:r>
        <w:t>P4-SZ-006 [MEDAI-PROPOSED] — Do not infer a numeric frequency from vague language unless the annotation scheme has a source-backed qualitative category for that phrase.</w:t>
      </w:r>
    </w:p>
    <w:p>
      <w:r>
        <w:t>Published epilepsy NLP work treats seizure frequency as a distinct extraction problem with quantity and temporal information. Phase 4 therefore keeps frequency separate from seizure classification and preserves the temporal anchor stated in text.</w:t>
      </w:r>
    </w:p>
    <w:p>
      <w:pPr>
        <w:pStyle w:val="Heading1"/>
      </w:pPr>
      <w:r>
        <w:t>9. EEG and EMU reports</w:t>
      </w:r>
    </w:p>
    <w:p>
      <w:r>
        <w:t>P4-EEG-001 [ADAPTED] — Treat EEG report text as a document source and annotate what the report states; do not equate an abnormal EEG with epileptiform discharges.</w:t>
      </w:r>
    </w:p>
    <w:p>
      <w:r>
        <w:t>P4-EEG-002 [ADAPTED] — Preserve interictal findings, seizures/events, background, and diagnostic significance as distinct concepts when the source terminology supports them.</w:t>
      </w:r>
    </w:p>
    <w:p>
      <w:r>
        <w:t>P4-EEG-003 [MEDAI-PROPOSED] — Do not infer epilepsy type solely from an EEG phrase during direct annotation.</w:t>
      </w:r>
    </w:p>
    <w:p>
      <w:r>
        <w:t>P4-EEG-004 [MEDAI-PROPOSED] — Detailed SCORE term-level mappings remain blocked until the exact SCORE subset is extracted and frozen.</w:t>
      </w:r>
    </w:p>
    <w:tbl>
      <w:tblPr>
        <w:tblStyle w:val="TableGrid"/>
        <w:tblW w:type="auto" w:w="0"/>
        <w:tblLook w:firstColumn="1" w:firstRow="1" w:lastColumn="0" w:lastRow="0" w:noHBand="0" w:noVBand="1" w:val="04A0"/>
      </w:tblPr>
      <w:tblGrid>
        <w:gridCol w:w="10282"/>
      </w:tblGrid>
      <w:tr>
        <w:tc>
          <w:tcPr>
            <w:tcW w:type="dxa" w:w="10282"/>
            <w:shd w:fill="FCE4D6"/>
          </w:tcPr>
          <w:p>
            <w:r>
              <w:rPr>
                <w:b/>
                <w:color w:val="17365D"/>
              </w:rPr>
              <w:t>Blocked detail</w:t>
              <w:br/>
            </w:r>
            <w:r>
              <w:t>SCORE is a strong source for standardized EEG reporting, but the exact MedAI term-level SCORE subset has not yet been extracted/frozen. Annotators must not use a made-up detailed SCORE hierarchy. Detailed mapping is a Phase 3D blocker.</w:t>
            </w:r>
          </w:p>
        </w:tc>
      </w:tr>
    </w:tbl>
    <w:p/>
    <w:p>
      <w:pPr>
        <w:pStyle w:val="Heading1"/>
      </w:pPr>
      <w:r>
        <w:t>10. MRI/radiology reports</w:t>
      </w:r>
    </w:p>
    <w:p>
      <w:r>
        <w:t>P4-MRI-001 [MEDAI-PROPOSED] — Treat the MRI/radiology report as text evidence about imaging findings/impressions.</w:t>
      </w:r>
    </w:p>
    <w:p>
      <w:r>
        <w:t>P4-MRI-002 [ADOPTED] — Preserve explicit normal/abnormal/not-stated investigation results when using the ExECT-compatible investigation layer.</w:t>
      </w:r>
    </w:p>
    <w:p>
      <w:r>
        <w:t>P4-MRI-003 [ADAPTED] — Do not assign ILAE hippocampal-sclerosis or focal-cortical-dysplasia histopathologic subtype from an MRI report alone.</w:t>
      </w:r>
    </w:p>
    <w:p>
      <w:r>
        <w:t>P4-MRI-004 [MEDAI-PROPOSED] — Detailed MRI lesion-type/location value sets remain blocked until an imaging terminology profile is source-extracted and frozen.</w:t>
      </w:r>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Imaging/pathology boundary</w:t>
              <w:br/>
            </w:r>
            <w:r>
              <w:t>A radiology report can directly state or suggest hippocampal sclerosis or focal cortical dysplasia. That does not authorize assignment of an ILAE histopathology subtype. Pathology classifications and imaging impressions are different semantic levels.</w:t>
            </w:r>
          </w:p>
        </w:tc>
      </w:tr>
    </w:tbl>
    <w:p/>
    <w:p>
      <w:pPr>
        <w:pStyle w:val="Heading1"/>
      </w:pPr>
      <w:r>
        <w:t>11. Medications and drug-resistant epilepsy</w:t>
      </w:r>
    </w:p>
    <w:p>
      <w:r>
        <w:t>P4-TX-001 [ADOPTED] — Annotate current prescribed antiseizure medication and explicit dose/unit/frequency when stated.</w:t>
      </w:r>
    </w:p>
    <w:p>
      <w:r>
        <w:t>P4-TX-002 [ADAPTED] — Do not classify a medication as a qualifying DRE failure from the medication name or discontinuation alone.</w:t>
      </w:r>
    </w:p>
    <w:p>
      <w:r>
        <w:t>P4-TX-003 [MEDAI-PROPOSED] — A direct clinician statement of drug-resistant epilepsy may be annotated as a direct diagnostic assertion with its evidence and certainty.</w:t>
      </w:r>
    </w:p>
    <w:p>
      <w:r>
        <w:t>P4-TX-004 [ADAPTED] — Computational derivation of DRE is blocked until a rule captures the required trial adequacy/tolerability/appropriateness/use and sustained seizure-freedom criteria.</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DRE source definition</w:t>
              <w:br/>
            </w:r>
            <w:r>
              <w:t>The ILAE consensus defines drug-resistant epilepsy around failure of adequate trials of two tolerated, appropriately chosen and used antiseizure-drug schedules to achieve sustained seizure freedom. Therefore 'two medications mentioned' is not an acceptable computational shortcut.</w:t>
            </w:r>
          </w:p>
        </w:tc>
      </w:tr>
    </w:tbl>
    <w:p/>
    <w:p>
      <w:pPr>
        <w:pStyle w:val="Heading1"/>
      </w:pPr>
      <w:r>
        <w:t>12. Temporality and longitudinal records</w:t>
      </w:r>
    </w:p>
    <w:p>
      <w:r>
        <w:t>P4-TIME-001 [ADOPTED] — Annotate explicit onset/diagnosis/event timing as age, date, time-since, or relative period when supported by the source text.</w:t>
      </w:r>
    </w:p>
    <w:p>
      <w:r>
        <w:t>P4-TIME-002 [EXTENDED] — Do not collapse historical and current assertions into one timeless patient value.</w:t>
      </w:r>
    </w:p>
    <w:p>
      <w:r>
        <w:t>P4-TIME-003 [MEDAI-PROPOSED] — The final cross-domain temporality value set remains unresolved; retain source expression/structured fields supported by ExECT/SZFreqExtract until Phase 3D closes it.</w:t>
      </w:r>
    </w:p>
    <w:p>
      <w:r>
        <w:t>The annotation record must preserve document date and source-specific timing. A 2024 assertion and a contradictory 2026 assertion are two observations in the longitudinal record, not a reason to rewrite 2024.</w:t>
      </w:r>
    </w:p>
    <w:p>
      <w:pPr>
        <w:pStyle w:val="Heading1"/>
      </w:pPr>
      <w:r>
        <w:t>13. Contradictions and cross-document synthesis</w:t>
      </w:r>
    </w:p>
    <w:p>
      <w:r>
        <w:t>P4-CONF-001 [MEDAI-PROPOSED] — Keep contradictory assertions from different documents/timepoints separately with provenance.</w:t>
      </w:r>
    </w:p>
    <w:p>
      <w:r>
        <w:t>P4-CONF-002 [MEDAI-PROPOSED] — Do not adjudicate a clinical contradiction by majority vote across notes.</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No silent reconciliation</w:t>
              <w:br/>
            </w:r>
            <w:r>
              <w:t>Do not choose the most common statement across notes and call it truth. Conflicts remain explicit until an adjudication or derived-patient-view protocol says how to resolve them.</w:t>
            </w:r>
          </w:p>
        </w:tc>
      </w:tr>
    </w:tbl>
    <w:p/>
    <w:p>
      <w:pPr>
        <w:pStyle w:val="Heading1"/>
      </w:pPr>
      <w:r>
        <w:t>14. Worked examples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2"/>
              </w:rPr>
              <w:t>ID</w:t>
            </w:r>
          </w:p>
        </w:tc>
        <w:tc>
          <w:tcPr>
            <w:tcW w:type="dxa" w:w="2056"/>
            <w:shd w:fill="D9EAF7"/>
          </w:tcPr>
          <w:p>
            <w:r>
              <w:rPr>
                <w:b/>
                <w:sz w:val="12"/>
              </w:rPr>
              <w:t>Source</w:t>
            </w:r>
          </w:p>
        </w:tc>
        <w:tc>
          <w:tcPr>
            <w:tcW w:type="dxa" w:w="2056"/>
            <w:shd w:fill="D9EAF7"/>
          </w:tcPr>
          <w:p>
            <w:r>
              <w:rPr>
                <w:b/>
                <w:sz w:val="12"/>
              </w:rPr>
              <w:t>Text/state</w:t>
            </w:r>
          </w:p>
        </w:tc>
        <w:tc>
          <w:tcPr>
            <w:tcW w:type="dxa" w:w="2056"/>
            <w:shd w:fill="D9EAF7"/>
          </w:tcPr>
          <w:p>
            <w:r>
              <w:rPr>
                <w:b/>
                <w:sz w:val="12"/>
              </w:rPr>
              <w:t>Annotation</w:t>
            </w:r>
          </w:p>
        </w:tc>
        <w:tc>
          <w:tcPr>
            <w:tcW w:type="dxa" w:w="2056"/>
            <w:shd w:fill="D9EAF7"/>
          </w:tcPr>
          <w:p>
            <w:r>
              <w:rPr>
                <w:b/>
                <w:sz w:val="12"/>
              </w:rPr>
              <w:t>Boundary</w:t>
            </w:r>
          </w:p>
        </w:tc>
      </w:tr>
      <w:tr>
        <w:tc>
          <w:tcPr>
            <w:tcW w:type="dxa" w:w="2056"/>
            <w:vAlign w:val="top"/>
          </w:tcPr>
          <w:p>
            <w:pPr>
              <w:spacing w:after="0"/>
            </w:pPr>
            <w:r>
              <w:rPr>
                <w:sz w:val="11"/>
              </w:rPr>
              <w:t>E1</w:t>
            </w:r>
          </w:p>
        </w:tc>
        <w:tc>
          <w:tcPr>
            <w:tcW w:type="dxa" w:w="2056"/>
            <w:vAlign w:val="top"/>
          </w:tcPr>
          <w:p>
            <w:pPr>
              <w:spacing w:after="0"/>
            </w:pPr>
            <w:r>
              <w:rPr>
                <w:sz w:val="11"/>
              </w:rPr>
              <w:t>EEG report</w:t>
            </w:r>
          </w:p>
        </w:tc>
        <w:tc>
          <w:tcPr>
            <w:tcW w:type="dxa" w:w="2056"/>
            <w:vAlign w:val="top"/>
          </w:tcPr>
          <w:p>
            <w:pPr>
              <w:spacing w:after="0"/>
            </w:pPr>
            <w:r>
              <w:rPr>
                <w:sz w:val="11"/>
              </w:rPr>
              <w:t>Frequent left temporal sharp waves were seen during sleep.</w:t>
            </w:r>
          </w:p>
        </w:tc>
        <w:tc>
          <w:tcPr>
            <w:tcW w:type="dxa" w:w="2056"/>
            <w:vAlign w:val="top"/>
          </w:tcPr>
          <w:p>
            <w:pPr>
              <w:spacing w:after="0"/>
            </w:pPr>
            <w:r>
              <w:rPr>
                <w:sz w:val="11"/>
              </w:rPr>
              <w:t>IED/interictal epileptiform finding; laterality=left; location=temporal</w:t>
            </w:r>
          </w:p>
        </w:tc>
        <w:tc>
          <w:tcPr>
            <w:tcW w:type="dxa" w:w="2056"/>
            <w:vAlign w:val="top"/>
          </w:tcPr>
          <w:p>
            <w:pPr>
              <w:spacing w:after="0"/>
            </w:pPr>
            <w:r>
              <w:rPr>
                <w:sz w:val="11"/>
              </w:rPr>
              <w:t>Do not automatically annotate focal epilepsy.</w:t>
            </w:r>
          </w:p>
        </w:tc>
      </w:tr>
      <w:tr>
        <w:tc>
          <w:tcPr>
            <w:tcW w:type="dxa" w:w="2056"/>
            <w:vAlign w:val="top"/>
          </w:tcPr>
          <w:p>
            <w:pPr>
              <w:spacing w:after="0"/>
            </w:pPr>
            <w:r>
              <w:rPr>
                <w:sz w:val="11"/>
              </w:rPr>
              <w:t>E2</w:t>
            </w:r>
          </w:p>
        </w:tc>
        <w:tc>
          <w:tcPr>
            <w:tcW w:type="dxa" w:w="2056"/>
            <w:vAlign w:val="top"/>
          </w:tcPr>
          <w:p>
            <w:pPr>
              <w:spacing w:after="0"/>
            </w:pPr>
            <w:r>
              <w:rPr>
                <w:sz w:val="11"/>
              </w:rPr>
              <w:t>MRI report</w:t>
            </w:r>
          </w:p>
        </w:tc>
        <w:tc>
          <w:tcPr>
            <w:tcW w:type="dxa" w:w="2056"/>
            <w:vAlign w:val="top"/>
          </w:tcPr>
          <w:p>
            <w:pPr>
              <w:spacing w:after="0"/>
            </w:pPr>
            <w:r>
              <w:rPr>
                <w:sz w:val="11"/>
              </w:rPr>
              <w:t>No focal lesion is identified.</w:t>
            </w:r>
          </w:p>
        </w:tc>
        <w:tc>
          <w:tcPr>
            <w:tcW w:type="dxa" w:w="2056"/>
            <w:vAlign w:val="top"/>
          </w:tcPr>
          <w:p>
            <w:pPr>
              <w:spacing w:after="0"/>
            </w:pPr>
            <w:r>
              <w:rPr>
                <w:sz w:val="11"/>
              </w:rPr>
              <w:t>MRI investigation/result: negative/normal with respect to focal lesion, preserving report wording</w:t>
            </w:r>
          </w:p>
        </w:tc>
        <w:tc>
          <w:tcPr>
            <w:tcW w:type="dxa" w:w="2056"/>
            <w:vAlign w:val="top"/>
          </w:tcPr>
          <w:p>
            <w:pPr>
              <w:spacing w:after="0"/>
            </w:pPr>
            <w:r>
              <w:rPr>
                <w:sz w:val="11"/>
              </w:rPr>
              <w:t>Do not automatically label the patient 'MRI-negative epilepsy'.</w:t>
            </w:r>
          </w:p>
        </w:tc>
      </w:tr>
      <w:tr>
        <w:tc>
          <w:tcPr>
            <w:tcW w:type="dxa" w:w="2056"/>
            <w:vAlign w:val="top"/>
          </w:tcPr>
          <w:p>
            <w:pPr>
              <w:spacing w:after="0"/>
            </w:pPr>
            <w:r>
              <w:rPr>
                <w:sz w:val="11"/>
              </w:rPr>
              <w:t>E3</w:t>
            </w:r>
          </w:p>
        </w:tc>
        <w:tc>
          <w:tcPr>
            <w:tcW w:type="dxa" w:w="2056"/>
            <w:vAlign w:val="top"/>
          </w:tcPr>
          <w:p>
            <w:pPr>
              <w:spacing w:after="0"/>
            </w:pPr>
            <w:r>
              <w:rPr>
                <w:sz w:val="11"/>
              </w:rPr>
              <w:t>MRI report</w:t>
            </w:r>
          </w:p>
        </w:tc>
        <w:tc>
          <w:tcPr>
            <w:tcW w:type="dxa" w:w="2056"/>
            <w:vAlign w:val="top"/>
          </w:tcPr>
          <w:p>
            <w:pPr>
              <w:spacing w:after="0"/>
            </w:pPr>
            <w:r>
              <w:rPr>
                <w:sz w:val="11"/>
              </w:rPr>
              <w:t>Findings are compatible with left mesial temporal sclerosis.</w:t>
            </w:r>
          </w:p>
        </w:tc>
        <w:tc>
          <w:tcPr>
            <w:tcW w:type="dxa" w:w="2056"/>
            <w:vAlign w:val="top"/>
          </w:tcPr>
          <w:p>
            <w:pPr>
              <w:spacing w:after="0"/>
            </w:pPr>
            <w:r>
              <w:rPr>
                <w:sz w:val="11"/>
              </w:rPr>
              <w:t>Imaging impression; laterality=left; certainty/hedging preserved</w:t>
            </w:r>
          </w:p>
        </w:tc>
        <w:tc>
          <w:tcPr>
            <w:tcW w:type="dxa" w:w="2056"/>
            <w:vAlign w:val="top"/>
          </w:tcPr>
          <w:p>
            <w:pPr>
              <w:spacing w:after="0"/>
            </w:pPr>
            <w:r>
              <w:rPr>
                <w:sz w:val="11"/>
              </w:rPr>
              <w:t>Do not assign ILAE HS histopathology type.</w:t>
            </w:r>
          </w:p>
        </w:tc>
      </w:tr>
      <w:tr>
        <w:tc>
          <w:tcPr>
            <w:tcW w:type="dxa" w:w="2056"/>
            <w:vAlign w:val="top"/>
          </w:tcPr>
          <w:p>
            <w:pPr>
              <w:spacing w:after="0"/>
            </w:pPr>
            <w:r>
              <w:rPr>
                <w:sz w:val="11"/>
              </w:rPr>
              <w:t>E4</w:t>
            </w:r>
          </w:p>
        </w:tc>
        <w:tc>
          <w:tcPr>
            <w:tcW w:type="dxa" w:w="2056"/>
            <w:vAlign w:val="top"/>
          </w:tcPr>
          <w:p>
            <w:pPr>
              <w:spacing w:after="0"/>
            </w:pPr>
            <w:r>
              <w:rPr>
                <w:sz w:val="11"/>
              </w:rPr>
              <w:t>Progress note</w:t>
            </w:r>
          </w:p>
        </w:tc>
        <w:tc>
          <w:tcPr>
            <w:tcW w:type="dxa" w:w="2056"/>
            <w:vAlign w:val="top"/>
          </w:tcPr>
          <w:p>
            <w:pPr>
              <w:spacing w:after="0"/>
            </w:pPr>
            <w:r>
              <w:rPr>
                <w:sz w:val="11"/>
              </w:rPr>
              <w:t>She has focal epilepsy.</w:t>
            </w:r>
          </w:p>
        </w:tc>
        <w:tc>
          <w:tcPr>
            <w:tcW w:type="dxa" w:w="2056"/>
            <w:vAlign w:val="top"/>
          </w:tcPr>
          <w:p>
            <w:pPr>
              <w:spacing w:after="0"/>
            </w:pPr>
            <w:r>
              <w:rPr>
                <w:sz w:val="11"/>
              </w:rPr>
              <w:t>epilepsy type=focal</w:t>
            </w:r>
          </w:p>
        </w:tc>
        <w:tc>
          <w:tcPr>
            <w:tcW w:type="dxa" w:w="2056"/>
            <w:vAlign w:val="top"/>
          </w:tcPr>
          <w:p>
            <w:pPr>
              <w:spacing w:after="0"/>
            </w:pPr>
            <w:r>
              <w:rPr>
                <w:sz w:val="11"/>
              </w:rPr>
              <w:t>Clinician-stated epilepsy type.</w:t>
            </w:r>
          </w:p>
        </w:tc>
      </w:tr>
      <w:tr>
        <w:tc>
          <w:tcPr>
            <w:tcW w:type="dxa" w:w="2056"/>
            <w:vAlign w:val="top"/>
          </w:tcPr>
          <w:p>
            <w:pPr>
              <w:spacing w:after="0"/>
            </w:pPr>
            <w:r>
              <w:rPr>
                <w:sz w:val="11"/>
              </w:rPr>
              <w:t>E5</w:t>
            </w:r>
          </w:p>
        </w:tc>
        <w:tc>
          <w:tcPr>
            <w:tcW w:type="dxa" w:w="2056"/>
            <w:vAlign w:val="top"/>
          </w:tcPr>
          <w:p>
            <w:pPr>
              <w:spacing w:after="0"/>
            </w:pPr>
            <w:r>
              <w:rPr>
                <w:sz w:val="11"/>
              </w:rPr>
              <w:t>Progress note</w:t>
            </w:r>
          </w:p>
        </w:tc>
        <w:tc>
          <w:tcPr>
            <w:tcW w:type="dxa" w:w="2056"/>
            <w:vAlign w:val="top"/>
          </w:tcPr>
          <w:p>
            <w:pPr>
              <w:spacing w:after="0"/>
            </w:pPr>
            <w:r>
              <w:rPr>
                <w:sz w:val="11"/>
              </w:rPr>
              <w:t>These episodes may represent focal seizures.</w:t>
            </w:r>
          </w:p>
        </w:tc>
        <w:tc>
          <w:tcPr>
            <w:tcW w:type="dxa" w:w="2056"/>
            <w:vAlign w:val="top"/>
          </w:tcPr>
          <w:p>
            <w:pPr>
              <w:spacing w:after="0"/>
            </w:pPr>
            <w:r>
              <w:rPr>
                <w:sz w:val="11"/>
              </w:rPr>
              <w:t>seizure assertion with uncertainty</w:t>
            </w:r>
          </w:p>
        </w:tc>
        <w:tc>
          <w:tcPr>
            <w:tcW w:type="dxa" w:w="2056"/>
            <w:vAlign w:val="top"/>
          </w:tcPr>
          <w:p>
            <w:pPr>
              <w:spacing w:after="0"/>
            </w:pPr>
            <w:r>
              <w:rPr>
                <w:sz w:val="11"/>
              </w:rPr>
              <w:t>Do not promote to definite focal epilepsy.</w:t>
            </w:r>
          </w:p>
        </w:tc>
      </w:tr>
      <w:tr>
        <w:tc>
          <w:tcPr>
            <w:tcW w:type="dxa" w:w="2056"/>
            <w:vAlign w:val="top"/>
          </w:tcPr>
          <w:p>
            <w:pPr>
              <w:spacing w:after="0"/>
            </w:pPr>
            <w:r>
              <w:rPr>
                <w:sz w:val="11"/>
              </w:rPr>
              <w:t>E6</w:t>
            </w:r>
          </w:p>
        </w:tc>
        <w:tc>
          <w:tcPr>
            <w:tcW w:type="dxa" w:w="2056"/>
            <w:vAlign w:val="top"/>
          </w:tcPr>
          <w:p>
            <w:pPr>
              <w:spacing w:after="0"/>
            </w:pPr>
            <w:r>
              <w:rPr>
                <w:sz w:val="11"/>
              </w:rPr>
              <w:t>Progress note</w:t>
            </w:r>
          </w:p>
        </w:tc>
        <w:tc>
          <w:tcPr>
            <w:tcW w:type="dxa" w:w="2056"/>
            <w:vAlign w:val="top"/>
          </w:tcPr>
          <w:p>
            <w:pPr>
              <w:spacing w:after="0"/>
            </w:pPr>
            <w:r>
              <w:rPr>
                <w:sz w:val="11"/>
              </w:rPr>
              <w:t>Two to three seizures per month since January.</w:t>
            </w:r>
          </w:p>
        </w:tc>
        <w:tc>
          <w:tcPr>
            <w:tcW w:type="dxa" w:w="2056"/>
            <w:vAlign w:val="top"/>
          </w:tcPr>
          <w:p>
            <w:pPr>
              <w:spacing w:after="0"/>
            </w:pPr>
            <w:r>
              <w:rPr>
                <w:sz w:val="11"/>
              </w:rPr>
              <w:t>quantity=2–3; period=month; temporal anchor=since January</w:t>
            </w:r>
          </w:p>
        </w:tc>
        <w:tc>
          <w:tcPr>
            <w:tcW w:type="dxa" w:w="2056"/>
            <w:vAlign w:val="top"/>
          </w:tcPr>
          <w:p>
            <w:pPr>
              <w:spacing w:after="0"/>
            </w:pPr>
            <w:r>
              <w:rPr>
                <w:sz w:val="11"/>
              </w:rPr>
              <w:t>Keep frequency separate from seizure type.</w:t>
            </w:r>
          </w:p>
        </w:tc>
      </w:tr>
      <w:tr>
        <w:tc>
          <w:tcPr>
            <w:tcW w:type="dxa" w:w="2056"/>
            <w:vAlign w:val="top"/>
          </w:tcPr>
          <w:p>
            <w:pPr>
              <w:spacing w:after="0"/>
            </w:pPr>
            <w:r>
              <w:rPr>
                <w:sz w:val="11"/>
              </w:rPr>
              <w:t>E7</w:t>
            </w:r>
          </w:p>
        </w:tc>
        <w:tc>
          <w:tcPr>
            <w:tcW w:type="dxa" w:w="2056"/>
            <w:vAlign w:val="top"/>
          </w:tcPr>
          <w:p>
            <w:pPr>
              <w:spacing w:after="0"/>
            </w:pPr>
            <w:r>
              <w:rPr>
                <w:sz w:val="11"/>
              </w:rPr>
              <w:t>Progress note</w:t>
            </w:r>
          </w:p>
        </w:tc>
        <w:tc>
          <w:tcPr>
            <w:tcW w:type="dxa" w:w="2056"/>
            <w:vAlign w:val="top"/>
          </w:tcPr>
          <w:p>
            <w:pPr>
              <w:spacing w:after="0"/>
            </w:pPr>
            <w:r>
              <w:rPr>
                <w:sz w:val="11"/>
              </w:rPr>
              <w:t>Levetiracetam 1000 mg twice daily.</w:t>
            </w:r>
          </w:p>
        </w:tc>
        <w:tc>
          <w:tcPr>
            <w:tcW w:type="dxa" w:w="2056"/>
            <w:vAlign w:val="top"/>
          </w:tcPr>
          <w:p>
            <w:pPr>
              <w:spacing w:after="0"/>
            </w:pPr>
            <w:r>
              <w:rPr>
                <w:sz w:val="11"/>
              </w:rPr>
              <w:t>current ASM; dose=1000 mg; frequency=twice daily</w:t>
            </w:r>
          </w:p>
        </w:tc>
        <w:tc>
          <w:tcPr>
            <w:tcW w:type="dxa" w:w="2056"/>
            <w:vAlign w:val="top"/>
          </w:tcPr>
          <w:p>
            <w:pPr>
              <w:spacing w:after="0"/>
            </w:pPr>
            <w:r>
              <w:rPr>
                <w:sz w:val="11"/>
              </w:rPr>
              <w:t>No efficacy/failure inferred.</w:t>
            </w:r>
          </w:p>
        </w:tc>
      </w:tr>
      <w:tr>
        <w:tc>
          <w:tcPr>
            <w:tcW w:type="dxa" w:w="2056"/>
            <w:vAlign w:val="top"/>
          </w:tcPr>
          <w:p>
            <w:pPr>
              <w:spacing w:after="0"/>
            </w:pPr>
            <w:r>
              <w:rPr>
                <w:sz w:val="11"/>
              </w:rPr>
              <w:t>E8</w:t>
            </w:r>
          </w:p>
        </w:tc>
        <w:tc>
          <w:tcPr>
            <w:tcW w:type="dxa" w:w="2056"/>
            <w:vAlign w:val="top"/>
          </w:tcPr>
          <w:p>
            <w:pPr>
              <w:spacing w:after="0"/>
            </w:pPr>
            <w:r>
              <w:rPr>
                <w:sz w:val="11"/>
              </w:rPr>
              <w:t>Progress note</w:t>
            </w:r>
          </w:p>
        </w:tc>
        <w:tc>
          <w:tcPr>
            <w:tcW w:type="dxa" w:w="2056"/>
            <w:vAlign w:val="top"/>
          </w:tcPr>
          <w:p>
            <w:pPr>
              <w:spacing w:after="0"/>
            </w:pPr>
            <w:r>
              <w:rPr>
                <w:sz w:val="11"/>
              </w:rPr>
              <w:t>Levetiracetam was stopped because of irritability.</w:t>
            </w:r>
          </w:p>
        </w:tc>
        <w:tc>
          <w:tcPr>
            <w:tcW w:type="dxa" w:w="2056"/>
            <w:vAlign w:val="top"/>
          </w:tcPr>
          <w:p>
            <w:pPr>
              <w:spacing w:after="0"/>
            </w:pPr>
            <w:r>
              <w:rPr>
                <w:sz w:val="11"/>
              </w:rPr>
              <w:t>historical ASM exposure + discontinuation/adverse-effect statement</w:t>
            </w:r>
          </w:p>
        </w:tc>
        <w:tc>
          <w:tcPr>
            <w:tcW w:type="dxa" w:w="2056"/>
            <w:vAlign w:val="top"/>
          </w:tcPr>
          <w:p>
            <w:pPr>
              <w:spacing w:after="0"/>
            </w:pPr>
            <w:r>
              <w:rPr>
                <w:sz w:val="11"/>
              </w:rPr>
              <w:t>Not automatically a qualifying DRE failure.</w:t>
            </w:r>
          </w:p>
        </w:tc>
      </w:tr>
      <w:tr>
        <w:tc>
          <w:tcPr>
            <w:tcW w:type="dxa" w:w="2056"/>
            <w:vAlign w:val="top"/>
          </w:tcPr>
          <w:p>
            <w:pPr>
              <w:spacing w:after="0"/>
            </w:pPr>
            <w:r>
              <w:rPr>
                <w:sz w:val="11"/>
              </w:rPr>
              <w:t>E9</w:t>
            </w:r>
          </w:p>
        </w:tc>
        <w:tc>
          <w:tcPr>
            <w:tcW w:type="dxa" w:w="2056"/>
            <w:vAlign w:val="top"/>
          </w:tcPr>
          <w:p>
            <w:pPr>
              <w:spacing w:after="0"/>
            </w:pPr>
            <w:r>
              <w:rPr>
                <w:sz w:val="11"/>
              </w:rPr>
              <w:t>Progress note</w:t>
            </w:r>
          </w:p>
        </w:tc>
        <w:tc>
          <w:tcPr>
            <w:tcW w:type="dxa" w:w="2056"/>
            <w:vAlign w:val="top"/>
          </w:tcPr>
          <w:p>
            <w:pPr>
              <w:spacing w:after="0"/>
            </w:pPr>
            <w:r>
              <w:rPr>
                <w:sz w:val="11"/>
              </w:rPr>
              <w:t>Her epilepsy is drug resistant.</w:t>
            </w:r>
          </w:p>
        </w:tc>
        <w:tc>
          <w:tcPr>
            <w:tcW w:type="dxa" w:w="2056"/>
            <w:vAlign w:val="top"/>
          </w:tcPr>
          <w:p>
            <w:pPr>
              <w:spacing w:after="0"/>
            </w:pPr>
            <w:r>
              <w:rPr>
                <w:sz w:val="11"/>
              </w:rPr>
              <w:t>DRE direct diagnostic statement</w:t>
            </w:r>
          </w:p>
        </w:tc>
        <w:tc>
          <w:tcPr>
            <w:tcW w:type="dxa" w:w="2056"/>
            <w:vAlign w:val="top"/>
          </w:tcPr>
          <w:p>
            <w:pPr>
              <w:spacing w:after="0"/>
            </w:pPr>
            <w:r>
              <w:rPr>
                <w:sz w:val="11"/>
              </w:rPr>
              <w:t>Annotate statement; separate from independent criteria verification.</w:t>
            </w:r>
          </w:p>
        </w:tc>
      </w:tr>
      <w:tr>
        <w:tc>
          <w:tcPr>
            <w:tcW w:type="dxa" w:w="2056"/>
            <w:vAlign w:val="top"/>
          </w:tcPr>
          <w:p>
            <w:pPr>
              <w:spacing w:after="0"/>
            </w:pPr>
            <w:r>
              <w:rPr>
                <w:sz w:val="11"/>
              </w:rPr>
              <w:t>E10</w:t>
            </w:r>
          </w:p>
        </w:tc>
        <w:tc>
          <w:tcPr>
            <w:tcW w:type="dxa" w:w="2056"/>
            <w:vAlign w:val="top"/>
          </w:tcPr>
          <w:p>
            <w:pPr>
              <w:spacing w:after="0"/>
            </w:pPr>
            <w:r>
              <w:rPr>
                <w:sz w:val="11"/>
              </w:rPr>
              <w:t>Two documents</w:t>
            </w:r>
          </w:p>
        </w:tc>
        <w:tc>
          <w:tcPr>
            <w:tcW w:type="dxa" w:w="2056"/>
            <w:vAlign w:val="top"/>
          </w:tcPr>
          <w:p>
            <w:pPr>
              <w:spacing w:after="0"/>
            </w:pPr>
            <w:r>
              <w:rPr>
                <w:sz w:val="11"/>
              </w:rPr>
              <w:t>MRI suggests left temporal abnormality; EEG report describes left temporal ictal onset.</w:t>
            </w:r>
          </w:p>
        </w:tc>
        <w:tc>
          <w:tcPr>
            <w:tcW w:type="dxa" w:w="2056"/>
            <w:vAlign w:val="top"/>
          </w:tcPr>
          <w:p>
            <w:pPr>
              <w:spacing w:after="0"/>
            </w:pPr>
            <w:r>
              <w:rPr>
                <w:sz w:val="11"/>
              </w:rPr>
              <w:t>two source-specific assertions</w:t>
            </w:r>
          </w:p>
        </w:tc>
        <w:tc>
          <w:tcPr>
            <w:tcW w:type="dxa" w:w="2056"/>
            <w:vAlign w:val="top"/>
          </w:tcPr>
          <w:p>
            <w:pPr>
              <w:spacing w:after="0"/>
            </w:pPr>
            <w:r>
              <w:rPr>
                <w:sz w:val="11"/>
              </w:rPr>
              <w:t>Do not create concordance gold until a derivation rule is frozen.</w:t>
            </w:r>
          </w:p>
        </w:tc>
      </w:tr>
      <w:tr>
        <w:tc>
          <w:tcPr>
            <w:tcW w:type="dxa" w:w="2056"/>
            <w:vAlign w:val="top"/>
          </w:tcPr>
          <w:p>
            <w:pPr>
              <w:spacing w:after="0"/>
            </w:pPr>
            <w:r>
              <w:rPr>
                <w:sz w:val="11"/>
              </w:rPr>
              <w:t>E11</w:t>
            </w:r>
          </w:p>
        </w:tc>
        <w:tc>
          <w:tcPr>
            <w:tcW w:type="dxa" w:w="2056"/>
            <w:vAlign w:val="top"/>
          </w:tcPr>
          <w:p>
            <w:pPr>
              <w:spacing w:after="0"/>
            </w:pPr>
            <w:r>
              <w:rPr>
                <w:sz w:val="11"/>
              </w:rPr>
              <w:t>Progress note</w:t>
            </w:r>
          </w:p>
        </w:tc>
        <w:tc>
          <w:tcPr>
            <w:tcW w:type="dxa" w:w="2056"/>
            <w:vAlign w:val="top"/>
          </w:tcPr>
          <w:p>
            <w:pPr>
              <w:spacing w:after="0"/>
            </w:pPr>
            <w:r>
              <w:rPr>
                <w:sz w:val="11"/>
              </w:rPr>
              <w:t>Mother has epilepsy.</w:t>
            </w:r>
          </w:p>
        </w:tc>
        <w:tc>
          <w:tcPr>
            <w:tcW w:type="dxa" w:w="2056"/>
            <w:vAlign w:val="top"/>
          </w:tcPr>
          <w:p>
            <w:pPr>
              <w:spacing w:after="0"/>
            </w:pPr>
            <w:r>
              <w:rPr>
                <w:sz w:val="11"/>
              </w:rPr>
              <w:t>family-history/other-experiencer statement</w:t>
            </w:r>
          </w:p>
        </w:tc>
        <w:tc>
          <w:tcPr>
            <w:tcW w:type="dxa" w:w="2056"/>
            <w:vAlign w:val="top"/>
          </w:tcPr>
          <w:p>
            <w:pPr>
              <w:spacing w:after="0"/>
            </w:pPr>
            <w:r>
              <w:rPr>
                <w:sz w:val="11"/>
              </w:rPr>
              <w:t>Do not annotate as patient's epilepsy diagnosis.</w:t>
            </w:r>
          </w:p>
        </w:tc>
      </w:tr>
      <w:tr>
        <w:tc>
          <w:tcPr>
            <w:tcW w:type="dxa" w:w="2056"/>
            <w:vAlign w:val="top"/>
          </w:tcPr>
          <w:p>
            <w:pPr>
              <w:spacing w:after="0"/>
            </w:pPr>
            <w:r>
              <w:rPr>
                <w:sz w:val="11"/>
              </w:rPr>
              <w:t>E12</w:t>
            </w:r>
          </w:p>
        </w:tc>
        <w:tc>
          <w:tcPr>
            <w:tcW w:type="dxa" w:w="2056"/>
            <w:vAlign w:val="top"/>
          </w:tcPr>
          <w:p>
            <w:pPr>
              <w:spacing w:after="0"/>
            </w:pPr>
            <w:r>
              <w:rPr>
                <w:sz w:val="11"/>
              </w:rPr>
              <w:t>Progress note</w:t>
            </w:r>
          </w:p>
        </w:tc>
        <w:tc>
          <w:tcPr>
            <w:tcW w:type="dxa" w:w="2056"/>
            <w:vAlign w:val="top"/>
          </w:tcPr>
          <w:p>
            <w:pPr>
              <w:spacing w:after="0"/>
            </w:pPr>
            <w:r>
              <w:rPr>
                <w:sz w:val="11"/>
              </w:rPr>
              <w:t>JME is suspected.</w:t>
            </w:r>
          </w:p>
        </w:tc>
        <w:tc>
          <w:tcPr>
            <w:tcW w:type="dxa" w:w="2056"/>
            <w:vAlign w:val="top"/>
          </w:tcPr>
          <w:p>
            <w:pPr>
              <w:spacing w:after="0"/>
            </w:pPr>
            <w:r>
              <w:rPr>
                <w:sz w:val="11"/>
              </w:rPr>
              <w:t>syndrome mention with uncertainty</w:t>
            </w:r>
          </w:p>
        </w:tc>
        <w:tc>
          <w:tcPr>
            <w:tcW w:type="dxa" w:w="2056"/>
            <w:vAlign w:val="top"/>
          </w:tcPr>
          <w:p>
            <w:pPr>
              <w:spacing w:after="0"/>
            </w:pPr>
            <w:r>
              <w:rPr>
                <w:sz w:val="11"/>
              </w:rPr>
              <w:t>Do not derive JME criteria from the label alone.</w:t>
            </w:r>
          </w:p>
        </w:tc>
      </w:tr>
    </w:tbl>
    <w:p/>
    <w:p>
      <w:pPr>
        <w:pStyle w:val="Heading1"/>
      </w:pPr>
      <w:r>
        <w:t>15. Quality control and gold-standard creation</w:t>
      </w:r>
    </w:p>
    <w:p>
      <w:r>
        <w:t>P4-QC-001 [ADAPTED] — Use independent double annotation for the clinician-validation subset, followed by consensus/adjudication.</w:t>
      </w:r>
    </w:p>
    <w:p>
      <w:r>
        <w:t>P4-QC-002 [ADOPTED] — Run pilot/training annotation before production annotation.</w:t>
      </w:r>
    </w:p>
    <w:p>
      <w:r>
        <w:t>P4-QC-003 [ADAPTED] — Measure agreement at the entity+attribute level; report disagreements by phenotype domain.</w:t>
      </w:r>
    </w:p>
    <w:p>
      <w:r>
        <w:t>P4-QC-004 [MEDAI-PROPOSED] — Never call latent synthetic labels 'clinician-validated gold' unless clinicians independently reviewed/adjudicated the relevant documents/labels.</w:t>
      </w:r>
    </w:p>
    <w:p>
      <w:r>
        <w:t>The ExECTv2 study provides a direct epilepsy-specific precedent: 200 synthetic clinic letters were double annotated by trained clinicians/researchers, annotations were reviewed, and a consensus gold standard was created. Reported overall inter-annotator agreement was F1=0.73 per item, illustrating that disagreement is expected and must be managed rather than hidden.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Disagreement</w:t>
            </w:r>
          </w:p>
        </w:tc>
        <w:tc>
          <w:tcPr>
            <w:tcW w:type="dxa" w:w="3427"/>
            <w:shd w:fill="D9EAF7"/>
          </w:tcPr>
          <w:p>
            <w:r>
              <w:rPr>
                <w:b/>
                <w:sz w:val="12"/>
              </w:rPr>
              <w:t>Action</w:t>
            </w:r>
          </w:p>
        </w:tc>
        <w:tc>
          <w:tcPr>
            <w:tcW w:type="dxa" w:w="3427"/>
            <w:shd w:fill="D9EAF7"/>
          </w:tcPr>
          <w:p>
            <w:r>
              <w:rPr>
                <w:b/>
                <w:sz w:val="12"/>
              </w:rPr>
              <w:t>Boundary</w:t>
            </w:r>
          </w:p>
        </w:tc>
      </w:tr>
      <w:tr>
        <w:tc>
          <w:tcPr>
            <w:tcW w:type="dxa" w:w="3427"/>
            <w:vAlign w:val="top"/>
          </w:tcPr>
          <w:p>
            <w:pPr>
              <w:spacing w:after="0"/>
            </w:pPr>
            <w:r>
              <w:rPr>
                <w:sz w:val="12"/>
              </w:rPr>
              <w:t>Entity boundary disagreement</w:t>
            </w:r>
          </w:p>
        </w:tc>
        <w:tc>
          <w:tcPr>
            <w:tcW w:type="dxa" w:w="3427"/>
            <w:vAlign w:val="top"/>
          </w:tcPr>
          <w:p>
            <w:pPr>
              <w:spacing w:after="0"/>
            </w:pPr>
            <w:r>
              <w:rPr>
                <w:sz w:val="12"/>
              </w:rPr>
              <w:t>Review guideline/source rule; choose span that preserves required entity and contextual attributes; document local decision if source does not settle it.</w:t>
            </w:r>
          </w:p>
        </w:tc>
        <w:tc>
          <w:tcPr>
            <w:tcW w:type="dxa" w:w="3427"/>
            <w:vAlign w:val="top"/>
          </w:tcPr>
          <w:p>
            <w:pPr>
              <w:spacing w:after="0"/>
            </w:pPr>
            <w:r>
              <w:rPr>
                <w:sz w:val="12"/>
              </w:rPr>
              <w:t>Do not invent a universal span rule beyond the manual.</w:t>
            </w:r>
          </w:p>
        </w:tc>
      </w:tr>
      <w:tr>
        <w:tc>
          <w:tcPr>
            <w:tcW w:type="dxa" w:w="3427"/>
            <w:vAlign w:val="top"/>
          </w:tcPr>
          <w:p>
            <w:pPr>
              <w:spacing w:after="0"/>
            </w:pPr>
            <w:r>
              <w:rPr>
                <w:sz w:val="12"/>
              </w:rPr>
              <w:t>Concept/classification disagreement</w:t>
            </w:r>
          </w:p>
        </w:tc>
        <w:tc>
          <w:tcPr>
            <w:tcW w:type="dxa" w:w="3427"/>
            <w:vAlign w:val="top"/>
          </w:tcPr>
          <w:p>
            <w:pPr>
              <w:spacing w:after="0"/>
            </w:pPr>
            <w:r>
              <w:rPr>
                <w:sz w:val="12"/>
              </w:rPr>
              <w:t>Check Phase 3B source taxonomy first, especially ILAE 2025/2017 distinction.</w:t>
            </w:r>
          </w:p>
        </w:tc>
        <w:tc>
          <w:tcPr>
            <w:tcW w:type="dxa" w:w="3427"/>
            <w:vAlign w:val="top"/>
          </w:tcPr>
          <w:p>
            <w:pPr>
              <w:spacing w:after="0"/>
            </w:pPr>
            <w:r>
              <w:rPr>
                <w:sz w:val="12"/>
              </w:rPr>
              <w:t>If source taxonomy does not resolve mapping, mark unresolved.</w:t>
            </w:r>
          </w:p>
        </w:tc>
      </w:tr>
      <w:tr>
        <w:tc>
          <w:tcPr>
            <w:tcW w:type="dxa" w:w="3427"/>
            <w:vAlign w:val="top"/>
          </w:tcPr>
          <w:p>
            <w:pPr>
              <w:spacing w:after="0"/>
            </w:pPr>
            <w:r>
              <w:rPr>
                <w:sz w:val="12"/>
              </w:rPr>
              <w:t>Certainty disagreement</w:t>
            </w:r>
          </w:p>
        </w:tc>
        <w:tc>
          <w:tcPr>
            <w:tcW w:type="dxa" w:w="3427"/>
            <w:vAlign w:val="top"/>
          </w:tcPr>
          <w:p>
            <w:pPr>
              <w:spacing w:after="0"/>
            </w:pPr>
            <w:r>
              <w:rPr>
                <w:sz w:val="12"/>
              </w:rPr>
              <w:t>Preserve explicit hedging/negation; use source-backed ExECT certainty only where the mapping has been frozen.</w:t>
            </w:r>
          </w:p>
        </w:tc>
        <w:tc>
          <w:tcPr>
            <w:tcW w:type="dxa" w:w="3427"/>
            <w:vAlign w:val="top"/>
          </w:tcPr>
          <w:p>
            <w:pPr>
              <w:spacing w:after="0"/>
            </w:pPr>
            <w:r>
              <w:rPr>
                <w:sz w:val="12"/>
              </w:rPr>
              <w:t>Do not force MedAI-wide certainty scale yet.</w:t>
            </w:r>
          </w:p>
        </w:tc>
      </w:tr>
      <w:tr>
        <w:tc>
          <w:tcPr>
            <w:tcW w:type="dxa" w:w="3427"/>
            <w:vAlign w:val="top"/>
          </w:tcPr>
          <w:p>
            <w:pPr>
              <w:spacing w:after="0"/>
            </w:pPr>
            <w:r>
              <w:rPr>
                <w:sz w:val="12"/>
              </w:rPr>
              <w:t>Temporal disagreement</w:t>
            </w:r>
          </w:p>
        </w:tc>
        <w:tc>
          <w:tcPr>
            <w:tcW w:type="dxa" w:w="3427"/>
            <w:vAlign w:val="top"/>
          </w:tcPr>
          <w:p>
            <w:pPr>
              <w:spacing w:after="0"/>
            </w:pPr>
            <w:r>
              <w:rPr>
                <w:sz w:val="12"/>
              </w:rPr>
              <w:t>Retain explicit age/date/time-since/relative period information.</w:t>
            </w:r>
          </w:p>
        </w:tc>
        <w:tc>
          <w:tcPr>
            <w:tcW w:type="dxa" w:w="3427"/>
            <w:vAlign w:val="top"/>
          </w:tcPr>
          <w:p>
            <w:pPr>
              <w:spacing w:after="0"/>
            </w:pPr>
            <w:r>
              <w:rPr>
                <w:sz w:val="12"/>
              </w:rPr>
              <w:t>Universal temporal normalization remains unresolved.</w:t>
            </w:r>
          </w:p>
        </w:tc>
      </w:tr>
      <w:tr>
        <w:tc>
          <w:tcPr>
            <w:tcW w:type="dxa" w:w="3427"/>
            <w:vAlign w:val="top"/>
          </w:tcPr>
          <w:p>
            <w:pPr>
              <w:spacing w:after="0"/>
            </w:pPr>
            <w:r>
              <w:rPr>
                <w:sz w:val="12"/>
              </w:rPr>
              <w:t>MRI terminology disagreement</w:t>
            </w:r>
          </w:p>
        </w:tc>
        <w:tc>
          <w:tcPr>
            <w:tcW w:type="dxa" w:w="3427"/>
            <w:vAlign w:val="top"/>
          </w:tcPr>
          <w:p>
            <w:pPr>
              <w:spacing w:after="0"/>
            </w:pPr>
            <w:r>
              <w:rPr>
                <w:sz w:val="12"/>
              </w:rPr>
              <w:t>Annotate source wording/impression and only use frozen mappings.</w:t>
            </w:r>
          </w:p>
        </w:tc>
        <w:tc>
          <w:tcPr>
            <w:tcW w:type="dxa" w:w="3427"/>
            <w:vAlign w:val="top"/>
          </w:tcPr>
          <w:p>
            <w:pPr>
              <w:spacing w:after="0"/>
            </w:pPr>
            <w:r>
              <w:rPr>
                <w:sz w:val="12"/>
              </w:rPr>
              <w:t>Do not invent lesion hierarchy.</w:t>
            </w:r>
          </w:p>
        </w:tc>
      </w:tr>
      <w:tr>
        <w:tc>
          <w:tcPr>
            <w:tcW w:type="dxa" w:w="3427"/>
            <w:vAlign w:val="top"/>
          </w:tcPr>
          <w:p>
            <w:pPr>
              <w:spacing w:after="0"/>
            </w:pPr>
            <w:r>
              <w:rPr>
                <w:sz w:val="12"/>
              </w:rPr>
              <w:t>EEG terminology disagreement</w:t>
            </w:r>
          </w:p>
        </w:tc>
        <w:tc>
          <w:tcPr>
            <w:tcW w:type="dxa" w:w="3427"/>
            <w:vAlign w:val="top"/>
          </w:tcPr>
          <w:p>
            <w:pPr>
              <w:spacing w:after="0"/>
            </w:pPr>
            <w:r>
              <w:rPr>
                <w:sz w:val="12"/>
              </w:rPr>
              <w:t>Use source wording and frozen SCORE-backed concepts only.</w:t>
            </w:r>
          </w:p>
        </w:tc>
        <w:tc>
          <w:tcPr>
            <w:tcW w:type="dxa" w:w="3427"/>
            <w:vAlign w:val="top"/>
          </w:tcPr>
          <w:p>
            <w:pPr>
              <w:spacing w:after="0"/>
            </w:pPr>
            <w:r>
              <w:rPr>
                <w:sz w:val="12"/>
              </w:rPr>
              <w:t>Detailed SCORE mapping is blocked.</w:t>
            </w:r>
          </w:p>
        </w:tc>
      </w:tr>
      <w:tr>
        <w:tc>
          <w:tcPr>
            <w:tcW w:type="dxa" w:w="3427"/>
            <w:vAlign w:val="top"/>
          </w:tcPr>
          <w:p>
            <w:pPr>
              <w:spacing w:after="0"/>
            </w:pPr>
            <w:r>
              <w:rPr>
                <w:sz w:val="12"/>
              </w:rPr>
              <w:t>DRE disagreement</w:t>
            </w:r>
          </w:p>
        </w:tc>
        <w:tc>
          <w:tcPr>
            <w:tcW w:type="dxa" w:w="3427"/>
            <w:vAlign w:val="top"/>
          </w:tcPr>
          <w:p>
            <w:pPr>
              <w:spacing w:after="0"/>
            </w:pPr>
            <w:r>
              <w:rPr>
                <w:sz w:val="12"/>
              </w:rPr>
              <w:t>Separate clinician-stated DRE from criteria-derived DRE.</w:t>
            </w:r>
          </w:p>
        </w:tc>
        <w:tc>
          <w:tcPr>
            <w:tcW w:type="dxa" w:w="3427"/>
            <w:vAlign w:val="top"/>
          </w:tcPr>
          <w:p>
            <w:pPr>
              <w:spacing w:after="0"/>
            </w:pPr>
            <w:r>
              <w:rPr>
                <w:sz w:val="12"/>
              </w:rPr>
              <w:t>Criteria-derived label blocked until computational rule is frozen.</w:t>
            </w:r>
          </w:p>
        </w:tc>
      </w:tr>
      <w:tr>
        <w:tc>
          <w:tcPr>
            <w:tcW w:type="dxa" w:w="3427"/>
            <w:vAlign w:val="top"/>
          </w:tcPr>
          <w:p>
            <w:pPr>
              <w:spacing w:after="0"/>
            </w:pPr>
            <w:r>
              <w:rPr>
                <w:sz w:val="12"/>
              </w:rPr>
              <w:t>Cross-document contradiction</w:t>
            </w:r>
          </w:p>
        </w:tc>
        <w:tc>
          <w:tcPr>
            <w:tcW w:type="dxa" w:w="3427"/>
            <w:vAlign w:val="top"/>
          </w:tcPr>
          <w:p>
            <w:pPr>
              <w:spacing w:after="0"/>
            </w:pPr>
            <w:r>
              <w:rPr>
                <w:sz w:val="12"/>
              </w:rPr>
              <w:t>Keep both assertions with date/document provenance; escalate clinical reconciliation to adjudication.</w:t>
            </w:r>
          </w:p>
        </w:tc>
        <w:tc>
          <w:tcPr>
            <w:tcW w:type="dxa" w:w="3427"/>
            <w:vAlign w:val="top"/>
          </w:tcPr>
          <w:p>
            <w:pPr>
              <w:spacing w:after="0"/>
            </w:pPr>
            <w:r>
              <w:rPr>
                <w:sz w:val="12"/>
              </w:rPr>
              <w:t>No majority vote.</w:t>
            </w:r>
          </w:p>
        </w:tc>
      </w:tr>
      <w:tr>
        <w:tc>
          <w:tcPr>
            <w:tcW w:type="dxa" w:w="3427"/>
            <w:vAlign w:val="top"/>
          </w:tcPr>
          <w:p>
            <w:pPr>
              <w:spacing w:after="0"/>
            </w:pPr>
            <w:r>
              <w:rPr>
                <w:sz w:val="12"/>
              </w:rPr>
              <w:t>Unresolvable case</w:t>
            </w:r>
          </w:p>
        </w:tc>
        <w:tc>
          <w:tcPr>
            <w:tcW w:type="dxa" w:w="3427"/>
            <w:vAlign w:val="top"/>
          </w:tcPr>
          <w:p>
            <w:pPr>
              <w:spacing w:after="0"/>
            </w:pPr>
            <w:r>
              <w:rPr>
                <w:sz w:val="12"/>
              </w:rPr>
              <w:t>Assign UNRESOLVED and record reason.</w:t>
            </w:r>
          </w:p>
        </w:tc>
        <w:tc>
          <w:tcPr>
            <w:tcW w:type="dxa" w:w="3427"/>
            <w:vAlign w:val="top"/>
          </w:tcPr>
          <w:p>
            <w:pPr>
              <w:spacing w:after="0"/>
            </w:pPr>
            <w:r>
              <w:rPr>
                <w:sz w:val="12"/>
              </w:rPr>
              <w:t>Uncertainty is preferable to fabricated gold.</w:t>
            </w:r>
          </w:p>
        </w:tc>
      </w:tr>
    </w:tbl>
    <w:p/>
    <w:p>
      <w:pPr>
        <w:pStyle w:val="Heading1"/>
      </w:pPr>
      <w:r>
        <w:t>16. Rules that are intentionally blocked</w:t>
      </w:r>
    </w:p>
    <w:p>
      <w:r>
        <w:t>The following items are not sufficiently frozen to become production annotation rules. They are listed here precisely to prevent accidental invention.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Item</w:t>
            </w:r>
          </w:p>
        </w:tc>
        <w:tc>
          <w:tcPr>
            <w:tcW w:type="dxa" w:w="2570"/>
            <w:shd w:fill="D9EAF7"/>
          </w:tcPr>
          <w:p>
            <w:r>
              <w:rPr>
                <w:b/>
                <w:sz w:val="12"/>
              </w:rPr>
              <w:t>Why blocked</w:t>
            </w:r>
          </w:p>
        </w:tc>
        <w:tc>
          <w:tcPr>
            <w:tcW w:type="dxa" w:w="2570"/>
            <w:shd w:fill="D9EAF7"/>
          </w:tcPr>
          <w:p>
            <w:r>
              <w:rPr>
                <w:b/>
                <w:sz w:val="12"/>
              </w:rPr>
              <w:t>Phase 4 policy</w:t>
            </w:r>
          </w:p>
        </w:tc>
        <w:tc>
          <w:tcPr>
            <w:tcW w:type="dxa" w:w="2570"/>
            <w:shd w:fill="D9EAF7"/>
          </w:tcPr>
          <w:p>
            <w:r>
              <w:rPr>
                <w:b/>
                <w:sz w:val="12"/>
              </w:rPr>
              <w:t>Close in</w:t>
            </w:r>
          </w:p>
        </w:tc>
      </w:tr>
      <w:tr>
        <w:tc>
          <w:tcPr>
            <w:tcW w:type="dxa" w:w="2570"/>
            <w:vAlign w:val="top"/>
          </w:tcPr>
          <w:p>
            <w:pPr>
              <w:spacing w:after="0"/>
            </w:pPr>
            <w:r>
              <w:rPr>
                <w:sz w:val="11"/>
              </w:rPr>
              <w:t>Detailed ILAE 2025 semiology glossary mapping</w:t>
            </w:r>
          </w:p>
        </w:tc>
        <w:tc>
          <w:tcPr>
            <w:tcW w:type="dxa" w:w="2570"/>
            <w:vAlign w:val="top"/>
          </w:tcPr>
          <w:p>
            <w:pPr>
              <w:spacing w:after="0"/>
            </w:pPr>
            <w:r>
              <w:rPr>
                <w:sz w:val="11"/>
              </w:rPr>
              <w:t>Exact full glossary/descriptor implementation has not been frozen.</w:t>
            </w:r>
          </w:p>
        </w:tc>
        <w:tc>
          <w:tcPr>
            <w:tcW w:type="dxa" w:w="2570"/>
            <w:vAlign w:val="top"/>
          </w:tcPr>
          <w:p>
            <w:pPr>
              <w:spacing w:after="0"/>
            </w:pPr>
            <w:r>
              <w:rPr>
                <w:sz w:val="11"/>
              </w:rPr>
              <w:t>Do not create detailed descriptor ontology beyond verified source hierarchy.</w:t>
            </w:r>
          </w:p>
        </w:tc>
        <w:tc>
          <w:tcPr>
            <w:tcW w:type="dxa" w:w="2570"/>
            <w:vAlign w:val="top"/>
          </w:tcPr>
          <w:p>
            <w:pPr>
              <w:spacing w:after="0"/>
            </w:pPr>
            <w:r>
              <w:rPr>
                <w:sz w:val="11"/>
              </w:rPr>
              <w:t>Phase 3D</w:t>
            </w:r>
          </w:p>
        </w:tc>
      </w:tr>
      <w:tr>
        <w:tc>
          <w:tcPr>
            <w:tcW w:type="dxa" w:w="2570"/>
            <w:vAlign w:val="top"/>
          </w:tcPr>
          <w:p>
            <w:pPr>
              <w:spacing w:after="0"/>
            </w:pPr>
            <w:r>
              <w:rPr>
                <w:sz w:val="11"/>
              </w:rPr>
              <w:t>Syndrome derivation</w:t>
            </w:r>
          </w:p>
        </w:tc>
        <w:tc>
          <w:tcPr>
            <w:tcW w:type="dxa" w:w="2570"/>
            <w:vAlign w:val="top"/>
          </w:tcPr>
          <w:p>
            <w:pPr>
              <w:spacing w:after="0"/>
            </w:pPr>
            <w:r>
              <w:rPr>
                <w:sz w:val="11"/>
              </w:rPr>
              <w:t>Syndrome-specific mandatory/alert/exclusionary criteria not fully extracted.</w:t>
            </w:r>
          </w:p>
        </w:tc>
        <w:tc>
          <w:tcPr>
            <w:tcW w:type="dxa" w:w="2570"/>
            <w:vAlign w:val="top"/>
          </w:tcPr>
          <w:p>
            <w:pPr>
              <w:spacing w:after="0"/>
            </w:pPr>
            <w:r>
              <w:rPr>
                <w:sz w:val="11"/>
              </w:rPr>
              <w:t>Annotate direct syndrome mentions only; no derived syndrome gold.</w:t>
            </w:r>
          </w:p>
        </w:tc>
        <w:tc>
          <w:tcPr>
            <w:tcW w:type="dxa" w:w="2570"/>
            <w:vAlign w:val="top"/>
          </w:tcPr>
          <w:p>
            <w:pPr>
              <w:spacing w:after="0"/>
            </w:pPr>
            <w:r>
              <w:rPr>
                <w:sz w:val="11"/>
              </w:rPr>
              <w:t>Phase 3D</w:t>
            </w:r>
          </w:p>
        </w:tc>
      </w:tr>
      <w:tr>
        <w:tc>
          <w:tcPr>
            <w:tcW w:type="dxa" w:w="2570"/>
            <w:vAlign w:val="top"/>
          </w:tcPr>
          <w:p>
            <w:pPr>
              <w:spacing w:after="0"/>
            </w:pPr>
            <w:r>
              <w:rPr>
                <w:sz w:val="11"/>
              </w:rPr>
              <w:t>NINDS CDE exact IDs/value sets</w:t>
            </w:r>
          </w:p>
        </w:tc>
        <w:tc>
          <w:tcPr>
            <w:tcW w:type="dxa" w:w="2570"/>
            <w:vAlign w:val="top"/>
          </w:tcPr>
          <w:p>
            <w:pPr>
              <w:spacing w:after="0"/>
            </w:pPr>
            <w:r>
              <w:rPr>
                <w:sz w:val="11"/>
              </w:rPr>
              <w:t>Exact CDE revision/rows not frozen.</w:t>
            </w:r>
          </w:p>
        </w:tc>
        <w:tc>
          <w:tcPr>
            <w:tcW w:type="dxa" w:w="2570"/>
            <w:vAlign w:val="top"/>
          </w:tcPr>
          <w:p>
            <w:pPr>
              <w:spacing w:after="0"/>
            </w:pPr>
            <w:r>
              <w:rPr>
                <w:sz w:val="11"/>
              </w:rPr>
              <w:t>Do not claim NINDS-backed field IDs/values.</w:t>
            </w:r>
          </w:p>
        </w:tc>
        <w:tc>
          <w:tcPr>
            <w:tcW w:type="dxa" w:w="2570"/>
            <w:vAlign w:val="top"/>
          </w:tcPr>
          <w:p>
            <w:pPr>
              <w:spacing w:after="0"/>
            </w:pPr>
            <w:r>
              <w:rPr>
                <w:sz w:val="11"/>
              </w:rPr>
              <w:t>Phase 3D</w:t>
            </w:r>
          </w:p>
        </w:tc>
      </w:tr>
      <w:tr>
        <w:tc>
          <w:tcPr>
            <w:tcW w:type="dxa" w:w="2570"/>
            <w:vAlign w:val="top"/>
          </w:tcPr>
          <w:p>
            <w:pPr>
              <w:spacing w:after="0"/>
            </w:pPr>
            <w:r>
              <w:rPr>
                <w:sz w:val="11"/>
              </w:rPr>
              <w:t>EpSO exact URIs/predicates</w:t>
            </w:r>
          </w:p>
        </w:tc>
        <w:tc>
          <w:tcPr>
            <w:tcW w:type="dxa" w:w="2570"/>
            <w:vAlign w:val="top"/>
          </w:tcPr>
          <w:p>
            <w:pPr>
              <w:spacing w:after="0"/>
            </w:pPr>
            <w:r>
              <w:rPr>
                <w:sz w:val="11"/>
              </w:rPr>
              <w:t>Ontology artifact not node-by-node extracted.</w:t>
            </w:r>
          </w:p>
        </w:tc>
        <w:tc>
          <w:tcPr>
            <w:tcW w:type="dxa" w:w="2570"/>
            <w:vAlign w:val="top"/>
          </w:tcPr>
          <w:p>
            <w:pPr>
              <w:spacing w:after="0"/>
            </w:pPr>
            <w:r>
              <w:rPr>
                <w:sz w:val="11"/>
              </w:rPr>
              <w:t>Do not assign EpSO IDs from memory.</w:t>
            </w:r>
          </w:p>
        </w:tc>
        <w:tc>
          <w:tcPr>
            <w:tcW w:type="dxa" w:w="2570"/>
            <w:vAlign w:val="top"/>
          </w:tcPr>
          <w:p>
            <w:pPr>
              <w:spacing w:after="0"/>
            </w:pPr>
            <w:r>
              <w:rPr>
                <w:sz w:val="11"/>
              </w:rPr>
              <w:t>Phase 3D</w:t>
            </w:r>
          </w:p>
        </w:tc>
      </w:tr>
      <w:tr>
        <w:tc>
          <w:tcPr>
            <w:tcW w:type="dxa" w:w="2570"/>
            <w:vAlign w:val="top"/>
          </w:tcPr>
          <w:p>
            <w:pPr>
              <w:spacing w:after="0"/>
            </w:pPr>
            <w:r>
              <w:rPr>
                <w:sz w:val="11"/>
              </w:rPr>
              <w:t>Detailed SCORE EEG mappings</w:t>
            </w:r>
          </w:p>
        </w:tc>
        <w:tc>
          <w:tcPr>
            <w:tcW w:type="dxa" w:w="2570"/>
            <w:vAlign w:val="top"/>
          </w:tcPr>
          <w:p>
            <w:pPr>
              <w:spacing w:after="0"/>
            </w:pPr>
            <w:r>
              <w:rPr>
                <w:sz w:val="11"/>
              </w:rPr>
              <w:t>Publication supports framework/modules but not all exact term nodes in our current evidence package.</w:t>
            </w:r>
          </w:p>
        </w:tc>
        <w:tc>
          <w:tcPr>
            <w:tcW w:type="dxa" w:w="2570"/>
            <w:vAlign w:val="top"/>
          </w:tcPr>
          <w:p>
            <w:pPr>
              <w:spacing w:after="0"/>
            </w:pPr>
            <w:r>
              <w:rPr>
                <w:sz w:val="11"/>
              </w:rPr>
              <w:t>Retain source wording or only frozen mappings.</w:t>
            </w:r>
          </w:p>
        </w:tc>
        <w:tc>
          <w:tcPr>
            <w:tcW w:type="dxa" w:w="2570"/>
            <w:vAlign w:val="top"/>
          </w:tcPr>
          <w:p>
            <w:pPr>
              <w:spacing w:after="0"/>
            </w:pPr>
            <w:r>
              <w:rPr>
                <w:sz w:val="11"/>
              </w:rPr>
              <w:t>Phase 3D</w:t>
            </w:r>
          </w:p>
        </w:tc>
      </w:tr>
      <w:tr>
        <w:tc>
          <w:tcPr>
            <w:tcW w:type="dxa" w:w="2570"/>
            <w:vAlign w:val="top"/>
          </w:tcPr>
          <w:p>
            <w:pPr>
              <w:spacing w:after="0"/>
            </w:pPr>
            <w:r>
              <w:rPr>
                <w:sz w:val="11"/>
              </w:rPr>
              <w:t>MRI report lesion taxonomy</w:t>
            </w:r>
          </w:p>
        </w:tc>
        <w:tc>
          <w:tcPr>
            <w:tcW w:type="dxa" w:w="2570"/>
            <w:vAlign w:val="top"/>
          </w:tcPr>
          <w:p>
            <w:pPr>
              <w:spacing w:after="0"/>
            </w:pPr>
            <w:r>
              <w:rPr>
                <w:sz w:val="11"/>
              </w:rPr>
              <w:t>No authoritative MRI-report value set has yet been frozen.</w:t>
            </w:r>
          </w:p>
        </w:tc>
        <w:tc>
          <w:tcPr>
            <w:tcW w:type="dxa" w:w="2570"/>
            <w:vAlign w:val="top"/>
          </w:tcPr>
          <w:p>
            <w:pPr>
              <w:spacing w:after="0"/>
            </w:pPr>
            <w:r>
              <w:rPr>
                <w:sz w:val="11"/>
              </w:rPr>
              <w:t>Annotate text/impression; do not invent canonical lesion list.</w:t>
            </w:r>
          </w:p>
        </w:tc>
        <w:tc>
          <w:tcPr>
            <w:tcW w:type="dxa" w:w="2570"/>
            <w:vAlign w:val="top"/>
          </w:tcPr>
          <w:p>
            <w:pPr>
              <w:spacing w:after="0"/>
            </w:pPr>
            <w:r>
              <w:rPr>
                <w:sz w:val="11"/>
              </w:rPr>
              <w:t>Phase 3D</w:t>
            </w:r>
          </w:p>
        </w:tc>
      </w:tr>
      <w:tr>
        <w:tc>
          <w:tcPr>
            <w:tcW w:type="dxa" w:w="2570"/>
            <w:vAlign w:val="top"/>
          </w:tcPr>
          <w:p>
            <w:pPr>
              <w:spacing w:after="0"/>
            </w:pPr>
            <w:r>
              <w:rPr>
                <w:sz w:val="11"/>
              </w:rPr>
              <w:t>Universal certainty scale</w:t>
            </w:r>
          </w:p>
        </w:tc>
        <w:tc>
          <w:tcPr>
            <w:tcW w:type="dxa" w:w="2570"/>
            <w:vAlign w:val="top"/>
          </w:tcPr>
          <w:p>
            <w:pPr>
              <w:spacing w:after="0"/>
            </w:pPr>
            <w:r>
              <w:rPr>
                <w:sz w:val="11"/>
              </w:rPr>
              <w:t>ExECT has a five-level diagnosis/history certainty scheme, but cross-domain radiology/EEG certainty mapping is not frozen.</w:t>
            </w:r>
          </w:p>
        </w:tc>
        <w:tc>
          <w:tcPr>
            <w:tcW w:type="dxa" w:w="2570"/>
            <w:vAlign w:val="top"/>
          </w:tcPr>
          <w:p>
            <w:pPr>
              <w:spacing w:after="0"/>
            </w:pPr>
            <w:r>
              <w:rPr>
                <w:sz w:val="11"/>
              </w:rPr>
              <w:t>Preserve source hedging; do not apply ExECT scale universally.</w:t>
            </w:r>
          </w:p>
        </w:tc>
        <w:tc>
          <w:tcPr>
            <w:tcW w:type="dxa" w:w="2570"/>
            <w:vAlign w:val="top"/>
          </w:tcPr>
          <w:p>
            <w:pPr>
              <w:spacing w:after="0"/>
            </w:pPr>
            <w:r>
              <w:rPr>
                <w:sz w:val="11"/>
              </w:rPr>
              <w:t>Phase 3D/4.1</w:t>
            </w:r>
          </w:p>
        </w:tc>
      </w:tr>
      <w:tr>
        <w:tc>
          <w:tcPr>
            <w:tcW w:type="dxa" w:w="2570"/>
            <w:vAlign w:val="top"/>
          </w:tcPr>
          <w:p>
            <w:pPr>
              <w:spacing w:after="0"/>
            </w:pPr>
            <w:r>
              <w:rPr>
                <w:sz w:val="11"/>
              </w:rPr>
              <w:t>Universal temporality ontology</w:t>
            </w:r>
          </w:p>
        </w:tc>
        <w:tc>
          <w:tcPr>
            <w:tcW w:type="dxa" w:w="2570"/>
            <w:vAlign w:val="top"/>
          </w:tcPr>
          <w:p>
            <w:pPr>
              <w:spacing w:after="0"/>
            </w:pPr>
            <w:r>
              <w:rPr>
                <w:sz w:val="11"/>
              </w:rPr>
              <w:t>ExECT/SZFreqExtract provide temporal attributes but MedAI-wide value set is not frozen.</w:t>
            </w:r>
          </w:p>
        </w:tc>
        <w:tc>
          <w:tcPr>
            <w:tcW w:type="dxa" w:w="2570"/>
            <w:vAlign w:val="top"/>
          </w:tcPr>
          <w:p>
            <w:pPr>
              <w:spacing w:after="0"/>
            </w:pPr>
            <w:r>
              <w:rPr>
                <w:sz w:val="11"/>
              </w:rPr>
              <w:t>Retain supported temporal attributes/source expression.</w:t>
            </w:r>
          </w:p>
        </w:tc>
        <w:tc>
          <w:tcPr>
            <w:tcW w:type="dxa" w:w="2570"/>
            <w:vAlign w:val="top"/>
          </w:tcPr>
          <w:p>
            <w:pPr>
              <w:spacing w:after="0"/>
            </w:pPr>
            <w:r>
              <w:rPr>
                <w:sz w:val="11"/>
              </w:rPr>
              <w:t>Phase 3D/4.1</w:t>
            </w:r>
          </w:p>
        </w:tc>
      </w:tr>
      <w:tr>
        <w:tc>
          <w:tcPr>
            <w:tcW w:type="dxa" w:w="2570"/>
            <w:vAlign w:val="top"/>
          </w:tcPr>
          <w:p>
            <w:pPr>
              <w:spacing w:after="0"/>
            </w:pPr>
            <w:r>
              <w:rPr>
                <w:sz w:val="11"/>
              </w:rPr>
              <w:t>DRE computational derivation</w:t>
            </w:r>
          </w:p>
        </w:tc>
        <w:tc>
          <w:tcPr>
            <w:tcW w:type="dxa" w:w="2570"/>
            <w:vAlign w:val="top"/>
          </w:tcPr>
          <w:p>
            <w:pPr>
              <w:spacing w:after="0"/>
            </w:pPr>
            <w:r>
              <w:rPr>
                <w:sz w:val="11"/>
              </w:rPr>
              <w:t>Exact machine rule for trial adequacy/tolerability/appropriateness/use and sustained seizure freedom not frozen.</w:t>
            </w:r>
          </w:p>
        </w:tc>
        <w:tc>
          <w:tcPr>
            <w:tcW w:type="dxa" w:w="2570"/>
            <w:vAlign w:val="top"/>
          </w:tcPr>
          <w:p>
            <w:pPr>
              <w:spacing w:after="0"/>
            </w:pPr>
            <w:r>
              <w:rPr>
                <w:sz w:val="11"/>
              </w:rPr>
              <w:t>No derived DRE gold.</w:t>
            </w:r>
          </w:p>
        </w:tc>
        <w:tc>
          <w:tcPr>
            <w:tcW w:type="dxa" w:w="2570"/>
            <w:vAlign w:val="top"/>
          </w:tcPr>
          <w:p>
            <w:pPr>
              <w:spacing w:after="0"/>
            </w:pPr>
            <w:r>
              <w:rPr>
                <w:sz w:val="11"/>
              </w:rPr>
              <w:t>Phase 3D/4.1</w:t>
            </w:r>
          </w:p>
        </w:tc>
      </w:tr>
      <w:tr>
        <w:tc>
          <w:tcPr>
            <w:tcW w:type="dxa" w:w="2570"/>
            <w:vAlign w:val="top"/>
          </w:tcPr>
          <w:p>
            <w:pPr>
              <w:spacing w:after="0"/>
            </w:pPr>
            <w:r>
              <w:rPr>
                <w:sz w:val="11"/>
              </w:rPr>
              <w:t>Multimodal concordance/localization</w:t>
            </w:r>
          </w:p>
        </w:tc>
        <w:tc>
          <w:tcPr>
            <w:tcW w:type="dxa" w:w="2570"/>
            <w:vAlign w:val="top"/>
          </w:tcPr>
          <w:p>
            <w:pPr>
              <w:spacing w:after="0"/>
            </w:pPr>
            <w:r>
              <w:rPr>
                <w:sz w:val="11"/>
              </w:rPr>
              <w:t>Project construct; no universal source-backed value set frozen.</w:t>
            </w:r>
          </w:p>
        </w:tc>
        <w:tc>
          <w:tcPr>
            <w:tcW w:type="dxa" w:w="2570"/>
            <w:vAlign w:val="top"/>
          </w:tcPr>
          <w:p>
            <w:pPr>
              <w:spacing w:after="0"/>
            </w:pPr>
            <w:r>
              <w:rPr>
                <w:sz w:val="11"/>
              </w:rPr>
              <w:t>No annotation/derived gold yet.</w:t>
            </w:r>
          </w:p>
        </w:tc>
        <w:tc>
          <w:tcPr>
            <w:tcW w:type="dxa" w:w="2570"/>
            <w:vAlign w:val="top"/>
          </w:tcPr>
          <w:p>
            <w:pPr>
              <w:spacing w:after="0"/>
            </w:pPr>
            <w:r>
              <w:rPr>
                <w:sz w:val="11"/>
              </w:rPr>
              <w:t>Later phase</w:t>
            </w:r>
          </w:p>
        </w:tc>
      </w:tr>
    </w:tbl>
    <w:p/>
    <w:p>
      <w:pPr>
        <w:pStyle w:val="Heading1"/>
      </w:pPr>
      <w:r>
        <w:t>17. Phase 4 release gate</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PASS — CORE ANNOTATION MANUAL; CONDITIONAL — FULL PRODUCTION</w:t>
              <w:br/>
            </w:r>
            <w:r>
              <w:t>The evidence-backed core annotation behavior is frozen. However, production annotation requiring detailed MRI taxonomy, detailed SCORE mappings, syndrome derivation, universal certainty/temporality normalization, computational DRE derivation, or multimodal concordance remains blocked until those source artifacts/rules are completed.</w:t>
            </w:r>
          </w:p>
        </w:tc>
      </w:tr>
    </w:tbl>
    <w:p/>
    <w:p>
      <w:r>
        <w:t>Because Phase 3D was not completed before this Phase 4 request, this manual deliberately refuses to invent the missing application-profile value sets. Phase 4 can be used now for pilot annotation of direct, source-grounded concepts; the blocked items should be closed in a Phase 3D/4.1 update before full-scale corpus annotation.</w:t>
      </w:r>
    </w:p>
    <w:p>
      <w:pPr>
        <w:pStyle w:val="Heading1"/>
      </w:pPr>
      <w:r>
        <w:t>18. Deliverables</w:t>
      </w:r>
    </w:p>
    <w:p>
      <w:pPr>
        <w:pStyle w:val="ListBullet"/>
      </w:pPr>
      <w:r>
        <w:t>MedAI_Phase4_Annotation_Rule_Registry_v1.0.csv</w:t>
      </w:r>
    </w:p>
    <w:p>
      <w:pPr>
        <w:pStyle w:val="ListBullet"/>
      </w:pPr>
      <w:r>
        <w:t>MedAI_Phase4_Annotation_Examples_v1.0.csv</w:t>
      </w:r>
    </w:p>
    <w:p>
      <w:pPr>
        <w:pStyle w:val="ListBullet"/>
      </w:pPr>
      <w:r>
        <w:t>MedAI_Phase4_Adjudication_Guide_v1.0.csv</w:t>
      </w:r>
    </w:p>
    <w:p>
      <w:pPr>
        <w:pStyle w:val="ListBullet"/>
      </w:pPr>
      <w:r>
        <w:t>MedAI_Phase4_Source_to_Rule_Matrix_v1.0.csv</w:t>
      </w:r>
    </w:p>
    <w:p>
      <w:pPr>
        <w:pStyle w:val="ListBullet"/>
      </w:pPr>
      <w:r>
        <w:t>MedAI_Phase4_Blocked_or_Unresolved_Rules_v1.0.csv</w:t>
      </w:r>
    </w:p>
    <w:p>
      <w:pPr>
        <w:pStyle w:val="ListBullet"/>
      </w:pPr>
      <w:r>
        <w:t>MedAI_Phase4_Annotation_Rules_v1.0.json</w:t>
      </w:r>
    </w:p>
    <w:p>
      <w:pPr>
        <w:pStyle w:val="Heading1"/>
      </w:pPr>
      <w:r>
        <w:t>19. Source basis</w:t>
      </w:r>
    </w:p>
    <w:p>
      <w:r>
        <w:t>1. Beniczky S, Trinka E, Wirrell E, et al. Updated classification of epileptic seizures. Epilepsia. 2025. DOI: 10.1111/epi.18338.</w:t>
      </w:r>
    </w:p>
    <w:p>
      <w:r>
        <w:t>2. Scheffer IE, Berkovic S, Capovilla G, et al. ILAE classification of the epilepsies. Epilepsia. 2017;58:512-521. DOI: 10.1111/epi.13709.</w:t>
      </w:r>
    </w:p>
    <w:p>
      <w:r>
        <w:t>3. ILAE Task Force on Nosology and Definitions. Classification and definition of epilepsy syndromes. Epilepsia position-paper series. 2022.</w:t>
      </w:r>
    </w:p>
    <w:p>
      <w:r>
        <w:t>4. Fonferko-Shadrach B, et al. Using natural language processing to extract structured epilepsy data from unstructured clinic letters: development and validation of ExECT. BMJ Open. 2019;9:e023232. DOI: 10.1136/bmjopen-2018-023232.</w:t>
      </w:r>
    </w:p>
    <w:p>
      <w:r>
        <w:t>5. Fonferko-Shadrach B, Strafford H, Jones C, et al. Annotation of epilepsy clinic letters for natural language processing. J Biomed Semantics. 2024;15:17. DOI: 10.1186/s13326-024-00316-z.</w:t>
      </w:r>
    </w:p>
    <w:p>
      <w:r>
        <w:t>6. Beniczky S, Aurlien H, Brøgger JC, et al. Standardized computer-based organized reporting of EEG: SCORE - Second version. Clin Neurophysiol. 2017;128:2334-2346. DOI: 10.1016/j.clinph.2017.07.418.</w:t>
      </w:r>
    </w:p>
    <w:p>
      <w:r>
        <w:t>7. Kwan P, Arzimanoglou A, Berg AT, et al. Definition of drug resistant epilepsy. Epilepsia. 2010;51:1069-1077. DOI: 10.1111/j.1528-1167.2009.02397.x.</w:t>
      </w:r>
    </w:p>
    <w:p>
      <w:r>
        <w:t>8. Abeysinghe R, et al. Leveraging pretrained language models for seizure frequency extraction from epilepsy evaluation reports. npj Digital Medicine. 2025.</w:t>
      </w:r>
    </w:p>
    <w:p>
      <w:r>
        <w:t>9. Blümcke I, Thom M, Aronica E, et al. International consensus classification of hippocampal sclerosis in temporal lobe epilepsy. Epilepsia. 2013. DOI: 10.1111/epi.12220.</w:t>
      </w:r>
    </w:p>
    <w:p>
      <w:r>
        <w:t>10. Najm I, et al. The ILAE consensus classification of focal cortical dysplasia: an update. Epilepsia. 2022. DOI: 10.1111/epi.17301.</w:t>
      </w:r>
    </w:p>
    <w:p>
      <w:r>
        <w:t>11. MedAI Phase 3B Source Taxonomy Reconstruction v1.0 and Phase 3C Clinical-Document Phenotype Model v1.0.</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