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65D"/>
          <w:sz w:val="64"/>
        </w:rPr>
        <w:t>MedAI / EpiSynth</w:t>
      </w:r>
    </w:p>
    <w:p>
      <w:pPr>
        <w:jc w:val="center"/>
      </w:pPr>
      <w:r>
        <w:rPr>
          <w:b/>
          <w:color w:val="2F5597"/>
          <w:sz w:val="40"/>
        </w:rPr>
        <w:t>Phase 5 — Synthetic Patient &amp; Event Model</w:t>
      </w:r>
    </w:p>
    <w:p>
      <w:pPr>
        <w:jc w:val="center"/>
      </w:pPr>
      <w:r>
        <w:rPr>
          <w:sz w:val="22"/>
        </w:rPr>
        <w:t>Version 1.0 • 25 September 2026</w:t>
        <w:br/>
        <w:t>Constrained latent truth before clinical-document generation</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Evidence rule</w:t>
              <w:br/>
            </w:r>
            <w:r>
              <w:t>Phase 5 does not invent a new epilepsy taxonomy or epidemiologic population. It generates benchmark patients only from fields permitted by the Phase 3D/4.1 gate. Sampling distributions are explicitly benchmark-design choices unless a separate source supports prevalence.</w:t>
            </w:r>
          </w:p>
        </w:tc>
      </w:tr>
    </w:tbl>
    <w:p/>
    <w:p>
      <w:r>
        <w:br w:type="page"/>
      </w:r>
    </w:p>
    <w:p>
      <w:pPr>
        <w:pStyle w:val="Heading1"/>
      </w:pPr>
      <w:r>
        <w:t>1. Purpose</w:t>
      </w:r>
    </w:p>
    <w:p>
      <w:r>
        <w:t>Phase 5 defines the structured latent patient/event truth from which later synthetic clinical documents will be generated. The architecture is deliberately truth-first: patient truth and events exist before prose. A future language model may render documents, but it is not allowed to create new canonical truth while writing them.</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Canonical pipeline</w:t>
              <w:br/>
            </w:r>
            <w:r>
              <w:t>SOURCE-BACKED VALUE SETS → synthetic Patient → time-stamped Events → document visibility → Phase 6 clinical-document rendering → gold Evidence/Assertions</w:t>
            </w:r>
          </w:p>
        </w:tc>
      </w:tr>
    </w:tbl>
    <w:p/>
    <w:p>
      <w:pPr>
        <w:pStyle w:val="Heading1"/>
      </w:pPr>
      <w:r>
        <w:t>2. What is source-backed versus project-designed</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3"/>
              </w:rPr>
              <w:t>Element</w:t>
            </w:r>
          </w:p>
        </w:tc>
        <w:tc>
          <w:tcPr>
            <w:tcW w:type="dxa" w:w="3427"/>
            <w:shd w:fill="D9EAF7"/>
          </w:tcPr>
          <w:p>
            <w:r>
              <w:rPr>
                <w:b/>
                <w:sz w:val="13"/>
              </w:rPr>
              <w:t>Status</w:t>
            </w:r>
          </w:p>
        </w:tc>
        <w:tc>
          <w:tcPr>
            <w:tcW w:type="dxa" w:w="3427"/>
            <w:shd w:fill="D9EAF7"/>
          </w:tcPr>
          <w:p>
            <w:r>
              <w:rPr>
                <w:b/>
                <w:sz w:val="13"/>
              </w:rPr>
              <w:t>Meaning</w:t>
            </w:r>
          </w:p>
        </w:tc>
      </w:tr>
      <w:tr>
        <w:tc>
          <w:tcPr>
            <w:tcW w:type="dxa" w:w="3427"/>
            <w:vAlign w:val="top"/>
          </w:tcPr>
          <w:p>
            <w:pPr>
              <w:spacing w:after="0"/>
            </w:pPr>
            <w:r>
              <w:rPr>
                <w:sz w:val="13"/>
              </w:rPr>
              <w:t>Epilepsy type / etiology</w:t>
            </w:r>
          </w:p>
        </w:tc>
        <w:tc>
          <w:tcPr>
            <w:tcW w:type="dxa" w:w="3427"/>
            <w:vAlign w:val="top"/>
          </w:tcPr>
          <w:p>
            <w:pPr>
              <w:spacing w:after="0"/>
            </w:pPr>
            <w:r>
              <w:rPr>
                <w:sz w:val="13"/>
              </w:rPr>
              <w:t>SOURCE-DEFINED</w:t>
            </w:r>
          </w:p>
        </w:tc>
        <w:tc>
          <w:tcPr>
            <w:tcW w:type="dxa" w:w="3427"/>
            <w:vAlign w:val="top"/>
          </w:tcPr>
          <w:p>
            <w:pPr>
              <w:spacing w:after="0"/>
            </w:pPr>
            <w:r>
              <w:rPr>
                <w:sz w:val="13"/>
              </w:rPr>
              <w:t>Values come from ILAE 2017.</w:t>
            </w:r>
          </w:p>
        </w:tc>
      </w:tr>
      <w:tr>
        <w:tc>
          <w:tcPr>
            <w:tcW w:type="dxa" w:w="3427"/>
            <w:vAlign w:val="top"/>
          </w:tcPr>
          <w:p>
            <w:pPr>
              <w:spacing w:after="0"/>
            </w:pPr>
            <w:r>
              <w:rPr>
                <w:sz w:val="13"/>
              </w:rPr>
              <w:t>Seizure main class/type</w:t>
            </w:r>
          </w:p>
        </w:tc>
        <w:tc>
          <w:tcPr>
            <w:tcW w:type="dxa" w:w="3427"/>
            <w:vAlign w:val="top"/>
          </w:tcPr>
          <w:p>
            <w:pPr>
              <w:spacing w:after="0"/>
            </w:pPr>
            <w:r>
              <w:rPr>
                <w:sz w:val="13"/>
              </w:rPr>
              <w:t>SOURCE-DEFINED</w:t>
            </w:r>
          </w:p>
        </w:tc>
        <w:tc>
          <w:tcPr>
            <w:tcW w:type="dxa" w:w="3427"/>
            <w:vAlign w:val="top"/>
          </w:tcPr>
          <w:p>
            <w:pPr>
              <w:spacing w:after="0"/>
            </w:pPr>
            <w:r>
              <w:rPr>
                <w:sz w:val="13"/>
              </w:rPr>
              <w:t>Values come from ILAE 2025 frozen hierarchy.</w:t>
            </w:r>
          </w:p>
        </w:tc>
      </w:tr>
      <w:tr>
        <w:tc>
          <w:tcPr>
            <w:tcW w:type="dxa" w:w="3427"/>
            <w:vAlign w:val="top"/>
          </w:tcPr>
          <w:p>
            <w:pPr>
              <w:spacing w:after="0"/>
            </w:pPr>
            <w:r>
              <w:rPr>
                <w:sz w:val="13"/>
              </w:rPr>
              <w:t>Syndrome list</w:t>
            </w:r>
          </w:p>
        </w:tc>
        <w:tc>
          <w:tcPr>
            <w:tcW w:type="dxa" w:w="3427"/>
            <w:vAlign w:val="top"/>
          </w:tcPr>
          <w:p>
            <w:pPr>
              <w:spacing w:after="0"/>
            </w:pPr>
            <w:r>
              <w:rPr>
                <w:sz w:val="13"/>
              </w:rPr>
              <w:t>SOURCE-LISTED</w:t>
            </w:r>
          </w:p>
        </w:tc>
        <w:tc>
          <w:tcPr>
            <w:tcW w:type="dxa" w:w="3427"/>
            <w:vAlign w:val="top"/>
          </w:tcPr>
          <w:p>
            <w:pPr>
              <w:spacing w:after="0"/>
            </w:pPr>
            <w:r>
              <w:rPr>
                <w:sz w:val="13"/>
              </w:rPr>
              <w:t>Direct labels only; criteria-derived syndrome remains blocked.</w:t>
            </w:r>
          </w:p>
        </w:tc>
      </w:tr>
      <w:tr>
        <w:tc>
          <w:tcPr>
            <w:tcW w:type="dxa" w:w="3427"/>
            <w:vAlign w:val="top"/>
          </w:tcPr>
          <w:p>
            <w:pPr>
              <w:spacing w:after="0"/>
            </w:pPr>
            <w:r>
              <w:rPr>
                <w:sz w:val="13"/>
              </w:rPr>
              <w:t>Seizure-frequency attributes</w:t>
            </w:r>
          </w:p>
        </w:tc>
        <w:tc>
          <w:tcPr>
            <w:tcW w:type="dxa" w:w="3427"/>
            <w:vAlign w:val="top"/>
          </w:tcPr>
          <w:p>
            <w:pPr>
              <w:spacing w:after="0"/>
            </w:pPr>
            <w:r>
              <w:rPr>
                <w:sz w:val="13"/>
              </w:rPr>
              <w:t>PUBLISHED-METHOD</w:t>
            </w:r>
          </w:p>
        </w:tc>
        <w:tc>
          <w:tcPr>
            <w:tcW w:type="dxa" w:w="3427"/>
            <w:vAlign w:val="top"/>
          </w:tcPr>
          <w:p>
            <w:pPr>
              <w:spacing w:after="0"/>
            </w:pPr>
            <w:r>
              <w:rPr>
                <w:sz w:val="13"/>
              </w:rPr>
              <w:t>Structure informed by ExECT/SZFreqExtract; pilot numeric distributions are not prevalence claims.</w:t>
            </w:r>
          </w:p>
        </w:tc>
      </w:tr>
      <w:tr>
        <w:tc>
          <w:tcPr>
            <w:tcW w:type="dxa" w:w="3427"/>
            <w:vAlign w:val="top"/>
          </w:tcPr>
          <w:p>
            <w:pPr>
              <w:spacing w:after="0"/>
            </w:pPr>
            <w:r>
              <w:rPr>
                <w:sz w:val="13"/>
              </w:rPr>
              <w:t>Patient/event/timeline objects</w:t>
            </w:r>
          </w:p>
        </w:tc>
        <w:tc>
          <w:tcPr>
            <w:tcW w:type="dxa" w:w="3427"/>
            <w:vAlign w:val="top"/>
          </w:tcPr>
          <w:p>
            <w:pPr>
              <w:spacing w:after="0"/>
            </w:pPr>
            <w:r>
              <w:rPr>
                <w:sz w:val="13"/>
              </w:rPr>
              <w:t>MEDAI-PROPOSED</w:t>
            </w:r>
          </w:p>
        </w:tc>
        <w:tc>
          <w:tcPr>
            <w:tcW w:type="dxa" w:w="3427"/>
            <w:vAlign w:val="top"/>
          </w:tcPr>
          <w:p>
            <w:pPr>
              <w:spacing w:after="0"/>
            </w:pPr>
            <w:r>
              <w:rPr>
                <w:sz w:val="13"/>
              </w:rPr>
              <w:t>Engineering representation for EpiSynth, not an ILAE standard.</w:t>
            </w:r>
          </w:p>
        </w:tc>
      </w:tr>
      <w:tr>
        <w:tc>
          <w:tcPr>
            <w:tcW w:type="dxa" w:w="3427"/>
            <w:vAlign w:val="top"/>
          </w:tcPr>
          <w:p>
            <w:pPr>
              <w:spacing w:after="0"/>
            </w:pPr>
            <w:r>
              <w:rPr>
                <w:sz w:val="13"/>
              </w:rPr>
              <w:t>Document visibility</w:t>
            </w:r>
          </w:p>
        </w:tc>
        <w:tc>
          <w:tcPr>
            <w:tcW w:type="dxa" w:w="3427"/>
            <w:vAlign w:val="top"/>
          </w:tcPr>
          <w:p>
            <w:pPr>
              <w:spacing w:after="0"/>
            </w:pPr>
            <w:r>
              <w:rPr>
                <w:sz w:val="13"/>
              </w:rPr>
              <w:t>MEDAI-PROPOSED</w:t>
            </w:r>
          </w:p>
        </w:tc>
        <w:tc>
          <w:tcPr>
            <w:tcW w:type="dxa" w:w="3427"/>
            <w:vAlign w:val="top"/>
          </w:tcPr>
          <w:p>
            <w:pPr>
              <w:spacing w:after="0"/>
            </w:pPr>
            <w:r>
              <w:rPr>
                <w:sz w:val="13"/>
              </w:rPr>
              <w:t>Controls what future documents can know.</w:t>
            </w:r>
          </w:p>
        </w:tc>
      </w:tr>
      <w:tr>
        <w:tc>
          <w:tcPr>
            <w:tcW w:type="dxa" w:w="3427"/>
            <w:vAlign w:val="top"/>
          </w:tcPr>
          <w:p>
            <w:pPr>
              <w:spacing w:after="0"/>
            </w:pPr>
            <w:r>
              <w:rPr>
                <w:sz w:val="13"/>
              </w:rPr>
              <w:t>Scenario sampling weights</w:t>
            </w:r>
          </w:p>
        </w:tc>
        <w:tc>
          <w:tcPr>
            <w:tcW w:type="dxa" w:w="3427"/>
            <w:vAlign w:val="top"/>
          </w:tcPr>
          <w:p>
            <w:pPr>
              <w:spacing w:after="0"/>
            </w:pPr>
            <w:r>
              <w:rPr>
                <w:sz w:val="13"/>
              </w:rPr>
              <w:t>MEDAI-PROPOSED</w:t>
            </w:r>
          </w:p>
        </w:tc>
        <w:tc>
          <w:tcPr>
            <w:tcW w:type="dxa" w:w="3427"/>
            <w:vAlign w:val="top"/>
          </w:tcPr>
          <w:p>
            <w:pPr>
              <w:spacing w:after="0"/>
            </w:pPr>
            <w:r>
              <w:rPr>
                <w:sz w:val="13"/>
              </w:rPr>
              <w:t>Benchmark design only; never epidemiologic prevalence.</w:t>
            </w:r>
          </w:p>
        </w:tc>
      </w:tr>
    </w:tbl>
    <w:p/>
    <w:p>
      <w:pPr>
        <w:pStyle w:val="Heading1"/>
      </w:pPr>
      <w:r>
        <w:t>3. Patient object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2"/>
              </w:rPr>
              <w:t>Field</w:t>
            </w:r>
          </w:p>
        </w:tc>
        <w:tc>
          <w:tcPr>
            <w:tcW w:type="dxa" w:w="2056"/>
            <w:shd w:fill="D9EAF7"/>
          </w:tcPr>
          <w:p>
            <w:r>
              <w:rPr>
                <w:b/>
                <w:sz w:val="12"/>
              </w:rPr>
              <w:t>Type</w:t>
            </w:r>
          </w:p>
        </w:tc>
        <w:tc>
          <w:tcPr>
            <w:tcW w:type="dxa" w:w="2056"/>
            <w:shd w:fill="D9EAF7"/>
          </w:tcPr>
          <w:p>
            <w:r>
              <w:rPr>
                <w:b/>
                <w:sz w:val="12"/>
              </w:rPr>
              <w:t>Definition</w:t>
            </w:r>
          </w:p>
        </w:tc>
        <w:tc>
          <w:tcPr>
            <w:tcW w:type="dxa" w:w="2056"/>
            <w:shd w:fill="D9EAF7"/>
          </w:tcPr>
          <w:p>
            <w:r>
              <w:rPr>
                <w:b/>
                <w:sz w:val="12"/>
              </w:rPr>
              <w:t>Authority</w:t>
            </w:r>
          </w:p>
        </w:tc>
        <w:tc>
          <w:tcPr>
            <w:tcW w:type="dxa" w:w="2056"/>
            <w:shd w:fill="D9EAF7"/>
          </w:tcPr>
          <w:p>
            <w:r>
              <w:rPr>
                <w:b/>
                <w:sz w:val="12"/>
              </w:rPr>
              <w:t>Constraint</w:t>
            </w:r>
          </w:p>
        </w:tc>
      </w:tr>
      <w:tr>
        <w:tc>
          <w:tcPr>
            <w:tcW w:type="dxa" w:w="2056"/>
            <w:vAlign w:val="top"/>
          </w:tcPr>
          <w:p>
            <w:pPr>
              <w:spacing w:after="0"/>
            </w:pPr>
            <w:r>
              <w:rPr>
                <w:sz w:val="11"/>
              </w:rPr>
              <w:t>patient_id</w:t>
            </w:r>
          </w:p>
        </w:tc>
        <w:tc>
          <w:tcPr>
            <w:tcW w:type="dxa" w:w="2056"/>
            <w:vAlign w:val="top"/>
          </w:tcPr>
          <w:p>
            <w:pPr>
              <w:spacing w:after="0"/>
            </w:pPr>
            <w:r>
              <w:rPr>
                <w:sz w:val="11"/>
              </w:rPr>
              <w:t>string</w:t>
            </w:r>
          </w:p>
        </w:tc>
        <w:tc>
          <w:tcPr>
            <w:tcW w:type="dxa" w:w="2056"/>
            <w:vAlign w:val="top"/>
          </w:tcPr>
          <w:p>
            <w:pPr>
              <w:spacing w:after="0"/>
            </w:pPr>
            <w:r>
              <w:rPr>
                <w:sz w:val="11"/>
              </w:rPr>
              <w:t>Synthetic identifier only</w:t>
            </w:r>
          </w:p>
        </w:tc>
        <w:tc>
          <w:tcPr>
            <w:tcW w:type="dxa" w:w="2056"/>
            <w:vAlign w:val="top"/>
          </w:tcPr>
          <w:p>
            <w:pPr>
              <w:spacing w:after="0"/>
            </w:pPr>
            <w:r>
              <w:rPr>
                <w:sz w:val="11"/>
              </w:rPr>
              <w:t>MEDAI-PROPOSED</w:t>
            </w:r>
          </w:p>
        </w:tc>
        <w:tc>
          <w:tcPr>
            <w:tcW w:type="dxa" w:w="2056"/>
            <w:vAlign w:val="top"/>
          </w:tcPr>
          <w:p>
            <w:pPr>
              <w:spacing w:after="0"/>
            </w:pPr>
            <w:r>
              <w:rPr>
                <w:sz w:val="11"/>
              </w:rPr>
              <w:t>No real identifiers</w:t>
            </w:r>
          </w:p>
        </w:tc>
      </w:tr>
      <w:tr>
        <w:tc>
          <w:tcPr>
            <w:tcW w:type="dxa" w:w="2056"/>
            <w:vAlign w:val="top"/>
          </w:tcPr>
          <w:p>
            <w:pPr>
              <w:spacing w:after="0"/>
            </w:pPr>
            <w:r>
              <w:rPr>
                <w:sz w:val="11"/>
              </w:rPr>
              <w:t>synthetic_flag</w:t>
            </w:r>
          </w:p>
        </w:tc>
        <w:tc>
          <w:tcPr>
            <w:tcW w:type="dxa" w:w="2056"/>
            <w:vAlign w:val="top"/>
          </w:tcPr>
          <w:p>
            <w:pPr>
              <w:spacing w:after="0"/>
            </w:pPr>
            <w:r>
              <w:rPr>
                <w:sz w:val="11"/>
              </w:rPr>
              <w:t>boolean</w:t>
            </w:r>
          </w:p>
        </w:tc>
        <w:tc>
          <w:tcPr>
            <w:tcW w:type="dxa" w:w="2056"/>
            <w:vAlign w:val="top"/>
          </w:tcPr>
          <w:p>
            <w:pPr>
              <w:spacing w:after="0"/>
            </w:pPr>
            <w:r>
              <w:rPr>
                <w:sz w:val="11"/>
              </w:rPr>
              <w:t>Always true in EpiSynth synthetic cohort</w:t>
            </w:r>
          </w:p>
        </w:tc>
        <w:tc>
          <w:tcPr>
            <w:tcW w:type="dxa" w:w="2056"/>
            <w:vAlign w:val="top"/>
          </w:tcPr>
          <w:p>
            <w:pPr>
              <w:spacing w:after="0"/>
            </w:pPr>
            <w:r>
              <w:rPr>
                <w:sz w:val="11"/>
              </w:rPr>
              <w:t>MEDAI-PROPOSED</w:t>
            </w:r>
          </w:p>
        </w:tc>
        <w:tc>
          <w:tcPr>
            <w:tcW w:type="dxa" w:w="2056"/>
            <w:vAlign w:val="top"/>
          </w:tcPr>
          <w:p>
            <w:pPr>
              <w:spacing w:after="0"/>
            </w:pPr>
            <w:r>
              <w:rPr>
                <w:sz w:val="11"/>
              </w:rPr>
              <w:t>Must be true</w:t>
            </w:r>
          </w:p>
        </w:tc>
      </w:tr>
      <w:tr>
        <w:tc>
          <w:tcPr>
            <w:tcW w:type="dxa" w:w="2056"/>
            <w:vAlign w:val="top"/>
          </w:tcPr>
          <w:p>
            <w:pPr>
              <w:spacing w:after="0"/>
            </w:pPr>
            <w:r>
              <w:rPr>
                <w:sz w:val="11"/>
              </w:rPr>
              <w:t>scenario_id</w:t>
            </w:r>
          </w:p>
        </w:tc>
        <w:tc>
          <w:tcPr>
            <w:tcW w:type="dxa" w:w="2056"/>
            <w:vAlign w:val="top"/>
          </w:tcPr>
          <w:p>
            <w:pPr>
              <w:spacing w:after="0"/>
            </w:pPr>
            <w:r>
              <w:rPr>
                <w:sz w:val="11"/>
              </w:rPr>
              <w:t>string</w:t>
            </w:r>
          </w:p>
        </w:tc>
        <w:tc>
          <w:tcPr>
            <w:tcW w:type="dxa" w:w="2056"/>
            <w:vAlign w:val="top"/>
          </w:tcPr>
          <w:p>
            <w:pPr>
              <w:spacing w:after="0"/>
            </w:pPr>
            <w:r>
              <w:rPr>
                <w:sz w:val="11"/>
              </w:rPr>
              <w:t>References a predefined generation scenario</w:t>
            </w:r>
          </w:p>
        </w:tc>
        <w:tc>
          <w:tcPr>
            <w:tcW w:type="dxa" w:w="2056"/>
            <w:vAlign w:val="top"/>
          </w:tcPr>
          <w:p>
            <w:pPr>
              <w:spacing w:after="0"/>
            </w:pPr>
            <w:r>
              <w:rPr>
                <w:sz w:val="11"/>
              </w:rPr>
              <w:t>MEDAI-PROPOSED</w:t>
            </w:r>
          </w:p>
        </w:tc>
        <w:tc>
          <w:tcPr>
            <w:tcW w:type="dxa" w:w="2056"/>
            <w:vAlign w:val="top"/>
          </w:tcPr>
          <w:p>
            <w:pPr>
              <w:spacing w:after="0"/>
            </w:pPr>
            <w:r>
              <w:rPr>
                <w:sz w:val="11"/>
              </w:rPr>
              <w:t>Scenario provenance</w:t>
            </w:r>
          </w:p>
        </w:tc>
      </w:tr>
      <w:tr>
        <w:tc>
          <w:tcPr>
            <w:tcW w:type="dxa" w:w="2056"/>
            <w:vAlign w:val="top"/>
          </w:tcPr>
          <w:p>
            <w:pPr>
              <w:spacing w:after="0"/>
            </w:pPr>
            <w:r>
              <w:rPr>
                <w:sz w:val="11"/>
              </w:rPr>
              <w:t>timeline_start</w:t>
            </w:r>
          </w:p>
        </w:tc>
        <w:tc>
          <w:tcPr>
            <w:tcW w:type="dxa" w:w="2056"/>
            <w:vAlign w:val="top"/>
          </w:tcPr>
          <w:p>
            <w:pPr>
              <w:spacing w:after="0"/>
            </w:pPr>
            <w:r>
              <w:rPr>
                <w:sz w:val="11"/>
              </w:rPr>
              <w:t>date/relative</w:t>
            </w:r>
          </w:p>
        </w:tc>
        <w:tc>
          <w:tcPr>
            <w:tcW w:type="dxa" w:w="2056"/>
            <w:vAlign w:val="top"/>
          </w:tcPr>
          <w:p>
            <w:pPr>
              <w:spacing w:after="0"/>
            </w:pPr>
            <w:r>
              <w:rPr>
                <w:sz w:val="11"/>
              </w:rPr>
              <w:t>Beginning of synthetic timeline</w:t>
            </w:r>
          </w:p>
        </w:tc>
        <w:tc>
          <w:tcPr>
            <w:tcW w:type="dxa" w:w="2056"/>
            <w:vAlign w:val="top"/>
          </w:tcPr>
          <w:p>
            <w:pPr>
              <w:spacing w:after="0"/>
            </w:pPr>
            <w:r>
              <w:rPr>
                <w:sz w:val="11"/>
              </w:rPr>
              <w:t>MEDAI-PROPOSED</w:t>
            </w:r>
          </w:p>
        </w:tc>
        <w:tc>
          <w:tcPr>
            <w:tcW w:type="dxa" w:w="2056"/>
            <w:vAlign w:val="top"/>
          </w:tcPr>
          <w:p>
            <w:pPr>
              <w:spacing w:after="0"/>
            </w:pPr>
            <w:r>
              <w:rPr>
                <w:sz w:val="11"/>
              </w:rPr>
              <w:t>May use relative synthetic dates</w:t>
            </w:r>
          </w:p>
        </w:tc>
      </w:tr>
      <w:tr>
        <w:tc>
          <w:tcPr>
            <w:tcW w:type="dxa" w:w="2056"/>
            <w:vAlign w:val="top"/>
          </w:tcPr>
          <w:p>
            <w:pPr>
              <w:spacing w:after="0"/>
            </w:pPr>
            <w:r>
              <w:rPr>
                <w:sz w:val="11"/>
              </w:rPr>
              <w:t>timeline_end</w:t>
            </w:r>
          </w:p>
        </w:tc>
        <w:tc>
          <w:tcPr>
            <w:tcW w:type="dxa" w:w="2056"/>
            <w:vAlign w:val="top"/>
          </w:tcPr>
          <w:p>
            <w:pPr>
              <w:spacing w:after="0"/>
            </w:pPr>
            <w:r>
              <w:rPr>
                <w:sz w:val="11"/>
              </w:rPr>
              <w:t>date/relative</w:t>
            </w:r>
          </w:p>
        </w:tc>
        <w:tc>
          <w:tcPr>
            <w:tcW w:type="dxa" w:w="2056"/>
            <w:vAlign w:val="top"/>
          </w:tcPr>
          <w:p>
            <w:pPr>
              <w:spacing w:after="0"/>
            </w:pPr>
            <w:r>
              <w:rPr>
                <w:sz w:val="11"/>
              </w:rPr>
              <w:t>End of synthetic timeline</w:t>
            </w:r>
          </w:p>
        </w:tc>
        <w:tc>
          <w:tcPr>
            <w:tcW w:type="dxa" w:w="2056"/>
            <w:vAlign w:val="top"/>
          </w:tcPr>
          <w:p>
            <w:pPr>
              <w:spacing w:after="0"/>
            </w:pPr>
            <w:r>
              <w:rPr>
                <w:sz w:val="11"/>
              </w:rPr>
              <w:t>MEDAI-PROPOSED</w:t>
            </w:r>
          </w:p>
        </w:tc>
        <w:tc>
          <w:tcPr>
            <w:tcW w:type="dxa" w:w="2056"/>
            <w:vAlign w:val="top"/>
          </w:tcPr>
          <w:p>
            <w:pPr>
              <w:spacing w:after="0"/>
            </w:pPr>
            <w:r>
              <w:rPr>
                <w:sz w:val="11"/>
              </w:rPr>
              <w:t>Must not precede start</w:t>
            </w:r>
          </w:p>
        </w:tc>
      </w:tr>
      <w:tr>
        <w:tc>
          <w:tcPr>
            <w:tcW w:type="dxa" w:w="2056"/>
            <w:vAlign w:val="top"/>
          </w:tcPr>
          <w:p>
            <w:pPr>
              <w:spacing w:after="0"/>
            </w:pPr>
            <w:r>
              <w:rPr>
                <w:sz w:val="11"/>
              </w:rPr>
              <w:t>epilepsy_type</w:t>
            </w:r>
          </w:p>
        </w:tc>
        <w:tc>
          <w:tcPr>
            <w:tcW w:type="dxa" w:w="2056"/>
            <w:vAlign w:val="top"/>
          </w:tcPr>
          <w:p>
            <w:pPr>
              <w:spacing w:after="0"/>
            </w:pPr>
            <w:r>
              <w:rPr>
                <w:sz w:val="11"/>
              </w:rPr>
              <w:t>enum/null</w:t>
            </w:r>
          </w:p>
        </w:tc>
        <w:tc>
          <w:tcPr>
            <w:tcW w:type="dxa" w:w="2056"/>
            <w:vAlign w:val="top"/>
          </w:tcPr>
          <w:p>
            <w:pPr>
              <w:spacing w:after="0"/>
            </w:pPr>
            <w:r>
              <w:rPr>
                <w:sz w:val="11"/>
              </w:rPr>
              <w:t>ILAE 2017: focal/generalized/combined generalized and focal/unknown</w:t>
            </w:r>
          </w:p>
        </w:tc>
        <w:tc>
          <w:tcPr>
            <w:tcW w:type="dxa" w:w="2056"/>
            <w:vAlign w:val="top"/>
          </w:tcPr>
          <w:p>
            <w:pPr>
              <w:spacing w:after="0"/>
            </w:pPr>
            <w:r>
              <w:rPr>
                <w:sz w:val="11"/>
              </w:rPr>
              <w:t>ILAE17</w:t>
            </w:r>
          </w:p>
        </w:tc>
        <w:tc>
          <w:tcPr>
            <w:tcW w:type="dxa" w:w="2056"/>
            <w:vAlign w:val="top"/>
          </w:tcPr>
          <w:p>
            <w:pPr>
              <w:spacing w:after="0"/>
            </w:pPr>
            <w:r>
              <w:rPr>
                <w:sz w:val="11"/>
              </w:rPr>
              <w:t>Only if scenario supports it</w:t>
            </w:r>
          </w:p>
        </w:tc>
      </w:tr>
      <w:tr>
        <w:tc>
          <w:tcPr>
            <w:tcW w:type="dxa" w:w="2056"/>
            <w:vAlign w:val="top"/>
          </w:tcPr>
          <w:p>
            <w:pPr>
              <w:spacing w:after="0"/>
            </w:pPr>
            <w:r>
              <w:rPr>
                <w:sz w:val="11"/>
              </w:rPr>
              <w:t>etiology_categories</w:t>
            </w:r>
          </w:p>
        </w:tc>
        <w:tc>
          <w:tcPr>
            <w:tcW w:type="dxa" w:w="2056"/>
            <w:vAlign w:val="top"/>
          </w:tcPr>
          <w:p>
            <w:pPr>
              <w:spacing w:after="0"/>
            </w:pPr>
            <w:r>
              <w:rPr>
                <w:sz w:val="11"/>
              </w:rPr>
              <w:t>list enum</w:t>
            </w:r>
          </w:p>
        </w:tc>
        <w:tc>
          <w:tcPr>
            <w:tcW w:type="dxa" w:w="2056"/>
            <w:vAlign w:val="top"/>
          </w:tcPr>
          <w:p>
            <w:pPr>
              <w:spacing w:after="0"/>
            </w:pPr>
            <w:r>
              <w:rPr>
                <w:sz w:val="11"/>
              </w:rPr>
              <w:t>ILAE 2017 six etiologic categories</w:t>
            </w:r>
          </w:p>
        </w:tc>
        <w:tc>
          <w:tcPr>
            <w:tcW w:type="dxa" w:w="2056"/>
            <w:vAlign w:val="top"/>
          </w:tcPr>
          <w:p>
            <w:pPr>
              <w:spacing w:after="0"/>
            </w:pPr>
            <w:r>
              <w:rPr>
                <w:sz w:val="11"/>
              </w:rPr>
              <w:t>ILAE17</w:t>
            </w:r>
          </w:p>
        </w:tc>
        <w:tc>
          <w:tcPr>
            <w:tcW w:type="dxa" w:w="2056"/>
            <w:vAlign w:val="top"/>
          </w:tcPr>
          <w:p>
            <w:pPr>
              <w:spacing w:after="0"/>
            </w:pPr>
            <w:r>
              <w:rPr>
                <w:sz w:val="11"/>
              </w:rPr>
              <w:t>Multiple categories may apply; no invented child hierarchy</w:t>
            </w:r>
          </w:p>
        </w:tc>
      </w:tr>
      <w:tr>
        <w:tc>
          <w:tcPr>
            <w:tcW w:type="dxa" w:w="2056"/>
            <w:vAlign w:val="top"/>
          </w:tcPr>
          <w:p>
            <w:pPr>
              <w:spacing w:after="0"/>
            </w:pPr>
            <w:r>
              <w:rPr>
                <w:sz w:val="11"/>
              </w:rPr>
              <w:t>syndrome_direct_label</w:t>
            </w:r>
          </w:p>
        </w:tc>
        <w:tc>
          <w:tcPr>
            <w:tcW w:type="dxa" w:w="2056"/>
            <w:vAlign w:val="top"/>
          </w:tcPr>
          <w:p>
            <w:pPr>
              <w:spacing w:after="0"/>
            </w:pPr>
            <w:r>
              <w:rPr>
                <w:sz w:val="11"/>
              </w:rPr>
              <w:t>string/null</w:t>
            </w:r>
          </w:p>
        </w:tc>
        <w:tc>
          <w:tcPr>
            <w:tcW w:type="dxa" w:w="2056"/>
            <w:vAlign w:val="top"/>
          </w:tcPr>
          <w:p>
            <w:pPr>
              <w:spacing w:after="0"/>
            </w:pPr>
            <w:r>
              <w:rPr>
                <w:sz w:val="11"/>
              </w:rPr>
              <w:t>Only source-listed/direct syndrome label when scenario explicitly includes a clinician-stated syndrome</w:t>
            </w:r>
          </w:p>
        </w:tc>
        <w:tc>
          <w:tcPr>
            <w:tcW w:type="dxa" w:w="2056"/>
            <w:vAlign w:val="top"/>
          </w:tcPr>
          <w:p>
            <w:pPr>
              <w:spacing w:after="0"/>
            </w:pPr>
            <w:r>
              <w:rPr>
                <w:sz w:val="11"/>
              </w:rPr>
              <w:t>ILAE22</w:t>
            </w:r>
          </w:p>
        </w:tc>
        <w:tc>
          <w:tcPr>
            <w:tcW w:type="dxa" w:w="2056"/>
            <w:vAlign w:val="top"/>
          </w:tcPr>
          <w:p>
            <w:pPr>
              <w:spacing w:after="0"/>
            </w:pPr>
            <w:r>
              <w:rPr>
                <w:sz w:val="11"/>
              </w:rPr>
              <w:t>No computational syndrome diagnosis</w:t>
            </w:r>
          </w:p>
        </w:tc>
      </w:tr>
      <w:tr>
        <w:tc>
          <w:tcPr>
            <w:tcW w:type="dxa" w:w="2056"/>
            <w:vAlign w:val="top"/>
          </w:tcPr>
          <w:p>
            <w:pPr>
              <w:spacing w:after="0"/>
            </w:pPr>
            <w:r>
              <w:rPr>
                <w:sz w:val="11"/>
              </w:rPr>
              <w:t>generation_profile_version</w:t>
            </w:r>
          </w:p>
        </w:tc>
        <w:tc>
          <w:tcPr>
            <w:tcW w:type="dxa" w:w="2056"/>
            <w:vAlign w:val="top"/>
          </w:tcPr>
          <w:p>
            <w:pPr>
              <w:spacing w:after="0"/>
            </w:pPr>
            <w:r>
              <w:rPr>
                <w:sz w:val="11"/>
              </w:rPr>
              <w:t>string</w:t>
            </w:r>
          </w:p>
        </w:tc>
        <w:tc>
          <w:tcPr>
            <w:tcW w:type="dxa" w:w="2056"/>
            <w:vAlign w:val="top"/>
          </w:tcPr>
          <w:p>
            <w:pPr>
              <w:spacing w:after="0"/>
            </w:pPr>
            <w:r>
              <w:rPr>
                <w:sz w:val="11"/>
              </w:rPr>
              <w:t>Phase 3D/4.1 application profile version</w:t>
            </w:r>
          </w:p>
        </w:tc>
        <w:tc>
          <w:tcPr>
            <w:tcW w:type="dxa" w:w="2056"/>
            <w:vAlign w:val="top"/>
          </w:tcPr>
          <w:p>
            <w:pPr>
              <w:spacing w:after="0"/>
            </w:pPr>
            <w:r>
              <w:rPr>
                <w:sz w:val="11"/>
              </w:rPr>
              <w:t>MEDAI-PROPOSED</w:t>
            </w:r>
          </w:p>
        </w:tc>
        <w:tc>
          <w:tcPr>
            <w:tcW w:type="dxa" w:w="2056"/>
            <w:vAlign w:val="top"/>
          </w:tcPr>
          <w:p>
            <w:pPr>
              <w:spacing w:after="0"/>
            </w:pPr>
            <w:r>
              <w:rPr>
                <w:sz w:val="11"/>
              </w:rPr>
              <w:t>Required provenance</w:t>
            </w:r>
          </w:p>
        </w:tc>
      </w:tr>
    </w:tbl>
    <w:p/>
    <w:p>
      <w:pPr>
        <w:pStyle w:val="Heading1"/>
      </w:pPr>
      <w:r>
        <w:t>4. Event object</w:t>
      </w:r>
    </w:p>
    <w:p>
      <w:r>
        <w:t>Clinical truth is represented as time-stamped events rather than a single flat patient row. This allows longitudinal seizure frequency, investigations, treatment exposure, changing documentation, and controlled disagreement without overwriting history.</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Field</w:t>
            </w:r>
          </w:p>
        </w:tc>
        <w:tc>
          <w:tcPr>
            <w:tcW w:type="dxa" w:w="2570"/>
            <w:shd w:fill="D9EAF7"/>
          </w:tcPr>
          <w:p>
            <w:r>
              <w:rPr>
                <w:b/>
                <w:sz w:val="12"/>
              </w:rPr>
              <w:t>Type</w:t>
            </w:r>
          </w:p>
        </w:tc>
        <w:tc>
          <w:tcPr>
            <w:tcW w:type="dxa" w:w="2570"/>
            <w:shd w:fill="D9EAF7"/>
          </w:tcPr>
          <w:p>
            <w:r>
              <w:rPr>
                <w:b/>
                <w:sz w:val="12"/>
              </w:rPr>
              <w:t>Definition</w:t>
            </w:r>
          </w:p>
        </w:tc>
        <w:tc>
          <w:tcPr>
            <w:tcW w:type="dxa" w:w="2570"/>
            <w:shd w:fill="D9EAF7"/>
          </w:tcPr>
          <w:p>
            <w:r>
              <w:rPr>
                <w:b/>
                <w:sz w:val="12"/>
              </w:rPr>
              <w:t>Authority</w:t>
            </w:r>
          </w:p>
        </w:tc>
      </w:tr>
      <w:tr>
        <w:tc>
          <w:tcPr>
            <w:tcW w:type="dxa" w:w="2570"/>
            <w:vAlign w:val="top"/>
          </w:tcPr>
          <w:p>
            <w:pPr>
              <w:spacing w:after="0"/>
            </w:pPr>
            <w:r>
              <w:rPr>
                <w:sz w:val="11"/>
              </w:rPr>
              <w:t>event_id</w:t>
            </w:r>
          </w:p>
        </w:tc>
        <w:tc>
          <w:tcPr>
            <w:tcW w:type="dxa" w:w="2570"/>
            <w:vAlign w:val="top"/>
          </w:tcPr>
          <w:p>
            <w:pPr>
              <w:spacing w:after="0"/>
            </w:pPr>
            <w:r>
              <w:rPr>
                <w:sz w:val="11"/>
              </w:rPr>
              <w:t>string</w:t>
            </w:r>
          </w:p>
        </w:tc>
        <w:tc>
          <w:tcPr>
            <w:tcW w:type="dxa" w:w="2570"/>
            <w:vAlign w:val="top"/>
          </w:tcPr>
          <w:p>
            <w:pPr>
              <w:spacing w:after="0"/>
            </w:pPr>
            <w:r>
              <w:rPr>
                <w:sz w:val="11"/>
              </w:rPr>
              <w:t>Unique synthetic event identifier</w:t>
            </w:r>
          </w:p>
        </w:tc>
        <w:tc>
          <w:tcPr>
            <w:tcW w:type="dxa" w:w="2570"/>
            <w:vAlign w:val="top"/>
          </w:tcPr>
          <w:p>
            <w:pPr>
              <w:spacing w:after="0"/>
            </w:pPr>
            <w:r>
              <w:rPr>
                <w:sz w:val="11"/>
              </w:rPr>
              <w:t>MEDAI-PROPOSED</w:t>
            </w:r>
          </w:p>
        </w:tc>
      </w:tr>
      <w:tr>
        <w:tc>
          <w:tcPr>
            <w:tcW w:type="dxa" w:w="2570"/>
            <w:vAlign w:val="top"/>
          </w:tcPr>
          <w:p>
            <w:pPr>
              <w:spacing w:after="0"/>
            </w:pPr>
            <w:r>
              <w:rPr>
                <w:sz w:val="11"/>
              </w:rPr>
              <w:t>patient_id</w:t>
            </w:r>
          </w:p>
        </w:tc>
        <w:tc>
          <w:tcPr>
            <w:tcW w:type="dxa" w:w="2570"/>
            <w:vAlign w:val="top"/>
          </w:tcPr>
          <w:p>
            <w:pPr>
              <w:spacing w:after="0"/>
            </w:pPr>
            <w:r>
              <w:rPr>
                <w:sz w:val="11"/>
              </w:rPr>
              <w:t>string</w:t>
            </w:r>
          </w:p>
        </w:tc>
        <w:tc>
          <w:tcPr>
            <w:tcW w:type="dxa" w:w="2570"/>
            <w:vAlign w:val="top"/>
          </w:tcPr>
          <w:p>
            <w:pPr>
              <w:spacing w:after="0"/>
            </w:pPr>
            <w:r>
              <w:rPr>
                <w:sz w:val="11"/>
              </w:rPr>
              <w:t>Synthetic patient foreign key</w:t>
            </w:r>
          </w:p>
        </w:tc>
        <w:tc>
          <w:tcPr>
            <w:tcW w:type="dxa" w:w="2570"/>
            <w:vAlign w:val="top"/>
          </w:tcPr>
          <w:p>
            <w:pPr>
              <w:spacing w:after="0"/>
            </w:pPr>
            <w:r>
              <w:rPr>
                <w:sz w:val="11"/>
              </w:rPr>
              <w:t>MEDAI-PROPOSED</w:t>
            </w:r>
          </w:p>
        </w:tc>
      </w:tr>
      <w:tr>
        <w:tc>
          <w:tcPr>
            <w:tcW w:type="dxa" w:w="2570"/>
            <w:vAlign w:val="top"/>
          </w:tcPr>
          <w:p>
            <w:pPr>
              <w:spacing w:after="0"/>
            </w:pPr>
            <w:r>
              <w:rPr>
                <w:sz w:val="11"/>
              </w:rPr>
              <w:t>event_type</w:t>
            </w:r>
          </w:p>
        </w:tc>
        <w:tc>
          <w:tcPr>
            <w:tcW w:type="dxa" w:w="2570"/>
            <w:vAlign w:val="top"/>
          </w:tcPr>
          <w:p>
            <w:pPr>
              <w:spacing w:after="0"/>
            </w:pPr>
            <w:r>
              <w:rPr>
                <w:sz w:val="11"/>
              </w:rPr>
              <w:t>enum</w:t>
            </w:r>
          </w:p>
        </w:tc>
        <w:tc>
          <w:tcPr>
            <w:tcW w:type="dxa" w:w="2570"/>
            <w:vAlign w:val="top"/>
          </w:tcPr>
          <w:p>
            <w:pPr>
              <w:spacing w:after="0"/>
            </w:pPr>
            <w:r>
              <w:rPr>
                <w:sz w:val="11"/>
              </w:rPr>
              <w:t>One of the frozen pilot event classes</w:t>
            </w:r>
          </w:p>
        </w:tc>
        <w:tc>
          <w:tcPr>
            <w:tcW w:type="dxa" w:w="2570"/>
            <w:vAlign w:val="top"/>
          </w:tcPr>
          <w:p>
            <w:pPr>
              <w:spacing w:after="0"/>
            </w:pPr>
            <w:r>
              <w:rPr>
                <w:sz w:val="11"/>
              </w:rPr>
              <w:t>MEDAI-PROPOSED organizational class</w:t>
            </w:r>
          </w:p>
        </w:tc>
      </w:tr>
      <w:tr>
        <w:tc>
          <w:tcPr>
            <w:tcW w:type="dxa" w:w="2570"/>
            <w:vAlign w:val="top"/>
          </w:tcPr>
          <w:p>
            <w:pPr>
              <w:spacing w:after="0"/>
            </w:pPr>
            <w:r>
              <w:rPr>
                <w:sz w:val="11"/>
              </w:rPr>
              <w:t>event_time</w:t>
            </w:r>
          </w:p>
        </w:tc>
        <w:tc>
          <w:tcPr>
            <w:tcW w:type="dxa" w:w="2570"/>
            <w:vAlign w:val="top"/>
          </w:tcPr>
          <w:p>
            <w:pPr>
              <w:spacing w:after="0"/>
            </w:pPr>
            <w:r>
              <w:rPr>
                <w:sz w:val="11"/>
              </w:rPr>
              <w:t>date/relative</w:t>
            </w:r>
          </w:p>
        </w:tc>
        <w:tc>
          <w:tcPr>
            <w:tcW w:type="dxa" w:w="2570"/>
            <w:vAlign w:val="top"/>
          </w:tcPr>
          <w:p>
            <w:pPr>
              <w:spacing w:after="0"/>
            </w:pPr>
            <w:r>
              <w:rPr>
                <w:sz w:val="11"/>
              </w:rPr>
              <w:t>Synthetic event time</w:t>
            </w:r>
          </w:p>
        </w:tc>
        <w:tc>
          <w:tcPr>
            <w:tcW w:type="dxa" w:w="2570"/>
            <w:vAlign w:val="top"/>
          </w:tcPr>
          <w:p>
            <w:pPr>
              <w:spacing w:after="0"/>
            </w:pPr>
            <w:r>
              <w:rPr>
                <w:sz w:val="11"/>
              </w:rPr>
              <w:t>MEDAI-PROPOSED</w:t>
            </w:r>
          </w:p>
        </w:tc>
      </w:tr>
      <w:tr>
        <w:tc>
          <w:tcPr>
            <w:tcW w:type="dxa" w:w="2570"/>
            <w:vAlign w:val="top"/>
          </w:tcPr>
          <w:p>
            <w:pPr>
              <w:spacing w:after="0"/>
            </w:pPr>
            <w:r>
              <w:rPr>
                <w:sz w:val="11"/>
              </w:rPr>
              <w:t>source_concept_id</w:t>
            </w:r>
          </w:p>
        </w:tc>
        <w:tc>
          <w:tcPr>
            <w:tcW w:type="dxa" w:w="2570"/>
            <w:vAlign w:val="top"/>
          </w:tcPr>
          <w:p>
            <w:pPr>
              <w:spacing w:after="0"/>
            </w:pPr>
            <w:r>
              <w:rPr>
                <w:sz w:val="11"/>
              </w:rPr>
              <w:t>string/null</w:t>
            </w:r>
          </w:p>
        </w:tc>
        <w:tc>
          <w:tcPr>
            <w:tcW w:type="dxa" w:w="2570"/>
            <w:vAlign w:val="top"/>
          </w:tcPr>
          <w:p>
            <w:pPr>
              <w:spacing w:after="0"/>
            </w:pPr>
            <w:r>
              <w:rPr>
                <w:sz w:val="11"/>
              </w:rPr>
              <w:t>Phase 3B source concept when available</w:t>
            </w:r>
          </w:p>
        </w:tc>
        <w:tc>
          <w:tcPr>
            <w:tcW w:type="dxa" w:w="2570"/>
            <w:vAlign w:val="top"/>
          </w:tcPr>
          <w:p>
            <w:pPr>
              <w:spacing w:after="0"/>
            </w:pPr>
            <w:r>
              <w:rPr>
                <w:sz w:val="11"/>
              </w:rPr>
              <w:t>SOURCE-MAPPED</w:t>
            </w:r>
          </w:p>
        </w:tc>
      </w:tr>
      <w:tr>
        <w:tc>
          <w:tcPr>
            <w:tcW w:type="dxa" w:w="2570"/>
            <w:vAlign w:val="top"/>
          </w:tcPr>
          <w:p>
            <w:pPr>
              <w:spacing w:after="0"/>
            </w:pPr>
            <w:r>
              <w:rPr>
                <w:sz w:val="11"/>
              </w:rPr>
              <w:t>value</w:t>
            </w:r>
          </w:p>
        </w:tc>
        <w:tc>
          <w:tcPr>
            <w:tcW w:type="dxa" w:w="2570"/>
            <w:vAlign w:val="top"/>
          </w:tcPr>
          <w:p>
            <w:pPr>
              <w:spacing w:after="0"/>
            </w:pPr>
            <w:r>
              <w:rPr>
                <w:sz w:val="11"/>
              </w:rPr>
              <w:t>structured/null</w:t>
            </w:r>
          </w:p>
        </w:tc>
        <w:tc>
          <w:tcPr>
            <w:tcW w:type="dxa" w:w="2570"/>
            <w:vAlign w:val="top"/>
          </w:tcPr>
          <w:p>
            <w:pPr>
              <w:spacing w:after="0"/>
            </w:pPr>
            <w:r>
              <w:rPr>
                <w:sz w:val="11"/>
              </w:rPr>
              <w:t>Only value allowed by Phase 3D/4.1 gate</w:t>
            </w:r>
          </w:p>
        </w:tc>
        <w:tc>
          <w:tcPr>
            <w:tcW w:type="dxa" w:w="2570"/>
            <w:vAlign w:val="top"/>
          </w:tcPr>
          <w:p>
            <w:pPr>
              <w:spacing w:after="0"/>
            </w:pPr>
            <w:r>
              <w:rPr>
                <w:sz w:val="11"/>
              </w:rPr>
              <w:t>SOURCE-MAPPED</w:t>
            </w:r>
          </w:p>
        </w:tc>
      </w:tr>
      <w:tr>
        <w:tc>
          <w:tcPr>
            <w:tcW w:type="dxa" w:w="2570"/>
            <w:vAlign w:val="top"/>
          </w:tcPr>
          <w:p>
            <w:pPr>
              <w:spacing w:after="0"/>
            </w:pPr>
            <w:r>
              <w:rPr>
                <w:sz w:val="11"/>
              </w:rPr>
              <w:t>assertion_layer</w:t>
            </w:r>
          </w:p>
        </w:tc>
        <w:tc>
          <w:tcPr>
            <w:tcW w:type="dxa" w:w="2570"/>
            <w:vAlign w:val="top"/>
          </w:tcPr>
          <w:p>
            <w:pPr>
              <w:spacing w:after="0"/>
            </w:pPr>
            <w:r>
              <w:rPr>
                <w:sz w:val="11"/>
              </w:rPr>
              <w:t>enum</w:t>
            </w:r>
          </w:p>
        </w:tc>
        <w:tc>
          <w:tcPr>
            <w:tcW w:type="dxa" w:w="2570"/>
            <w:vAlign w:val="top"/>
          </w:tcPr>
          <w:p>
            <w:pPr>
              <w:spacing w:after="0"/>
            </w:pPr>
            <w:r>
              <w:rPr>
                <w:sz w:val="11"/>
              </w:rPr>
              <w:t>Latent truth/direct-document target/derived target</w:t>
            </w:r>
          </w:p>
        </w:tc>
        <w:tc>
          <w:tcPr>
            <w:tcW w:type="dxa" w:w="2570"/>
            <w:vAlign w:val="top"/>
          </w:tcPr>
          <w:p>
            <w:pPr>
              <w:spacing w:after="0"/>
            </w:pPr>
            <w:r>
              <w:rPr>
                <w:sz w:val="11"/>
              </w:rPr>
              <w:t>MEDAI-PROPOSED</w:t>
            </w:r>
          </w:p>
        </w:tc>
      </w:tr>
      <w:tr>
        <w:tc>
          <w:tcPr>
            <w:tcW w:type="dxa" w:w="2570"/>
            <w:vAlign w:val="top"/>
          </w:tcPr>
          <w:p>
            <w:pPr>
              <w:spacing w:after="0"/>
            </w:pPr>
            <w:r>
              <w:rPr>
                <w:sz w:val="11"/>
              </w:rPr>
              <w:t>truth_status</w:t>
            </w:r>
          </w:p>
        </w:tc>
        <w:tc>
          <w:tcPr>
            <w:tcW w:type="dxa" w:w="2570"/>
            <w:vAlign w:val="top"/>
          </w:tcPr>
          <w:p>
            <w:pPr>
              <w:spacing w:after="0"/>
            </w:pPr>
            <w:r>
              <w:rPr>
                <w:sz w:val="11"/>
              </w:rPr>
              <w:t>enum</w:t>
            </w:r>
          </w:p>
        </w:tc>
        <w:tc>
          <w:tcPr>
            <w:tcW w:type="dxa" w:w="2570"/>
            <w:vAlign w:val="top"/>
          </w:tcPr>
          <w:p>
            <w:pPr>
              <w:spacing w:after="0"/>
            </w:pPr>
            <w:r>
              <w:rPr>
                <w:sz w:val="11"/>
              </w:rPr>
              <w:t>KNOWN / UNKNOWN / NOT_APPLICABLE / BLOCKED</w:t>
            </w:r>
          </w:p>
        </w:tc>
        <w:tc>
          <w:tcPr>
            <w:tcW w:type="dxa" w:w="2570"/>
            <w:vAlign w:val="top"/>
          </w:tcPr>
          <w:p>
            <w:pPr>
              <w:spacing w:after="0"/>
            </w:pPr>
            <w:r>
              <w:rPr>
                <w:sz w:val="11"/>
              </w:rPr>
              <w:t>MEDAI-PROPOSED</w:t>
            </w:r>
          </w:p>
        </w:tc>
      </w:tr>
      <w:tr>
        <w:tc>
          <w:tcPr>
            <w:tcW w:type="dxa" w:w="2570"/>
            <w:vAlign w:val="top"/>
          </w:tcPr>
          <w:p>
            <w:pPr>
              <w:spacing w:after="0"/>
            </w:pPr>
            <w:r>
              <w:rPr>
                <w:sz w:val="11"/>
              </w:rPr>
              <w:t>document_visibility</w:t>
            </w:r>
          </w:p>
        </w:tc>
        <w:tc>
          <w:tcPr>
            <w:tcW w:type="dxa" w:w="2570"/>
            <w:vAlign w:val="top"/>
          </w:tcPr>
          <w:p>
            <w:pPr>
              <w:spacing w:after="0"/>
            </w:pPr>
            <w:r>
              <w:rPr>
                <w:sz w:val="11"/>
              </w:rPr>
              <w:t>list</w:t>
            </w:r>
          </w:p>
        </w:tc>
        <w:tc>
          <w:tcPr>
            <w:tcW w:type="dxa" w:w="2570"/>
            <w:vAlign w:val="top"/>
          </w:tcPr>
          <w:p>
            <w:pPr>
              <w:spacing w:after="0"/>
            </w:pPr>
            <w:r>
              <w:rPr>
                <w:sz w:val="11"/>
              </w:rPr>
              <w:t>Which future document types may legitimately observe/render this event</w:t>
            </w:r>
          </w:p>
        </w:tc>
        <w:tc>
          <w:tcPr>
            <w:tcW w:type="dxa" w:w="2570"/>
            <w:vAlign w:val="top"/>
          </w:tcPr>
          <w:p>
            <w:pPr>
              <w:spacing w:after="0"/>
            </w:pPr>
            <w:r>
              <w:rPr>
                <w:sz w:val="11"/>
              </w:rPr>
              <w:t>MEDAI-PROPOSED</w:t>
            </w:r>
          </w:p>
        </w:tc>
      </w:tr>
      <w:tr>
        <w:tc>
          <w:tcPr>
            <w:tcW w:type="dxa" w:w="2570"/>
            <w:vAlign w:val="top"/>
          </w:tcPr>
          <w:p>
            <w:pPr>
              <w:spacing w:after="0"/>
            </w:pPr>
            <w:r>
              <w:rPr>
                <w:sz w:val="11"/>
              </w:rPr>
              <w:t>provenance_source</w:t>
            </w:r>
          </w:p>
        </w:tc>
        <w:tc>
          <w:tcPr>
            <w:tcW w:type="dxa" w:w="2570"/>
            <w:vAlign w:val="top"/>
          </w:tcPr>
          <w:p>
            <w:pPr>
              <w:spacing w:after="0"/>
            </w:pPr>
            <w:r>
              <w:rPr>
                <w:sz w:val="11"/>
              </w:rPr>
              <w:t>string</w:t>
            </w:r>
          </w:p>
        </w:tc>
        <w:tc>
          <w:tcPr>
            <w:tcW w:type="dxa" w:w="2570"/>
            <w:vAlign w:val="top"/>
          </w:tcPr>
          <w:p>
            <w:pPr>
              <w:spacing w:after="0"/>
            </w:pPr>
            <w:r>
              <w:rPr>
                <w:sz w:val="11"/>
              </w:rPr>
              <w:t>Source/rule supporting event semantics</w:t>
            </w:r>
          </w:p>
        </w:tc>
        <w:tc>
          <w:tcPr>
            <w:tcW w:type="dxa" w:w="2570"/>
            <w:vAlign w:val="top"/>
          </w:tcPr>
          <w:p>
            <w:pPr>
              <w:spacing w:after="0"/>
            </w:pPr>
            <w:r>
              <w:rPr>
                <w:sz w:val="11"/>
              </w:rPr>
              <w:t>MEDAI-PROPOSED provenance</w:t>
            </w:r>
          </w:p>
        </w:tc>
      </w:tr>
      <w:tr>
        <w:tc>
          <w:tcPr>
            <w:tcW w:type="dxa" w:w="2570"/>
            <w:vAlign w:val="top"/>
          </w:tcPr>
          <w:p>
            <w:pPr>
              <w:spacing w:after="0"/>
            </w:pPr>
            <w:r>
              <w:rPr>
                <w:sz w:val="11"/>
              </w:rPr>
              <w:t>generation_rule_id</w:t>
            </w:r>
          </w:p>
        </w:tc>
        <w:tc>
          <w:tcPr>
            <w:tcW w:type="dxa" w:w="2570"/>
            <w:vAlign w:val="top"/>
          </w:tcPr>
          <w:p>
            <w:pPr>
              <w:spacing w:after="0"/>
            </w:pPr>
            <w:r>
              <w:rPr>
                <w:sz w:val="11"/>
              </w:rPr>
              <w:t>string</w:t>
            </w:r>
          </w:p>
        </w:tc>
        <w:tc>
          <w:tcPr>
            <w:tcW w:type="dxa" w:w="2570"/>
            <w:vAlign w:val="top"/>
          </w:tcPr>
          <w:p>
            <w:pPr>
              <w:spacing w:after="0"/>
            </w:pPr>
            <w:r>
              <w:rPr>
                <w:sz w:val="11"/>
              </w:rPr>
              <w:t>Rule used to generate event</w:t>
            </w:r>
          </w:p>
        </w:tc>
        <w:tc>
          <w:tcPr>
            <w:tcW w:type="dxa" w:w="2570"/>
            <w:vAlign w:val="top"/>
          </w:tcPr>
          <w:p>
            <w:pPr>
              <w:spacing w:after="0"/>
            </w:pPr>
            <w:r>
              <w:rPr>
                <w:sz w:val="11"/>
              </w:rPr>
              <w:t>MEDAI-PROPOSED</w:t>
            </w:r>
          </w:p>
        </w:tc>
      </w:tr>
    </w:tbl>
    <w:p/>
    <w:p>
      <w:pPr>
        <w:pStyle w:val="Heading1"/>
      </w:pPr>
      <w:r>
        <w:t>5. Event classes permitted in the pilot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2"/>
              </w:rPr>
              <w:t>Truth field</w:t>
            </w:r>
          </w:p>
        </w:tc>
        <w:tc>
          <w:tcPr>
            <w:tcW w:type="dxa" w:w="2056"/>
            <w:shd w:fill="D9EAF7"/>
          </w:tcPr>
          <w:p>
            <w:r>
              <w:rPr>
                <w:b/>
                <w:sz w:val="12"/>
              </w:rPr>
              <w:t>Level</w:t>
            </w:r>
          </w:p>
        </w:tc>
        <w:tc>
          <w:tcPr>
            <w:tcW w:type="dxa" w:w="2056"/>
            <w:shd w:fill="D9EAF7"/>
          </w:tcPr>
          <w:p>
            <w:r>
              <w:rPr>
                <w:b/>
                <w:sz w:val="12"/>
              </w:rPr>
              <w:t>Source</w:t>
            </w:r>
          </w:p>
        </w:tc>
        <w:tc>
          <w:tcPr>
            <w:tcW w:type="dxa" w:w="2056"/>
            <w:shd w:fill="D9EAF7"/>
          </w:tcPr>
          <w:p>
            <w:r>
              <w:rPr>
                <w:b/>
                <w:sz w:val="12"/>
              </w:rPr>
              <w:t>Gate</w:t>
            </w:r>
          </w:p>
        </w:tc>
        <w:tc>
          <w:tcPr>
            <w:tcW w:type="dxa" w:w="2056"/>
            <w:shd w:fill="D9EAF7"/>
          </w:tcPr>
          <w:p>
            <w:r>
              <w:rPr>
                <w:b/>
                <w:sz w:val="12"/>
              </w:rPr>
              <w:t>Policy</w:t>
            </w:r>
          </w:p>
        </w:tc>
      </w:tr>
      <w:tr>
        <w:tc>
          <w:tcPr>
            <w:tcW w:type="dxa" w:w="2056"/>
            <w:vAlign w:val="top"/>
          </w:tcPr>
          <w:p>
            <w:pPr>
              <w:spacing w:after="0"/>
            </w:pPr>
            <w:r>
              <w:rPr>
                <w:sz w:val="11"/>
              </w:rPr>
              <w:t>epilepsy_type</w:t>
            </w:r>
          </w:p>
        </w:tc>
        <w:tc>
          <w:tcPr>
            <w:tcW w:type="dxa" w:w="2056"/>
            <w:vAlign w:val="top"/>
          </w:tcPr>
          <w:p>
            <w:pPr>
              <w:spacing w:after="0"/>
            </w:pPr>
            <w:r>
              <w:rPr>
                <w:sz w:val="11"/>
              </w:rPr>
              <w:t>patient-level</w:t>
            </w:r>
          </w:p>
        </w:tc>
        <w:tc>
          <w:tcPr>
            <w:tcW w:type="dxa" w:w="2056"/>
            <w:vAlign w:val="top"/>
          </w:tcPr>
          <w:p>
            <w:pPr>
              <w:spacing w:after="0"/>
            </w:pPr>
            <w:r>
              <w:rPr>
                <w:sz w:val="11"/>
              </w:rPr>
              <w:t>ILAE17</w:t>
            </w:r>
          </w:p>
        </w:tc>
        <w:tc>
          <w:tcPr>
            <w:tcW w:type="dxa" w:w="2056"/>
            <w:vAlign w:val="top"/>
          </w:tcPr>
          <w:p>
            <w:pPr>
              <w:spacing w:after="0"/>
            </w:pPr>
            <w:r>
              <w:rPr>
                <w:sz w:val="11"/>
              </w:rPr>
              <w:t>READY</w:t>
            </w:r>
          </w:p>
        </w:tc>
        <w:tc>
          <w:tcPr>
            <w:tcW w:type="dxa" w:w="2056"/>
            <w:vAlign w:val="top"/>
          </w:tcPr>
          <w:p>
            <w:pPr>
              <w:spacing w:after="0"/>
            </w:pPr>
            <w:r>
              <w:rPr>
                <w:sz w:val="11"/>
              </w:rPr>
              <w:t>Canonical source-defined value</w:t>
            </w:r>
          </w:p>
        </w:tc>
      </w:tr>
      <w:tr>
        <w:tc>
          <w:tcPr>
            <w:tcW w:type="dxa" w:w="2056"/>
            <w:vAlign w:val="top"/>
          </w:tcPr>
          <w:p>
            <w:pPr>
              <w:spacing w:after="0"/>
            </w:pPr>
            <w:r>
              <w:rPr>
                <w:sz w:val="11"/>
              </w:rPr>
              <w:t>seizure_main_class</w:t>
            </w:r>
          </w:p>
        </w:tc>
        <w:tc>
          <w:tcPr>
            <w:tcW w:type="dxa" w:w="2056"/>
            <w:vAlign w:val="top"/>
          </w:tcPr>
          <w:p>
            <w:pPr>
              <w:spacing w:after="0"/>
            </w:pPr>
            <w:r>
              <w:rPr>
                <w:sz w:val="11"/>
              </w:rPr>
              <w:t>event-level</w:t>
            </w:r>
          </w:p>
        </w:tc>
        <w:tc>
          <w:tcPr>
            <w:tcW w:type="dxa" w:w="2056"/>
            <w:vAlign w:val="top"/>
          </w:tcPr>
          <w:p>
            <w:pPr>
              <w:spacing w:after="0"/>
            </w:pPr>
            <w:r>
              <w:rPr>
                <w:sz w:val="11"/>
              </w:rPr>
              <w:t>ILAE25</w:t>
            </w:r>
          </w:p>
        </w:tc>
        <w:tc>
          <w:tcPr>
            <w:tcW w:type="dxa" w:w="2056"/>
            <w:vAlign w:val="top"/>
          </w:tcPr>
          <w:p>
            <w:pPr>
              <w:spacing w:after="0"/>
            </w:pPr>
            <w:r>
              <w:rPr>
                <w:sz w:val="11"/>
              </w:rPr>
              <w:t>READY</w:t>
            </w:r>
          </w:p>
        </w:tc>
        <w:tc>
          <w:tcPr>
            <w:tcW w:type="dxa" w:w="2056"/>
            <w:vAlign w:val="top"/>
          </w:tcPr>
          <w:p>
            <w:pPr>
              <w:spacing w:after="0"/>
            </w:pPr>
            <w:r>
              <w:rPr>
                <w:sz w:val="11"/>
              </w:rPr>
              <w:t>Canonical source-defined value</w:t>
            </w:r>
          </w:p>
        </w:tc>
      </w:tr>
      <w:tr>
        <w:tc>
          <w:tcPr>
            <w:tcW w:type="dxa" w:w="2056"/>
            <w:vAlign w:val="top"/>
          </w:tcPr>
          <w:p>
            <w:pPr>
              <w:spacing w:after="0"/>
            </w:pPr>
            <w:r>
              <w:rPr>
                <w:sz w:val="11"/>
              </w:rPr>
              <w:t>seizure_type</w:t>
            </w:r>
          </w:p>
        </w:tc>
        <w:tc>
          <w:tcPr>
            <w:tcW w:type="dxa" w:w="2056"/>
            <w:vAlign w:val="top"/>
          </w:tcPr>
          <w:p>
            <w:pPr>
              <w:spacing w:after="0"/>
            </w:pPr>
            <w:r>
              <w:rPr>
                <w:sz w:val="11"/>
              </w:rPr>
              <w:t>event-level</w:t>
            </w:r>
          </w:p>
        </w:tc>
        <w:tc>
          <w:tcPr>
            <w:tcW w:type="dxa" w:w="2056"/>
            <w:vAlign w:val="top"/>
          </w:tcPr>
          <w:p>
            <w:pPr>
              <w:spacing w:after="0"/>
            </w:pPr>
            <w:r>
              <w:rPr>
                <w:sz w:val="11"/>
              </w:rPr>
              <w:t>ILAE25</w:t>
            </w:r>
          </w:p>
        </w:tc>
        <w:tc>
          <w:tcPr>
            <w:tcW w:type="dxa" w:w="2056"/>
            <w:vAlign w:val="top"/>
          </w:tcPr>
          <w:p>
            <w:pPr>
              <w:spacing w:after="0"/>
            </w:pPr>
            <w:r>
              <w:rPr>
                <w:sz w:val="11"/>
              </w:rPr>
              <w:t>READY</w:t>
            </w:r>
          </w:p>
        </w:tc>
        <w:tc>
          <w:tcPr>
            <w:tcW w:type="dxa" w:w="2056"/>
            <w:vAlign w:val="top"/>
          </w:tcPr>
          <w:p>
            <w:pPr>
              <w:spacing w:after="0"/>
            </w:pPr>
            <w:r>
              <w:rPr>
                <w:sz w:val="11"/>
              </w:rPr>
              <w:t>Only verified Phase 3B Table-1 type</w:t>
            </w:r>
          </w:p>
        </w:tc>
      </w:tr>
      <w:tr>
        <w:tc>
          <w:tcPr>
            <w:tcW w:type="dxa" w:w="2056"/>
            <w:vAlign w:val="top"/>
          </w:tcPr>
          <w:p>
            <w:pPr>
              <w:spacing w:after="0"/>
            </w:pPr>
            <w:r>
              <w:rPr>
                <w:sz w:val="11"/>
              </w:rPr>
              <w:t>consciousness</w:t>
            </w:r>
          </w:p>
        </w:tc>
        <w:tc>
          <w:tcPr>
            <w:tcW w:type="dxa" w:w="2056"/>
            <w:vAlign w:val="top"/>
          </w:tcPr>
          <w:p>
            <w:pPr>
              <w:spacing w:after="0"/>
            </w:pPr>
            <w:r>
              <w:rPr>
                <w:sz w:val="11"/>
              </w:rPr>
              <w:t>event-level</w:t>
            </w:r>
          </w:p>
        </w:tc>
        <w:tc>
          <w:tcPr>
            <w:tcW w:type="dxa" w:w="2056"/>
            <w:vAlign w:val="top"/>
          </w:tcPr>
          <w:p>
            <w:pPr>
              <w:spacing w:after="0"/>
            </w:pPr>
            <w:r>
              <w:rPr>
                <w:sz w:val="11"/>
              </w:rPr>
              <w:t>ILAE25</w:t>
            </w:r>
          </w:p>
        </w:tc>
        <w:tc>
          <w:tcPr>
            <w:tcW w:type="dxa" w:w="2056"/>
            <w:vAlign w:val="top"/>
          </w:tcPr>
          <w:p>
            <w:pPr>
              <w:spacing w:after="0"/>
            </w:pPr>
            <w:r>
              <w:rPr>
                <w:sz w:val="11"/>
              </w:rPr>
              <w:t>READY_WITH_BOUNDARY</w:t>
            </w:r>
          </w:p>
        </w:tc>
        <w:tc>
          <w:tcPr>
            <w:tcW w:type="dxa" w:w="2056"/>
            <w:vAlign w:val="top"/>
          </w:tcPr>
          <w:p>
            <w:pPr>
              <w:spacing w:after="0"/>
            </w:pPr>
            <w:r>
              <w:rPr>
                <w:sz w:val="11"/>
              </w:rPr>
              <w:t>Preserved/impaired only when determinable</w:t>
            </w:r>
          </w:p>
        </w:tc>
      </w:tr>
      <w:tr>
        <w:tc>
          <w:tcPr>
            <w:tcW w:type="dxa" w:w="2056"/>
            <w:vAlign w:val="top"/>
          </w:tcPr>
          <w:p>
            <w:pPr>
              <w:spacing w:after="0"/>
            </w:pPr>
            <w:r>
              <w:rPr>
                <w:sz w:val="11"/>
              </w:rPr>
              <w:t>etiology_category</w:t>
            </w:r>
          </w:p>
        </w:tc>
        <w:tc>
          <w:tcPr>
            <w:tcW w:type="dxa" w:w="2056"/>
            <w:vAlign w:val="top"/>
          </w:tcPr>
          <w:p>
            <w:pPr>
              <w:spacing w:after="0"/>
            </w:pPr>
            <w:r>
              <w:rPr>
                <w:sz w:val="11"/>
              </w:rPr>
              <w:t>patient/event-level</w:t>
            </w:r>
          </w:p>
        </w:tc>
        <w:tc>
          <w:tcPr>
            <w:tcW w:type="dxa" w:w="2056"/>
            <w:vAlign w:val="top"/>
          </w:tcPr>
          <w:p>
            <w:pPr>
              <w:spacing w:after="0"/>
            </w:pPr>
            <w:r>
              <w:rPr>
                <w:sz w:val="11"/>
              </w:rPr>
              <w:t>ILAE17</w:t>
            </w:r>
          </w:p>
        </w:tc>
        <w:tc>
          <w:tcPr>
            <w:tcW w:type="dxa" w:w="2056"/>
            <w:vAlign w:val="top"/>
          </w:tcPr>
          <w:p>
            <w:pPr>
              <w:spacing w:after="0"/>
            </w:pPr>
            <w:r>
              <w:rPr>
                <w:sz w:val="11"/>
              </w:rPr>
              <w:t>READY</w:t>
            </w:r>
          </w:p>
        </w:tc>
        <w:tc>
          <w:tcPr>
            <w:tcW w:type="dxa" w:w="2056"/>
            <w:vAlign w:val="top"/>
          </w:tcPr>
          <w:p>
            <w:pPr>
              <w:spacing w:after="0"/>
            </w:pPr>
            <w:r>
              <w:rPr>
                <w:sz w:val="11"/>
              </w:rPr>
              <w:t>Six source-defined categories</w:t>
            </w:r>
          </w:p>
        </w:tc>
      </w:tr>
      <w:tr>
        <w:tc>
          <w:tcPr>
            <w:tcW w:type="dxa" w:w="2056"/>
            <w:vAlign w:val="top"/>
          </w:tcPr>
          <w:p>
            <w:pPr>
              <w:spacing w:after="0"/>
            </w:pPr>
            <w:r>
              <w:rPr>
                <w:sz w:val="11"/>
              </w:rPr>
              <w:t>syndrome_direct_label</w:t>
            </w:r>
          </w:p>
        </w:tc>
        <w:tc>
          <w:tcPr>
            <w:tcW w:type="dxa" w:w="2056"/>
            <w:vAlign w:val="top"/>
          </w:tcPr>
          <w:p>
            <w:pPr>
              <w:spacing w:after="0"/>
            </w:pPr>
            <w:r>
              <w:rPr>
                <w:sz w:val="11"/>
              </w:rPr>
              <w:t>patient/document target</w:t>
            </w:r>
          </w:p>
        </w:tc>
        <w:tc>
          <w:tcPr>
            <w:tcW w:type="dxa" w:w="2056"/>
            <w:vAlign w:val="top"/>
          </w:tcPr>
          <w:p>
            <w:pPr>
              <w:spacing w:after="0"/>
            </w:pPr>
            <w:r>
              <w:rPr>
                <w:sz w:val="11"/>
              </w:rPr>
              <w:t>ILAE22</w:t>
            </w:r>
          </w:p>
        </w:tc>
        <w:tc>
          <w:tcPr>
            <w:tcW w:type="dxa" w:w="2056"/>
            <w:vAlign w:val="top"/>
          </w:tcPr>
          <w:p>
            <w:pPr>
              <w:spacing w:after="0"/>
            </w:pPr>
            <w:r>
              <w:rPr>
                <w:sz w:val="11"/>
              </w:rPr>
              <w:t>READY_WITH_LIMIT</w:t>
            </w:r>
          </w:p>
        </w:tc>
        <w:tc>
          <w:tcPr>
            <w:tcW w:type="dxa" w:w="2056"/>
            <w:vAlign w:val="top"/>
          </w:tcPr>
          <w:p>
            <w:pPr>
              <w:spacing w:after="0"/>
            </w:pPr>
            <w:r>
              <w:rPr>
                <w:sz w:val="11"/>
              </w:rPr>
              <w:t>Direct/source-listed label only; no derived syndrome</w:t>
            </w:r>
          </w:p>
        </w:tc>
      </w:tr>
      <w:tr>
        <w:tc>
          <w:tcPr>
            <w:tcW w:type="dxa" w:w="2056"/>
            <w:vAlign w:val="top"/>
          </w:tcPr>
          <w:p>
            <w:pPr>
              <w:spacing w:after="0"/>
            </w:pPr>
            <w:r>
              <w:rPr>
                <w:sz w:val="11"/>
              </w:rPr>
              <w:t>seizure_frequency</w:t>
            </w:r>
          </w:p>
        </w:tc>
        <w:tc>
          <w:tcPr>
            <w:tcW w:type="dxa" w:w="2056"/>
            <w:vAlign w:val="top"/>
          </w:tcPr>
          <w:p>
            <w:pPr>
              <w:spacing w:after="0"/>
            </w:pPr>
            <w:r>
              <w:rPr>
                <w:sz w:val="11"/>
              </w:rPr>
              <w:t>interval-level</w:t>
            </w:r>
          </w:p>
        </w:tc>
        <w:tc>
          <w:tcPr>
            <w:tcW w:type="dxa" w:w="2056"/>
            <w:vAlign w:val="top"/>
          </w:tcPr>
          <w:p>
            <w:pPr>
              <w:spacing w:after="0"/>
            </w:pPr>
            <w:r>
              <w:rPr>
                <w:sz w:val="11"/>
              </w:rPr>
              <w:t>ExECT24/SZFreq25</w:t>
            </w:r>
          </w:p>
        </w:tc>
        <w:tc>
          <w:tcPr>
            <w:tcW w:type="dxa" w:w="2056"/>
            <w:vAlign w:val="top"/>
          </w:tcPr>
          <w:p>
            <w:pPr>
              <w:spacing w:after="0"/>
            </w:pPr>
            <w:r>
              <w:rPr>
                <w:sz w:val="11"/>
              </w:rPr>
              <w:t>READY_CORE</w:t>
            </w:r>
          </w:p>
        </w:tc>
        <w:tc>
          <w:tcPr>
            <w:tcW w:type="dxa" w:w="2056"/>
            <w:vAlign w:val="top"/>
          </w:tcPr>
          <w:p>
            <w:pPr>
              <w:spacing w:after="0"/>
            </w:pPr>
            <w:r>
              <w:rPr>
                <w:sz w:val="11"/>
              </w:rPr>
              <w:t>Explicit quantity/range + temporal unit/anchor</w:t>
            </w:r>
          </w:p>
        </w:tc>
      </w:tr>
      <w:tr>
        <w:tc>
          <w:tcPr>
            <w:tcW w:type="dxa" w:w="2056"/>
            <w:vAlign w:val="top"/>
          </w:tcPr>
          <w:p>
            <w:pPr>
              <w:spacing w:after="0"/>
            </w:pPr>
            <w:r>
              <w:rPr>
                <w:sz w:val="11"/>
              </w:rPr>
              <w:t>EEG_investigation_result</w:t>
            </w:r>
          </w:p>
        </w:tc>
        <w:tc>
          <w:tcPr>
            <w:tcW w:type="dxa" w:w="2056"/>
            <w:vAlign w:val="top"/>
          </w:tcPr>
          <w:p>
            <w:pPr>
              <w:spacing w:after="0"/>
            </w:pPr>
            <w:r>
              <w:rPr>
                <w:sz w:val="11"/>
              </w:rPr>
              <w:t>study-level</w:t>
            </w:r>
          </w:p>
        </w:tc>
        <w:tc>
          <w:tcPr>
            <w:tcW w:type="dxa" w:w="2056"/>
            <w:vAlign w:val="top"/>
          </w:tcPr>
          <w:p>
            <w:pPr>
              <w:spacing w:after="0"/>
            </w:pPr>
            <w:r>
              <w:rPr>
                <w:sz w:val="11"/>
              </w:rPr>
              <w:t>ExECT24</w:t>
            </w:r>
          </w:p>
        </w:tc>
        <w:tc>
          <w:tcPr>
            <w:tcW w:type="dxa" w:w="2056"/>
            <w:vAlign w:val="top"/>
          </w:tcPr>
          <w:p>
            <w:pPr>
              <w:spacing w:after="0"/>
            </w:pPr>
            <w:r>
              <w:rPr>
                <w:sz w:val="11"/>
              </w:rPr>
              <w:t>READY_CORE</w:t>
            </w:r>
          </w:p>
        </w:tc>
        <w:tc>
          <w:tcPr>
            <w:tcW w:type="dxa" w:w="2056"/>
            <w:vAlign w:val="top"/>
          </w:tcPr>
          <w:p>
            <w:pPr>
              <w:spacing w:after="0"/>
            </w:pPr>
            <w:r>
              <w:rPr>
                <w:sz w:val="11"/>
              </w:rPr>
              <w:t>Normal/abnormal/not stated in investigation layer</w:t>
            </w:r>
          </w:p>
        </w:tc>
      </w:tr>
      <w:tr>
        <w:tc>
          <w:tcPr>
            <w:tcW w:type="dxa" w:w="2056"/>
            <w:vAlign w:val="top"/>
          </w:tcPr>
          <w:p>
            <w:pPr>
              <w:spacing w:after="0"/>
            </w:pPr>
            <w:r>
              <w:rPr>
                <w:sz w:val="11"/>
              </w:rPr>
              <w:t>EEG_source_text_finding</w:t>
            </w:r>
          </w:p>
        </w:tc>
        <w:tc>
          <w:tcPr>
            <w:tcW w:type="dxa" w:w="2056"/>
            <w:vAlign w:val="top"/>
          </w:tcPr>
          <w:p>
            <w:pPr>
              <w:spacing w:after="0"/>
            </w:pPr>
            <w:r>
              <w:rPr>
                <w:sz w:val="11"/>
              </w:rPr>
              <w:t>study-level</w:t>
            </w:r>
          </w:p>
        </w:tc>
        <w:tc>
          <w:tcPr>
            <w:tcW w:type="dxa" w:w="2056"/>
            <w:vAlign w:val="top"/>
          </w:tcPr>
          <w:p>
            <w:pPr>
              <w:spacing w:after="0"/>
            </w:pPr>
            <w:r>
              <w:rPr>
                <w:sz w:val="11"/>
              </w:rPr>
              <w:t>SCORE17 + source text</w:t>
            </w:r>
          </w:p>
        </w:tc>
        <w:tc>
          <w:tcPr>
            <w:tcW w:type="dxa" w:w="2056"/>
            <w:vAlign w:val="top"/>
          </w:tcPr>
          <w:p>
            <w:pPr>
              <w:spacing w:after="0"/>
            </w:pPr>
            <w:r>
              <w:rPr>
                <w:sz w:val="11"/>
              </w:rPr>
              <w:t>READY_WITH_LIMIT</w:t>
            </w:r>
          </w:p>
        </w:tc>
        <w:tc>
          <w:tcPr>
            <w:tcW w:type="dxa" w:w="2056"/>
            <w:vAlign w:val="top"/>
          </w:tcPr>
          <w:p>
            <w:pPr>
              <w:spacing w:after="0"/>
            </w:pPr>
            <w:r>
              <w:rPr>
                <w:sz w:val="11"/>
              </w:rPr>
              <w:t>No invented detailed SCORE code</w:t>
            </w:r>
          </w:p>
        </w:tc>
      </w:tr>
      <w:tr>
        <w:tc>
          <w:tcPr>
            <w:tcW w:type="dxa" w:w="2056"/>
            <w:vAlign w:val="top"/>
          </w:tcPr>
          <w:p>
            <w:pPr>
              <w:spacing w:after="0"/>
            </w:pPr>
            <w:r>
              <w:rPr>
                <w:sz w:val="11"/>
              </w:rPr>
              <w:t>MRI_investigation_result</w:t>
            </w:r>
          </w:p>
        </w:tc>
        <w:tc>
          <w:tcPr>
            <w:tcW w:type="dxa" w:w="2056"/>
            <w:vAlign w:val="top"/>
          </w:tcPr>
          <w:p>
            <w:pPr>
              <w:spacing w:after="0"/>
            </w:pPr>
            <w:r>
              <w:rPr>
                <w:sz w:val="11"/>
              </w:rPr>
              <w:t>study-level</w:t>
            </w:r>
          </w:p>
        </w:tc>
        <w:tc>
          <w:tcPr>
            <w:tcW w:type="dxa" w:w="2056"/>
            <w:vAlign w:val="top"/>
          </w:tcPr>
          <w:p>
            <w:pPr>
              <w:spacing w:after="0"/>
            </w:pPr>
            <w:r>
              <w:rPr>
                <w:sz w:val="11"/>
              </w:rPr>
              <w:t>ExECT24</w:t>
            </w:r>
          </w:p>
        </w:tc>
        <w:tc>
          <w:tcPr>
            <w:tcW w:type="dxa" w:w="2056"/>
            <w:vAlign w:val="top"/>
          </w:tcPr>
          <w:p>
            <w:pPr>
              <w:spacing w:after="0"/>
            </w:pPr>
            <w:r>
              <w:rPr>
                <w:sz w:val="11"/>
              </w:rPr>
              <w:t>READY_CORE</w:t>
            </w:r>
          </w:p>
        </w:tc>
        <w:tc>
          <w:tcPr>
            <w:tcW w:type="dxa" w:w="2056"/>
            <w:vAlign w:val="top"/>
          </w:tcPr>
          <w:p>
            <w:pPr>
              <w:spacing w:after="0"/>
            </w:pPr>
            <w:r>
              <w:rPr>
                <w:sz w:val="11"/>
              </w:rPr>
              <w:t>Normal/abnormal/not stated in investigation layer</w:t>
            </w:r>
          </w:p>
        </w:tc>
      </w:tr>
      <w:tr>
        <w:tc>
          <w:tcPr>
            <w:tcW w:type="dxa" w:w="2056"/>
            <w:vAlign w:val="top"/>
          </w:tcPr>
          <w:p>
            <w:pPr>
              <w:spacing w:after="0"/>
            </w:pPr>
            <w:r>
              <w:rPr>
                <w:sz w:val="11"/>
              </w:rPr>
              <w:t>MRI_source_text_finding</w:t>
            </w:r>
          </w:p>
        </w:tc>
        <w:tc>
          <w:tcPr>
            <w:tcW w:type="dxa" w:w="2056"/>
            <w:vAlign w:val="top"/>
          </w:tcPr>
          <w:p>
            <w:pPr>
              <w:spacing w:after="0"/>
            </w:pPr>
            <w:r>
              <w:rPr>
                <w:sz w:val="11"/>
              </w:rPr>
              <w:t>study-level</w:t>
            </w:r>
          </w:p>
        </w:tc>
        <w:tc>
          <w:tcPr>
            <w:tcW w:type="dxa" w:w="2056"/>
            <w:vAlign w:val="top"/>
          </w:tcPr>
          <w:p>
            <w:pPr>
              <w:spacing w:after="0"/>
            </w:pPr>
            <w:r>
              <w:rPr>
                <w:sz w:val="11"/>
              </w:rPr>
              <w:t>source text</w:t>
            </w:r>
          </w:p>
        </w:tc>
        <w:tc>
          <w:tcPr>
            <w:tcW w:type="dxa" w:w="2056"/>
            <w:vAlign w:val="top"/>
          </w:tcPr>
          <w:p>
            <w:pPr>
              <w:spacing w:after="0"/>
            </w:pPr>
            <w:r>
              <w:rPr>
                <w:sz w:val="11"/>
              </w:rPr>
              <w:t>READY_WITH_LIMIT</w:t>
            </w:r>
          </w:p>
        </w:tc>
        <w:tc>
          <w:tcPr>
            <w:tcW w:type="dxa" w:w="2056"/>
            <w:vAlign w:val="top"/>
          </w:tcPr>
          <w:p>
            <w:pPr>
              <w:spacing w:after="0"/>
            </w:pPr>
            <w:r>
              <w:rPr>
                <w:sz w:val="11"/>
              </w:rPr>
              <w:t>No canonical lesion ontology</w:t>
            </w:r>
          </w:p>
        </w:tc>
      </w:tr>
      <w:tr>
        <w:tc>
          <w:tcPr>
            <w:tcW w:type="dxa" w:w="2056"/>
            <w:vAlign w:val="top"/>
          </w:tcPr>
          <w:p>
            <w:pPr>
              <w:spacing w:after="0"/>
            </w:pPr>
            <w:r>
              <w:rPr>
                <w:sz w:val="11"/>
              </w:rPr>
              <w:t>ASM_exposure</w:t>
            </w:r>
          </w:p>
        </w:tc>
        <w:tc>
          <w:tcPr>
            <w:tcW w:type="dxa" w:w="2056"/>
            <w:vAlign w:val="top"/>
          </w:tcPr>
          <w:p>
            <w:pPr>
              <w:spacing w:after="0"/>
            </w:pPr>
            <w:r>
              <w:rPr>
                <w:sz w:val="11"/>
              </w:rPr>
              <w:t>treatment-event</w:t>
            </w:r>
          </w:p>
        </w:tc>
        <w:tc>
          <w:tcPr>
            <w:tcW w:type="dxa" w:w="2056"/>
            <w:vAlign w:val="top"/>
          </w:tcPr>
          <w:p>
            <w:pPr>
              <w:spacing w:after="0"/>
            </w:pPr>
            <w:r>
              <w:rPr>
                <w:sz w:val="11"/>
              </w:rPr>
              <w:t>ExECT24/RxNorm method</w:t>
            </w:r>
          </w:p>
        </w:tc>
        <w:tc>
          <w:tcPr>
            <w:tcW w:type="dxa" w:w="2056"/>
            <w:vAlign w:val="top"/>
          </w:tcPr>
          <w:p>
            <w:pPr>
              <w:spacing w:after="0"/>
            </w:pPr>
            <w:r>
              <w:rPr>
                <w:sz w:val="11"/>
              </w:rPr>
              <w:t>READY_WITH_LIMIT</w:t>
            </w:r>
          </w:p>
        </w:tc>
        <w:tc>
          <w:tcPr>
            <w:tcW w:type="dxa" w:w="2056"/>
            <w:vAlign w:val="top"/>
          </w:tcPr>
          <w:p>
            <w:pPr>
              <w:spacing w:after="0"/>
            </w:pPr>
            <w:r>
              <w:rPr>
                <w:sz w:val="11"/>
              </w:rPr>
              <w:t>Drug string; exact RXCUI only after pinned lookup</w:t>
            </w:r>
          </w:p>
        </w:tc>
      </w:tr>
      <w:tr>
        <w:tc>
          <w:tcPr>
            <w:tcW w:type="dxa" w:w="2056"/>
            <w:vAlign w:val="top"/>
          </w:tcPr>
          <w:p>
            <w:pPr>
              <w:spacing w:after="0"/>
            </w:pPr>
            <w:r>
              <w:rPr>
                <w:sz w:val="11"/>
              </w:rPr>
              <w:t>DRE_direct_statement_target</w:t>
            </w:r>
          </w:p>
        </w:tc>
        <w:tc>
          <w:tcPr>
            <w:tcW w:type="dxa" w:w="2056"/>
            <w:vAlign w:val="top"/>
          </w:tcPr>
          <w:p>
            <w:pPr>
              <w:spacing w:after="0"/>
            </w:pPr>
            <w:r>
              <w:rPr>
                <w:sz w:val="11"/>
              </w:rPr>
              <w:t>document-level</w:t>
            </w:r>
          </w:p>
        </w:tc>
        <w:tc>
          <w:tcPr>
            <w:tcW w:type="dxa" w:w="2056"/>
            <w:vAlign w:val="top"/>
          </w:tcPr>
          <w:p>
            <w:pPr>
              <w:spacing w:after="0"/>
            </w:pPr>
            <w:r>
              <w:rPr>
                <w:sz w:val="11"/>
              </w:rPr>
              <w:t>DRE10</w:t>
            </w:r>
          </w:p>
        </w:tc>
        <w:tc>
          <w:tcPr>
            <w:tcW w:type="dxa" w:w="2056"/>
            <w:vAlign w:val="top"/>
          </w:tcPr>
          <w:p>
            <w:pPr>
              <w:spacing w:after="0"/>
            </w:pPr>
            <w:r>
              <w:rPr>
                <w:sz w:val="11"/>
              </w:rPr>
              <w:t>READY_DIRECT_ONLY</w:t>
            </w:r>
          </w:p>
        </w:tc>
        <w:tc>
          <w:tcPr>
            <w:tcW w:type="dxa" w:w="2056"/>
            <w:vAlign w:val="top"/>
          </w:tcPr>
          <w:p>
            <w:pPr>
              <w:spacing w:after="0"/>
            </w:pPr>
            <w:r>
              <w:rPr>
                <w:sz w:val="11"/>
              </w:rPr>
              <w:t>May render clinician statement in scenario; not criteria-derived truth</w:t>
            </w:r>
          </w:p>
        </w:tc>
      </w:tr>
      <w:tr>
        <w:tc>
          <w:tcPr>
            <w:tcW w:type="dxa" w:w="2056"/>
            <w:vAlign w:val="top"/>
          </w:tcPr>
          <w:p>
            <w:pPr>
              <w:spacing w:after="0"/>
            </w:pPr>
            <w:r>
              <w:rPr>
                <w:sz w:val="11"/>
              </w:rPr>
              <w:t>DRE_derived</w:t>
            </w:r>
          </w:p>
        </w:tc>
        <w:tc>
          <w:tcPr>
            <w:tcW w:type="dxa" w:w="2056"/>
            <w:vAlign w:val="top"/>
          </w:tcPr>
          <w:p>
            <w:pPr>
              <w:spacing w:after="0"/>
            </w:pPr>
            <w:r>
              <w:rPr>
                <w:sz w:val="11"/>
              </w:rPr>
              <w:t>patient-level</w:t>
            </w:r>
          </w:p>
        </w:tc>
        <w:tc>
          <w:tcPr>
            <w:tcW w:type="dxa" w:w="2056"/>
            <w:vAlign w:val="top"/>
          </w:tcPr>
          <w:p>
            <w:pPr>
              <w:spacing w:after="0"/>
            </w:pPr>
            <w:r>
              <w:rPr>
                <w:sz w:val="11"/>
              </w:rPr>
              <w:t>DRE10</w:t>
            </w:r>
          </w:p>
        </w:tc>
        <w:tc>
          <w:tcPr>
            <w:tcW w:type="dxa" w:w="2056"/>
            <w:vAlign w:val="top"/>
          </w:tcPr>
          <w:p>
            <w:pPr>
              <w:spacing w:after="0"/>
            </w:pPr>
            <w:r>
              <w:rPr>
                <w:sz w:val="11"/>
              </w:rPr>
              <w:t>BLOCKED</w:t>
            </w:r>
          </w:p>
        </w:tc>
        <w:tc>
          <w:tcPr>
            <w:tcW w:type="dxa" w:w="2056"/>
            <w:vAlign w:val="top"/>
          </w:tcPr>
          <w:p>
            <w:pPr>
              <w:spacing w:after="0"/>
            </w:pPr>
            <w:r>
              <w:rPr>
                <w:sz w:val="11"/>
              </w:rPr>
              <w:t>No latent derived DRE gold</w:t>
            </w:r>
          </w:p>
        </w:tc>
      </w:tr>
      <w:tr>
        <w:tc>
          <w:tcPr>
            <w:tcW w:type="dxa" w:w="2056"/>
            <w:vAlign w:val="top"/>
          </w:tcPr>
          <w:p>
            <w:pPr>
              <w:spacing w:after="0"/>
            </w:pPr>
            <w:r>
              <w:rPr>
                <w:sz w:val="11"/>
              </w:rPr>
              <w:t>multimodal_concordance</w:t>
            </w:r>
          </w:p>
        </w:tc>
        <w:tc>
          <w:tcPr>
            <w:tcW w:type="dxa" w:w="2056"/>
            <w:vAlign w:val="top"/>
          </w:tcPr>
          <w:p>
            <w:pPr>
              <w:spacing w:after="0"/>
            </w:pPr>
            <w:r>
              <w:rPr>
                <w:sz w:val="11"/>
              </w:rPr>
              <w:t>patient-level</w:t>
            </w:r>
          </w:p>
        </w:tc>
        <w:tc>
          <w:tcPr>
            <w:tcW w:type="dxa" w:w="2056"/>
            <w:vAlign w:val="top"/>
          </w:tcPr>
          <w:p>
            <w:pPr>
              <w:spacing w:after="0"/>
            </w:pPr>
            <w:r>
              <w:rPr>
                <w:sz w:val="11"/>
              </w:rPr>
              <w:t>MEDAI</w:t>
            </w:r>
          </w:p>
        </w:tc>
        <w:tc>
          <w:tcPr>
            <w:tcW w:type="dxa" w:w="2056"/>
            <w:vAlign w:val="top"/>
          </w:tcPr>
          <w:p>
            <w:pPr>
              <w:spacing w:after="0"/>
            </w:pPr>
            <w:r>
              <w:rPr>
                <w:sz w:val="11"/>
              </w:rPr>
              <w:t>BLOCKED</w:t>
            </w:r>
          </w:p>
        </w:tc>
        <w:tc>
          <w:tcPr>
            <w:tcW w:type="dxa" w:w="2056"/>
            <w:vAlign w:val="top"/>
          </w:tcPr>
          <w:p>
            <w:pPr>
              <w:spacing w:after="0"/>
            </w:pPr>
            <w:r>
              <w:rPr>
                <w:sz w:val="11"/>
              </w:rPr>
              <w:t>No gold value</w:t>
            </w:r>
          </w:p>
        </w:tc>
      </w:tr>
    </w:tbl>
    <w:p/>
    <w:tbl>
      <w:tblPr>
        <w:tblStyle w:val="TableGrid"/>
        <w:tblW w:type="auto" w:w="0"/>
        <w:tblLook w:firstColumn="1" w:firstRow="1" w:lastColumn="0" w:lastRow="0" w:noHBand="0" w:noVBand="1" w:val="04A0"/>
      </w:tblPr>
      <w:tblGrid>
        <w:gridCol w:w="10282"/>
      </w:tblGrid>
      <w:tr>
        <w:tc>
          <w:tcPr>
            <w:tcW w:type="dxa" w:w="10282"/>
            <w:shd w:fill="FFF2CC"/>
          </w:tcPr>
          <w:p>
            <w:r>
              <w:rPr>
                <w:b/>
                <w:color w:val="17365D"/>
              </w:rPr>
              <w:t>Blocked means blocked</w:t>
              <w:br/>
            </w:r>
            <w:r>
              <w:t>A blocked field is not filled with 'reasonable' values. It remains explicitly BLOCKED/null until the relevant source artifact or validated rule is completed.</w:t>
            </w:r>
          </w:p>
        </w:tc>
      </w:tr>
    </w:tbl>
    <w:p/>
    <w:p>
      <w:pPr>
        <w:pStyle w:val="Heading1"/>
      </w:pPr>
      <w:r>
        <w:t>6. Generation constraints</w:t>
      </w:r>
    </w:p>
    <w:p>
      <w:r>
        <w:t>G-001 [MEDAI-PROPOSED] — All generated patients are synthetic; never seed with real patient identifiers or verbatim real clinical text.</w:t>
      </w:r>
    </w:p>
    <w:p>
      <w:r>
        <w:t>G-002 [MEDAI-PROPOSED] — Patient truth is generated before documents. Future prose must be conditioned on structured events, not used to invent truth after the fact.</w:t>
      </w:r>
    </w:p>
    <w:p>
      <w:r>
        <w:t>G-003 [MEDAI-PROPOSED] — A field marked BLOCKED in Phase 3D/4.1 cannot be generated as canonical latent truth.</w:t>
      </w:r>
    </w:p>
    <w:p>
      <w:r>
        <w:t>G-004 [ILAE17] — Use only ILAE 2017 epilepsy-type and etiology values frozen in Phase 3D/4.1.</w:t>
      </w:r>
    </w:p>
    <w:p>
      <w:r>
        <w:t>G-005 [ILAE25] — Use only ILAE 2025 seizure main classes/types frozen in Phase 3B; stop at a parent class if scenario information is insufficient.</w:t>
      </w:r>
    </w:p>
    <w:p>
      <w:r>
        <w:t>G-006 [ILAE25] — Do not invent consciousness when unknown; preserve parent seizure class.</w:t>
      </w:r>
    </w:p>
    <w:p>
      <w:r>
        <w:t>G-007 [ILAE22 + MedAI] — Do not generate syndrome diagnosis from features. A syndrome label may only be an explicit scenario truth selected from a verified source-listed syndrome; syndrome-criteria generation remains blocked.</w:t>
      </w:r>
    </w:p>
    <w:p>
      <w:r>
        <w:t>G-008 [ILAE17] — Etiology is not forced into a MedAI child hierarchy. Multiple ILAE etiology categories may coexist where scenario explicitly specifies them.</w:t>
      </w:r>
    </w:p>
    <w:p>
      <w:r>
        <w:t>G-009 [ExECT24/SCORE17 + Phase3D] — EEG and MRI study events can carry investigation result plus source-text-level findings, but cannot use an unfrozen detailed taxonomy.</w:t>
      </w:r>
    </w:p>
    <w:p>
      <w:r>
        <w:t>G-010 [RxNorm method + Phase3D] — Medication events record source drug strings; normalized RXCUI is null until resolved against a pinned RxNorm release.</w:t>
      </w:r>
    </w:p>
    <w:p>
      <w:r>
        <w:t>G-011 [DRE10] — Do not derive DRE from medication count. Criteria-derived DRE truth remains blocked.</w:t>
      </w:r>
    </w:p>
    <w:p>
      <w:r>
        <w:t>G-012 [MEDAI-PROPOSED] — Each event has document_visibility. A future document generator may only reveal truth that its document class is allowed to know.</w:t>
      </w:r>
    </w:p>
    <w:p>
      <w:r>
        <w:t>G-013 [MEDAI-PROPOSED] — Conflicting documents must arise from controlled observation/reporting states, not from changing latent truth arbitrarily.</w:t>
      </w:r>
    </w:p>
    <w:p>
      <w:r>
        <w:t>G-014 [MEDAI-PROPOSED] — Unknown, not applicable, and blocked are distinct truth states.</w:t>
      </w:r>
    </w:p>
    <w:p>
      <w:r>
        <w:t>G-015 [MEDAI-PROPOSED] — Synthetic frequency values must be generated only from an explicit scenario distribution/range documented in the scenario registry; no claim that those distributions represent epidemiologic prevalence unless backed by a separate source.</w:t>
      </w:r>
    </w:p>
    <w:p>
      <w:r>
        <w:t>G-016 [MEDAI-PROPOSED] — Sampling weights in the pilot are benchmark-design choices, not disease prevalence estimates.</w:t>
      </w:r>
    </w:p>
    <w:p>
      <w:r>
        <w:t>The constraints are deliberately stricter than ordinary synthetic-data generation. Their purpose is to make every canonical label traceable either to an authoritative clinical source or to a clearly identified MedAI engineering rule.</w:t>
      </w:r>
    </w:p>
    <w:p>
      <w:pPr>
        <w:pStyle w:val="Heading1"/>
      </w:pPr>
      <w:r>
        <w:t>7. ILAE consistency rules</w:t>
      </w:r>
    </w:p>
    <w:p>
      <w:r>
        <w:t>The 2017 ILAE epilepsy framework defines seizure type, epilepsy type, and syndrome as distinct diagnostic levels and considers etiology at each stage. The 2025 seizure classification has four main classes and 21 seizure types, separates classifiers from descriptors, and instructs that if consciousness is undetermined the seizure remains at the parent focal or unknown-origin class. Phase 5 imports those source distinctions rather than flattening them.</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Important compatibility rule</w:t>
              <w:br/>
            </w:r>
            <w:r>
              <w:t>Phase 5 will not generate a more specific seizure label merely to make a case richer. Specificity is permitted only when the latent scenario actually contains the information needed for that source-defined level.</w:t>
            </w:r>
          </w:p>
        </w:tc>
      </w:tr>
    </w:tbl>
    <w:p/>
    <w:p>
      <w:pPr>
        <w:pStyle w:val="Heading1"/>
      </w:pPr>
      <w:r>
        <w:t>8. Syndrome policy</w:t>
      </w:r>
    </w:p>
    <w:p>
      <w:r>
        <w:t>The ILAE 2022 syndrome series provides syndrome-specific electroclinical criteria and expected investigation findings. Because those criteria have not yet been completely extracted into the MedAI evidence package, Phase 5 may select a verified source-listed syndrome only as an explicit scenario truth/direct future clinician label. It may not derive a syndrome from generated seizure, EEG, or MRI features.</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Why conservative?</w:t>
              <w:br/>
            </w:r>
            <w:r>
              <w:t>This prevents circular synthetic data in which we invent syndrome criteria, generate features from those invented criteria, and then report perfect recovery of our own assumptions.</w:t>
            </w:r>
          </w:p>
        </w:tc>
      </w:tr>
    </w:tbl>
    <w:p/>
    <w:p>
      <w:pPr>
        <w:pStyle w:val="Heading1"/>
      </w:pPr>
      <w:r>
        <w:t>9. EEG and MRI event policy</w:t>
      </w:r>
    </w:p>
    <w:p>
      <w:r>
        <w:t>EEG and MRI events are permitted at the level already supported by the application profile. They may carry investigation-level results and controlled source-text findings. They may not receive invented detailed SCORE codes, EpSO URIs, RadLex mappings, MRI lesion codes, or pathology subtypes.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3"/>
              </w:rPr>
              <w:t>Modality</w:t>
            </w:r>
          </w:p>
        </w:tc>
        <w:tc>
          <w:tcPr>
            <w:tcW w:type="dxa" w:w="3427"/>
            <w:shd w:fill="D9EAF7"/>
          </w:tcPr>
          <w:p>
            <w:r>
              <w:rPr>
                <w:b/>
                <w:sz w:val="13"/>
              </w:rPr>
              <w:t>Allowed</w:t>
            </w:r>
          </w:p>
        </w:tc>
        <w:tc>
          <w:tcPr>
            <w:tcW w:type="dxa" w:w="3427"/>
            <w:shd w:fill="D9EAF7"/>
          </w:tcPr>
          <w:p>
            <w:r>
              <w:rPr>
                <w:b/>
                <w:sz w:val="13"/>
              </w:rPr>
              <w:t>Not allowed</w:t>
            </w:r>
          </w:p>
        </w:tc>
      </w:tr>
      <w:tr>
        <w:tc>
          <w:tcPr>
            <w:tcW w:type="dxa" w:w="3427"/>
            <w:vAlign w:val="top"/>
          </w:tcPr>
          <w:p>
            <w:pPr>
              <w:spacing w:after="0"/>
            </w:pPr>
            <w:r>
              <w:rPr>
                <w:sz w:val="12"/>
              </w:rPr>
              <w:t>EEG</w:t>
            </w:r>
          </w:p>
        </w:tc>
        <w:tc>
          <w:tcPr>
            <w:tcW w:type="dxa" w:w="3427"/>
            <w:vAlign w:val="top"/>
          </w:tcPr>
          <w:p>
            <w:pPr>
              <w:spacing w:after="0"/>
            </w:pPr>
            <w:r>
              <w:rPr>
                <w:sz w:val="12"/>
              </w:rPr>
              <w:t>study event; normal/abnormal/not-stated investigation result; controlled textual finding</w:t>
            </w:r>
          </w:p>
        </w:tc>
        <w:tc>
          <w:tcPr>
            <w:tcW w:type="dxa" w:w="3427"/>
            <w:vAlign w:val="top"/>
          </w:tcPr>
          <w:p>
            <w:pPr>
              <w:spacing w:after="0"/>
            </w:pPr>
            <w:r>
              <w:rPr>
                <w:sz w:val="12"/>
              </w:rPr>
              <w:t>unverified SCORE term IDs; automatic epilepsy-type inference</w:t>
            </w:r>
          </w:p>
        </w:tc>
      </w:tr>
      <w:tr>
        <w:tc>
          <w:tcPr>
            <w:tcW w:type="dxa" w:w="3427"/>
            <w:vAlign w:val="top"/>
          </w:tcPr>
          <w:p>
            <w:pPr>
              <w:spacing w:after="0"/>
            </w:pPr>
            <w:r>
              <w:rPr>
                <w:sz w:val="12"/>
              </w:rPr>
              <w:t>MRI</w:t>
            </w:r>
          </w:p>
        </w:tc>
        <w:tc>
          <w:tcPr>
            <w:tcW w:type="dxa" w:w="3427"/>
            <w:vAlign w:val="top"/>
          </w:tcPr>
          <w:p>
            <w:pPr>
              <w:spacing w:after="0"/>
            </w:pPr>
            <w:r>
              <w:rPr>
                <w:sz w:val="12"/>
              </w:rPr>
              <w:t>study event; normal/abnormal/not-stated investigation result; controlled textual finding/impression</w:t>
            </w:r>
          </w:p>
        </w:tc>
        <w:tc>
          <w:tcPr>
            <w:tcW w:type="dxa" w:w="3427"/>
            <w:vAlign w:val="top"/>
          </w:tcPr>
          <w:p>
            <w:pPr>
              <w:spacing w:after="0"/>
            </w:pPr>
            <w:r>
              <w:rPr>
                <w:sz w:val="12"/>
              </w:rPr>
              <w:t>invented lesion ontology; pathology subtype from imaging</w:t>
            </w:r>
          </w:p>
        </w:tc>
      </w:tr>
      <w:tr>
        <w:tc>
          <w:tcPr>
            <w:tcW w:type="dxa" w:w="3427"/>
            <w:vAlign w:val="top"/>
          </w:tcPr>
          <w:p>
            <w:pPr>
              <w:spacing w:after="0"/>
            </w:pPr>
            <w:r>
              <w:rPr>
                <w:sz w:val="12"/>
              </w:rPr>
              <w:t>Pathology</w:t>
            </w:r>
          </w:p>
        </w:tc>
        <w:tc>
          <w:tcPr>
            <w:tcW w:type="dxa" w:w="3427"/>
            <w:vAlign w:val="top"/>
          </w:tcPr>
          <w:p>
            <w:pPr>
              <w:spacing w:after="0"/>
            </w:pPr>
            <w:r>
              <w:rPr>
                <w:sz w:val="12"/>
              </w:rPr>
              <w:t>Not part of Phase-5 core pilot unless separately specified from a frozen pathology taxonomy</w:t>
            </w:r>
          </w:p>
        </w:tc>
        <w:tc>
          <w:tcPr>
            <w:tcW w:type="dxa" w:w="3427"/>
            <w:vAlign w:val="top"/>
          </w:tcPr>
          <w:p>
            <w:pPr>
              <w:spacing w:after="0"/>
            </w:pPr>
            <w:r>
              <w:rPr>
                <w:sz w:val="12"/>
              </w:rPr>
              <w:t>using MRI wording as pathology truth</w:t>
            </w:r>
          </w:p>
        </w:tc>
      </w:tr>
    </w:tbl>
    <w:p/>
    <w:p>
      <w:pPr>
        <w:pStyle w:val="Heading1"/>
      </w:pPr>
      <w:r>
        <w:t>10. Medication and DRE policy</w:t>
      </w:r>
    </w:p>
    <w:p>
      <w:r>
        <w:t>Medication exposure can be represented because published epilepsy NLP resources annotate prescriptions and RxNorm supplies a normalization method. Exact RXCUIs remain unresolved until a pinned release is queried. Drug-resistant epilepsy is more constrained: the ILAE consensus requires failure of adequate trials of two tolerated, appropriately chosen and used drug schedules to achieve sustained seizure freedom. Therefore Phase 5 does not derive DRE from medication counts.</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Permitted DRE experiment</w:t>
              <w:br/>
            </w:r>
            <w:r>
              <w:t>A scenario may contain a future clinician-authored direct statement such as 'drug-resistant epilepsy' so Paper 1 can test text extraction. That statement is not treated as independently criteria-validated DRE truth.</w:t>
            </w:r>
          </w:p>
        </w:tc>
      </w:tr>
    </w:tbl>
    <w:p/>
    <w:p>
      <w:pPr>
        <w:pStyle w:val="Heading1"/>
      </w:pPr>
      <w:r>
        <w:t>11. Document visibility: preventing omniscient synthetic notes</w:t>
      </w:r>
    </w:p>
    <w:p>
      <w:r>
        <w:t>Each event declares which future document types may observe it. This is a MedAI design mechanism, not a clinical standard. It is necessary because real records distribute information unevenly across MRI reports, EEG reports, progress notes, EMU summaries, conference notes, and discharge documents.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3"/>
              </w:rPr>
              <w:t>Example event</w:t>
            </w:r>
          </w:p>
        </w:tc>
        <w:tc>
          <w:tcPr>
            <w:tcW w:type="dxa" w:w="3427"/>
            <w:shd w:fill="D9EAF7"/>
          </w:tcPr>
          <w:p>
            <w:r>
              <w:rPr>
                <w:b/>
                <w:sz w:val="13"/>
              </w:rPr>
              <w:t>Possible visibility</w:t>
            </w:r>
          </w:p>
        </w:tc>
        <w:tc>
          <w:tcPr>
            <w:tcW w:type="dxa" w:w="3427"/>
            <w:shd w:fill="D9EAF7"/>
          </w:tcPr>
          <w:p>
            <w:r>
              <w:rPr>
                <w:b/>
                <w:sz w:val="13"/>
              </w:rPr>
              <w:t>Reason</w:t>
            </w:r>
          </w:p>
        </w:tc>
      </w:tr>
      <w:tr>
        <w:tc>
          <w:tcPr>
            <w:tcW w:type="dxa" w:w="3427"/>
            <w:vAlign w:val="top"/>
          </w:tcPr>
          <w:p>
            <w:pPr>
              <w:spacing w:after="0"/>
            </w:pPr>
            <w:r>
              <w:rPr>
                <w:sz w:val="12"/>
              </w:rPr>
              <w:t>MRI imaging finding</w:t>
            </w:r>
          </w:p>
        </w:tc>
        <w:tc>
          <w:tcPr>
            <w:tcW w:type="dxa" w:w="3427"/>
            <w:vAlign w:val="top"/>
          </w:tcPr>
          <w:p>
            <w:pPr>
              <w:spacing w:after="0"/>
            </w:pPr>
            <w:r>
              <w:rPr>
                <w:sz w:val="12"/>
              </w:rPr>
              <w:t>MRI report; later neurology/presurgical summary</w:t>
            </w:r>
          </w:p>
        </w:tc>
        <w:tc>
          <w:tcPr>
            <w:tcW w:type="dxa" w:w="3427"/>
            <w:vAlign w:val="top"/>
          </w:tcPr>
          <w:p>
            <w:pPr>
              <w:spacing w:after="0"/>
            </w:pPr>
            <w:r>
              <w:rPr>
                <w:sz w:val="12"/>
              </w:rPr>
              <w:t>Radiology originates finding; later notes may summarize it.</w:t>
            </w:r>
          </w:p>
        </w:tc>
      </w:tr>
      <w:tr>
        <w:tc>
          <w:tcPr>
            <w:tcW w:type="dxa" w:w="3427"/>
            <w:vAlign w:val="top"/>
          </w:tcPr>
          <w:p>
            <w:pPr>
              <w:spacing w:after="0"/>
            </w:pPr>
            <w:r>
              <w:rPr>
                <w:sz w:val="12"/>
              </w:rPr>
              <w:t>EEG interictal finding</w:t>
            </w:r>
          </w:p>
        </w:tc>
        <w:tc>
          <w:tcPr>
            <w:tcW w:type="dxa" w:w="3427"/>
            <w:vAlign w:val="top"/>
          </w:tcPr>
          <w:p>
            <w:pPr>
              <w:spacing w:after="0"/>
            </w:pPr>
            <w:r>
              <w:rPr>
                <w:sz w:val="12"/>
              </w:rPr>
              <w:t>EEG/EMU report; later neurology/presurgical summary</w:t>
            </w:r>
          </w:p>
        </w:tc>
        <w:tc>
          <w:tcPr>
            <w:tcW w:type="dxa" w:w="3427"/>
            <w:vAlign w:val="top"/>
          </w:tcPr>
          <w:p>
            <w:pPr>
              <w:spacing w:after="0"/>
            </w:pPr>
            <w:r>
              <w:rPr>
                <w:sz w:val="12"/>
              </w:rPr>
              <w:t>EEG report originates interpretation.</w:t>
            </w:r>
          </w:p>
        </w:tc>
      </w:tr>
      <w:tr>
        <w:tc>
          <w:tcPr>
            <w:tcW w:type="dxa" w:w="3427"/>
            <w:vAlign w:val="top"/>
          </w:tcPr>
          <w:p>
            <w:pPr>
              <w:spacing w:after="0"/>
            </w:pPr>
            <w:r>
              <w:rPr>
                <w:sz w:val="12"/>
              </w:rPr>
              <w:t>ASM exposure</w:t>
            </w:r>
          </w:p>
        </w:tc>
        <w:tc>
          <w:tcPr>
            <w:tcW w:type="dxa" w:w="3427"/>
            <w:vAlign w:val="top"/>
          </w:tcPr>
          <w:p>
            <w:pPr>
              <w:spacing w:after="0"/>
            </w:pPr>
            <w:r>
              <w:rPr>
                <w:sz w:val="12"/>
              </w:rPr>
              <w:t>Progress/discharge/presurgical note</w:t>
            </w:r>
          </w:p>
        </w:tc>
        <w:tc>
          <w:tcPr>
            <w:tcW w:type="dxa" w:w="3427"/>
            <w:vAlign w:val="top"/>
          </w:tcPr>
          <w:p>
            <w:pPr>
              <w:spacing w:after="0"/>
            </w:pPr>
            <w:r>
              <w:rPr>
                <w:sz w:val="12"/>
              </w:rPr>
              <w:t>Treatment history is clinical-note information.</w:t>
            </w:r>
          </w:p>
        </w:tc>
      </w:tr>
      <w:tr>
        <w:tc>
          <w:tcPr>
            <w:tcW w:type="dxa" w:w="3427"/>
            <w:vAlign w:val="top"/>
          </w:tcPr>
          <w:p>
            <w:pPr>
              <w:spacing w:after="0"/>
            </w:pPr>
            <w:r>
              <w:rPr>
                <w:sz w:val="12"/>
              </w:rPr>
              <w:t>Seizure frequency interval</w:t>
            </w:r>
          </w:p>
        </w:tc>
        <w:tc>
          <w:tcPr>
            <w:tcW w:type="dxa" w:w="3427"/>
            <w:vAlign w:val="top"/>
          </w:tcPr>
          <w:p>
            <w:pPr>
              <w:spacing w:after="0"/>
            </w:pPr>
            <w:r>
              <w:rPr>
                <w:sz w:val="12"/>
              </w:rPr>
              <w:t>Progress/consult/presurgical note</w:t>
            </w:r>
          </w:p>
        </w:tc>
        <w:tc>
          <w:tcPr>
            <w:tcW w:type="dxa" w:w="3427"/>
            <w:vAlign w:val="top"/>
          </w:tcPr>
          <w:p>
            <w:pPr>
              <w:spacing w:after="0"/>
            </w:pPr>
            <w:r>
              <w:rPr>
                <w:sz w:val="12"/>
              </w:rPr>
              <w:t>Frequency usually arises from history/documentation.</w:t>
            </w:r>
          </w:p>
        </w:tc>
      </w:tr>
      <w:tr>
        <w:tc>
          <w:tcPr>
            <w:tcW w:type="dxa" w:w="3427"/>
            <w:vAlign w:val="top"/>
          </w:tcPr>
          <w:p>
            <w:pPr>
              <w:spacing w:after="0"/>
            </w:pPr>
            <w:r>
              <w:rPr>
                <w:sz w:val="12"/>
              </w:rPr>
              <w:t>Cross-document synthesis</w:t>
            </w:r>
          </w:p>
        </w:tc>
        <w:tc>
          <w:tcPr>
            <w:tcW w:type="dxa" w:w="3427"/>
            <w:vAlign w:val="top"/>
          </w:tcPr>
          <w:p>
            <w:pPr>
              <w:spacing w:after="0"/>
            </w:pPr>
            <w:r>
              <w:rPr>
                <w:sz w:val="12"/>
              </w:rPr>
              <w:t>Conference/presurgical note only if explicitly generated as clinician synthesis</w:t>
            </w:r>
          </w:p>
        </w:tc>
        <w:tc>
          <w:tcPr>
            <w:tcW w:type="dxa" w:w="3427"/>
            <w:vAlign w:val="top"/>
          </w:tcPr>
          <w:p>
            <w:pPr>
              <w:spacing w:after="0"/>
            </w:pPr>
            <w:r>
              <w:rPr>
                <w:sz w:val="12"/>
              </w:rPr>
              <w:t>Must not leak automatically into every document.</w:t>
            </w:r>
          </w:p>
        </w:tc>
      </w:tr>
    </w:tbl>
    <w:p/>
    <w:p>
      <w:pPr>
        <w:pStyle w:val="Heading1"/>
      </w:pPr>
      <w:r>
        <w:t>12. Pilot scenario templates</w:t>
      </w:r>
    </w:p>
    <w:p>
      <w:r>
        <w:t>These are coverage templates, not claims about how common each phenotype is. The pilot can deliberately oversample rare or difficult cases to stress-test extraction.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1"/>
              </w:rPr>
              <w:t>ID</w:t>
            </w:r>
          </w:p>
        </w:tc>
        <w:tc>
          <w:tcPr>
            <w:tcW w:type="dxa" w:w="2056"/>
            <w:shd w:fill="D9EAF7"/>
          </w:tcPr>
          <w:p>
            <w:r>
              <w:rPr>
                <w:b/>
                <w:sz w:val="11"/>
              </w:rPr>
              <w:t>Scenario</w:t>
            </w:r>
          </w:p>
        </w:tc>
        <w:tc>
          <w:tcPr>
            <w:tcW w:type="dxa" w:w="2056"/>
            <w:shd w:fill="D9EAF7"/>
          </w:tcPr>
          <w:p>
            <w:r>
              <w:rPr>
                <w:b/>
                <w:sz w:val="11"/>
              </w:rPr>
              <w:t>Truth constraints</w:t>
            </w:r>
          </w:p>
        </w:tc>
        <w:tc>
          <w:tcPr>
            <w:tcW w:type="dxa" w:w="2056"/>
            <w:shd w:fill="D9EAF7"/>
          </w:tcPr>
          <w:p>
            <w:r>
              <w:rPr>
                <w:b/>
                <w:sz w:val="11"/>
              </w:rPr>
              <w:t>Gate</w:t>
            </w:r>
          </w:p>
        </w:tc>
        <w:tc>
          <w:tcPr>
            <w:tcW w:type="dxa" w:w="2056"/>
            <w:shd w:fill="D9EAF7"/>
          </w:tcPr>
          <w:p>
            <w:r>
              <w:rPr>
                <w:b/>
                <w:sz w:val="11"/>
              </w:rPr>
              <w:t>Boundary</w:t>
            </w:r>
          </w:p>
        </w:tc>
      </w:tr>
      <w:tr>
        <w:tc>
          <w:tcPr>
            <w:tcW w:type="dxa" w:w="2056"/>
            <w:vAlign w:val="top"/>
          </w:tcPr>
          <w:p>
            <w:pPr>
              <w:spacing w:after="0"/>
            </w:pPr>
            <w:r>
              <w:rPr>
                <w:sz w:val="11"/>
              </w:rPr>
              <w:t>S01</w:t>
            </w:r>
          </w:p>
        </w:tc>
        <w:tc>
          <w:tcPr>
            <w:tcW w:type="dxa" w:w="2056"/>
            <w:vAlign w:val="top"/>
          </w:tcPr>
          <w:p>
            <w:pPr>
              <w:spacing w:after="0"/>
            </w:pPr>
            <w:r>
              <w:rPr>
                <w:sz w:val="11"/>
              </w:rPr>
              <w:t>Focal epilepsy; direct clinical label</w:t>
            </w:r>
          </w:p>
        </w:tc>
        <w:tc>
          <w:tcPr>
            <w:tcW w:type="dxa" w:w="2056"/>
            <w:vAlign w:val="top"/>
          </w:tcPr>
          <w:p>
            <w:pPr>
              <w:spacing w:after="0"/>
            </w:pPr>
            <w:r>
              <w:rPr>
                <w:sz w:val="11"/>
              </w:rPr>
              <w:t>epilepsy_type=focal; seizure class/type selected only from frozen ILAE25 values</w:t>
            </w:r>
          </w:p>
        </w:tc>
        <w:tc>
          <w:tcPr>
            <w:tcW w:type="dxa" w:w="2056"/>
            <w:vAlign w:val="top"/>
          </w:tcPr>
          <w:p>
            <w:pPr>
              <w:spacing w:after="0"/>
            </w:pPr>
            <w:r>
              <w:rPr>
                <w:sz w:val="11"/>
              </w:rPr>
              <w:t>READY</w:t>
            </w:r>
          </w:p>
        </w:tc>
        <w:tc>
          <w:tcPr>
            <w:tcW w:type="dxa" w:w="2056"/>
            <w:vAlign w:val="top"/>
          </w:tcPr>
          <w:p>
            <w:pPr>
              <w:spacing w:after="0"/>
            </w:pPr>
            <w:r>
              <w:rPr>
                <w:sz w:val="11"/>
              </w:rPr>
              <w:t>Benchmark coverage template; no prevalence claim</w:t>
            </w:r>
          </w:p>
        </w:tc>
      </w:tr>
      <w:tr>
        <w:tc>
          <w:tcPr>
            <w:tcW w:type="dxa" w:w="2056"/>
            <w:vAlign w:val="top"/>
          </w:tcPr>
          <w:p>
            <w:pPr>
              <w:spacing w:after="0"/>
            </w:pPr>
            <w:r>
              <w:rPr>
                <w:sz w:val="11"/>
              </w:rPr>
              <w:t>S02</w:t>
            </w:r>
          </w:p>
        </w:tc>
        <w:tc>
          <w:tcPr>
            <w:tcW w:type="dxa" w:w="2056"/>
            <w:vAlign w:val="top"/>
          </w:tcPr>
          <w:p>
            <w:pPr>
              <w:spacing w:after="0"/>
            </w:pPr>
            <w:r>
              <w:rPr>
                <w:sz w:val="11"/>
              </w:rPr>
              <w:t>Generalized epilepsy; direct clinical label</w:t>
            </w:r>
          </w:p>
        </w:tc>
        <w:tc>
          <w:tcPr>
            <w:tcW w:type="dxa" w:w="2056"/>
            <w:vAlign w:val="top"/>
          </w:tcPr>
          <w:p>
            <w:pPr>
              <w:spacing w:after="0"/>
            </w:pPr>
            <w:r>
              <w:rPr>
                <w:sz w:val="11"/>
              </w:rPr>
              <w:t>epilepsy_type=generalized; compatible seizure class/type selected from frozen ILAE25 values</w:t>
            </w:r>
          </w:p>
        </w:tc>
        <w:tc>
          <w:tcPr>
            <w:tcW w:type="dxa" w:w="2056"/>
            <w:vAlign w:val="top"/>
          </w:tcPr>
          <w:p>
            <w:pPr>
              <w:spacing w:after="0"/>
            </w:pPr>
            <w:r>
              <w:rPr>
                <w:sz w:val="11"/>
              </w:rPr>
              <w:t>READY</w:t>
            </w:r>
          </w:p>
        </w:tc>
        <w:tc>
          <w:tcPr>
            <w:tcW w:type="dxa" w:w="2056"/>
            <w:vAlign w:val="top"/>
          </w:tcPr>
          <w:p>
            <w:pPr>
              <w:spacing w:after="0"/>
            </w:pPr>
            <w:r>
              <w:rPr>
                <w:sz w:val="11"/>
              </w:rPr>
              <w:t>Compatibility constraints must be source-based; do not infer syndrome</w:t>
            </w:r>
          </w:p>
        </w:tc>
      </w:tr>
      <w:tr>
        <w:tc>
          <w:tcPr>
            <w:tcW w:type="dxa" w:w="2056"/>
            <w:vAlign w:val="top"/>
          </w:tcPr>
          <w:p>
            <w:pPr>
              <w:spacing w:after="0"/>
            </w:pPr>
            <w:r>
              <w:rPr>
                <w:sz w:val="11"/>
              </w:rPr>
              <w:t>S03</w:t>
            </w:r>
          </w:p>
        </w:tc>
        <w:tc>
          <w:tcPr>
            <w:tcW w:type="dxa" w:w="2056"/>
            <w:vAlign w:val="top"/>
          </w:tcPr>
          <w:p>
            <w:pPr>
              <w:spacing w:after="0"/>
            </w:pPr>
            <w:r>
              <w:rPr>
                <w:sz w:val="11"/>
              </w:rPr>
              <w:t>Combined generalized and focal epilepsy</w:t>
            </w:r>
          </w:p>
        </w:tc>
        <w:tc>
          <w:tcPr>
            <w:tcW w:type="dxa" w:w="2056"/>
            <w:vAlign w:val="top"/>
          </w:tcPr>
          <w:p>
            <w:pPr>
              <w:spacing w:after="0"/>
            </w:pPr>
            <w:r>
              <w:rPr>
                <w:sz w:val="11"/>
              </w:rPr>
              <w:t>epilepsy_type=combined generalized and focal; separate seizure events may use source-defined focal/generalized classes</w:t>
            </w:r>
          </w:p>
        </w:tc>
        <w:tc>
          <w:tcPr>
            <w:tcW w:type="dxa" w:w="2056"/>
            <w:vAlign w:val="top"/>
          </w:tcPr>
          <w:p>
            <w:pPr>
              <w:spacing w:after="0"/>
            </w:pPr>
            <w:r>
              <w:rPr>
                <w:sz w:val="11"/>
              </w:rPr>
              <w:t>READY</w:t>
            </w:r>
          </w:p>
        </w:tc>
        <w:tc>
          <w:tcPr>
            <w:tcW w:type="dxa" w:w="2056"/>
            <w:vAlign w:val="top"/>
          </w:tcPr>
          <w:p>
            <w:pPr>
              <w:spacing w:after="0"/>
            </w:pPr>
            <w:r>
              <w:rPr>
                <w:sz w:val="11"/>
              </w:rPr>
              <w:t>Source-defined epilepsy type</w:t>
            </w:r>
          </w:p>
        </w:tc>
      </w:tr>
      <w:tr>
        <w:tc>
          <w:tcPr>
            <w:tcW w:type="dxa" w:w="2056"/>
            <w:vAlign w:val="top"/>
          </w:tcPr>
          <w:p>
            <w:pPr>
              <w:spacing w:after="0"/>
            </w:pPr>
            <w:r>
              <w:rPr>
                <w:sz w:val="11"/>
              </w:rPr>
              <w:t>S04</w:t>
            </w:r>
          </w:p>
        </w:tc>
        <w:tc>
          <w:tcPr>
            <w:tcW w:type="dxa" w:w="2056"/>
            <w:vAlign w:val="top"/>
          </w:tcPr>
          <w:p>
            <w:pPr>
              <w:spacing w:after="0"/>
            </w:pPr>
            <w:r>
              <w:rPr>
                <w:sz w:val="11"/>
              </w:rPr>
              <w:t>Unknown epilepsy type</w:t>
            </w:r>
          </w:p>
        </w:tc>
        <w:tc>
          <w:tcPr>
            <w:tcW w:type="dxa" w:w="2056"/>
            <w:vAlign w:val="top"/>
          </w:tcPr>
          <w:p>
            <w:pPr>
              <w:spacing w:after="0"/>
            </w:pPr>
            <w:r>
              <w:rPr>
                <w:sz w:val="11"/>
              </w:rPr>
              <w:t>epilepsy_type=unknown</w:t>
            </w:r>
          </w:p>
        </w:tc>
        <w:tc>
          <w:tcPr>
            <w:tcW w:type="dxa" w:w="2056"/>
            <w:vAlign w:val="top"/>
          </w:tcPr>
          <w:p>
            <w:pPr>
              <w:spacing w:after="0"/>
            </w:pPr>
            <w:r>
              <w:rPr>
                <w:sz w:val="11"/>
              </w:rPr>
              <w:t>READY</w:t>
            </w:r>
          </w:p>
        </w:tc>
        <w:tc>
          <w:tcPr>
            <w:tcW w:type="dxa" w:w="2056"/>
            <w:vAlign w:val="top"/>
          </w:tcPr>
          <w:p>
            <w:pPr>
              <w:spacing w:after="0"/>
            </w:pPr>
            <w:r>
              <w:rPr>
                <w:sz w:val="11"/>
              </w:rPr>
              <w:t>Source-defined unknown category</w:t>
            </w:r>
          </w:p>
        </w:tc>
      </w:tr>
      <w:tr>
        <w:tc>
          <w:tcPr>
            <w:tcW w:type="dxa" w:w="2056"/>
            <w:vAlign w:val="top"/>
          </w:tcPr>
          <w:p>
            <w:pPr>
              <w:spacing w:after="0"/>
            </w:pPr>
            <w:r>
              <w:rPr>
                <w:sz w:val="11"/>
              </w:rPr>
              <w:t>S05</w:t>
            </w:r>
          </w:p>
        </w:tc>
        <w:tc>
          <w:tcPr>
            <w:tcW w:type="dxa" w:w="2056"/>
            <w:vAlign w:val="top"/>
          </w:tcPr>
          <w:p>
            <w:pPr>
              <w:spacing w:after="0"/>
            </w:pPr>
            <w:r>
              <w:rPr>
                <w:sz w:val="11"/>
              </w:rPr>
              <w:t>Unknown whether focal or generalized seizure</w:t>
            </w:r>
          </w:p>
        </w:tc>
        <w:tc>
          <w:tcPr>
            <w:tcW w:type="dxa" w:w="2056"/>
            <w:vAlign w:val="top"/>
          </w:tcPr>
          <w:p>
            <w:pPr>
              <w:spacing w:after="0"/>
            </w:pPr>
            <w:r>
              <w:rPr>
                <w:sz w:val="11"/>
              </w:rPr>
              <w:t>seizure_main_class=unknown whether focal or generalized</w:t>
            </w:r>
          </w:p>
        </w:tc>
        <w:tc>
          <w:tcPr>
            <w:tcW w:type="dxa" w:w="2056"/>
            <w:vAlign w:val="top"/>
          </w:tcPr>
          <w:p>
            <w:pPr>
              <w:spacing w:after="0"/>
            </w:pPr>
            <w:r>
              <w:rPr>
                <w:sz w:val="11"/>
              </w:rPr>
              <w:t>READY</w:t>
            </w:r>
          </w:p>
        </w:tc>
        <w:tc>
          <w:tcPr>
            <w:tcW w:type="dxa" w:w="2056"/>
            <w:vAlign w:val="top"/>
          </w:tcPr>
          <w:p>
            <w:pPr>
              <w:spacing w:after="0"/>
            </w:pPr>
            <w:r>
              <w:rPr>
                <w:sz w:val="11"/>
              </w:rPr>
              <w:t>Distinct from unclassified</w:t>
            </w:r>
          </w:p>
        </w:tc>
      </w:tr>
      <w:tr>
        <w:tc>
          <w:tcPr>
            <w:tcW w:type="dxa" w:w="2056"/>
            <w:vAlign w:val="top"/>
          </w:tcPr>
          <w:p>
            <w:pPr>
              <w:spacing w:after="0"/>
            </w:pPr>
            <w:r>
              <w:rPr>
                <w:sz w:val="11"/>
              </w:rPr>
              <w:t>S06</w:t>
            </w:r>
          </w:p>
        </w:tc>
        <w:tc>
          <w:tcPr>
            <w:tcW w:type="dxa" w:w="2056"/>
            <w:vAlign w:val="top"/>
          </w:tcPr>
          <w:p>
            <w:pPr>
              <w:spacing w:after="0"/>
            </w:pPr>
            <w:r>
              <w:rPr>
                <w:sz w:val="11"/>
              </w:rPr>
              <w:t>Unclassified seizure</w:t>
            </w:r>
          </w:p>
        </w:tc>
        <w:tc>
          <w:tcPr>
            <w:tcW w:type="dxa" w:w="2056"/>
            <w:vAlign w:val="top"/>
          </w:tcPr>
          <w:p>
            <w:pPr>
              <w:spacing w:after="0"/>
            </w:pPr>
            <w:r>
              <w:rPr>
                <w:sz w:val="11"/>
              </w:rPr>
              <w:t>seizure_main_class=unclassified</w:t>
            </w:r>
          </w:p>
        </w:tc>
        <w:tc>
          <w:tcPr>
            <w:tcW w:type="dxa" w:w="2056"/>
            <w:vAlign w:val="top"/>
          </w:tcPr>
          <w:p>
            <w:pPr>
              <w:spacing w:after="0"/>
            </w:pPr>
            <w:r>
              <w:rPr>
                <w:sz w:val="11"/>
              </w:rPr>
              <w:t>READY</w:t>
            </w:r>
          </w:p>
        </w:tc>
        <w:tc>
          <w:tcPr>
            <w:tcW w:type="dxa" w:w="2056"/>
            <w:vAlign w:val="top"/>
          </w:tcPr>
          <w:p>
            <w:pPr>
              <w:spacing w:after="0"/>
            </w:pPr>
            <w:r>
              <w:rPr>
                <w:sz w:val="11"/>
              </w:rPr>
              <w:t>Use only when classification cannot be made; distinct source category</w:t>
            </w:r>
          </w:p>
        </w:tc>
      </w:tr>
      <w:tr>
        <w:tc>
          <w:tcPr>
            <w:tcW w:type="dxa" w:w="2056"/>
            <w:vAlign w:val="top"/>
          </w:tcPr>
          <w:p>
            <w:pPr>
              <w:spacing w:after="0"/>
            </w:pPr>
            <w:r>
              <w:rPr>
                <w:sz w:val="11"/>
              </w:rPr>
              <w:t>S07</w:t>
            </w:r>
          </w:p>
        </w:tc>
        <w:tc>
          <w:tcPr>
            <w:tcW w:type="dxa" w:w="2056"/>
            <w:vAlign w:val="top"/>
          </w:tcPr>
          <w:p>
            <w:pPr>
              <w:spacing w:after="0"/>
            </w:pPr>
            <w:r>
              <w:rPr>
                <w:sz w:val="11"/>
              </w:rPr>
              <w:t>Longitudinal seizure-frequency change</w:t>
            </w:r>
          </w:p>
        </w:tc>
        <w:tc>
          <w:tcPr>
            <w:tcW w:type="dxa" w:w="2056"/>
            <w:vAlign w:val="top"/>
          </w:tcPr>
          <w:p>
            <w:pPr>
              <w:spacing w:after="0"/>
            </w:pPr>
            <w:r>
              <w:rPr>
                <w:sz w:val="11"/>
              </w:rPr>
              <w:t>same patient has ≥2 frequency intervals with explicit quantities/ranges and temporal anchors</w:t>
            </w:r>
          </w:p>
        </w:tc>
        <w:tc>
          <w:tcPr>
            <w:tcW w:type="dxa" w:w="2056"/>
            <w:vAlign w:val="top"/>
          </w:tcPr>
          <w:p>
            <w:pPr>
              <w:spacing w:after="0"/>
            </w:pPr>
            <w:r>
              <w:rPr>
                <w:sz w:val="11"/>
              </w:rPr>
              <w:t>READY_CORE</w:t>
            </w:r>
          </w:p>
        </w:tc>
        <w:tc>
          <w:tcPr>
            <w:tcW w:type="dxa" w:w="2056"/>
            <w:vAlign w:val="top"/>
          </w:tcPr>
          <w:p>
            <w:pPr>
              <w:spacing w:after="0"/>
            </w:pPr>
            <w:r>
              <w:rPr>
                <w:sz w:val="11"/>
              </w:rPr>
              <w:t>Tests temporal extraction; distribution is benchmark-defined</w:t>
            </w:r>
          </w:p>
        </w:tc>
      </w:tr>
      <w:tr>
        <w:tc>
          <w:tcPr>
            <w:tcW w:type="dxa" w:w="2056"/>
            <w:vAlign w:val="top"/>
          </w:tcPr>
          <w:p>
            <w:pPr>
              <w:spacing w:after="0"/>
            </w:pPr>
            <w:r>
              <w:rPr>
                <w:sz w:val="11"/>
              </w:rPr>
              <w:t>S08</w:t>
            </w:r>
          </w:p>
        </w:tc>
        <w:tc>
          <w:tcPr>
            <w:tcW w:type="dxa" w:w="2056"/>
            <w:vAlign w:val="top"/>
          </w:tcPr>
          <w:p>
            <w:pPr>
              <w:spacing w:after="0"/>
            </w:pPr>
            <w:r>
              <w:rPr>
                <w:sz w:val="11"/>
              </w:rPr>
              <w:t>EEG direct finding without epilepsy-type inference</w:t>
            </w:r>
          </w:p>
        </w:tc>
        <w:tc>
          <w:tcPr>
            <w:tcW w:type="dxa" w:w="2056"/>
            <w:vAlign w:val="top"/>
          </w:tcPr>
          <w:p>
            <w:pPr>
              <w:spacing w:after="0"/>
            </w:pPr>
            <w:r>
              <w:rPr>
                <w:sz w:val="11"/>
              </w:rPr>
              <w:t>EEG study has source-text finding; patient-level epilepsy type may be unknown/null</w:t>
            </w:r>
          </w:p>
        </w:tc>
        <w:tc>
          <w:tcPr>
            <w:tcW w:type="dxa" w:w="2056"/>
            <w:vAlign w:val="top"/>
          </w:tcPr>
          <w:p>
            <w:pPr>
              <w:spacing w:after="0"/>
            </w:pPr>
            <w:r>
              <w:rPr>
                <w:sz w:val="11"/>
              </w:rPr>
              <w:t>READY_WITH_LIMIT</w:t>
            </w:r>
          </w:p>
        </w:tc>
        <w:tc>
          <w:tcPr>
            <w:tcW w:type="dxa" w:w="2056"/>
            <w:vAlign w:val="top"/>
          </w:tcPr>
          <w:p>
            <w:pPr>
              <w:spacing w:after="0"/>
            </w:pPr>
            <w:r>
              <w:rPr>
                <w:sz w:val="11"/>
              </w:rPr>
              <w:t>Tests observation vs diagnosis separation</w:t>
            </w:r>
          </w:p>
        </w:tc>
      </w:tr>
      <w:tr>
        <w:tc>
          <w:tcPr>
            <w:tcW w:type="dxa" w:w="2056"/>
            <w:vAlign w:val="top"/>
          </w:tcPr>
          <w:p>
            <w:pPr>
              <w:spacing w:after="0"/>
            </w:pPr>
            <w:r>
              <w:rPr>
                <w:sz w:val="11"/>
              </w:rPr>
              <w:t>S09</w:t>
            </w:r>
          </w:p>
        </w:tc>
        <w:tc>
          <w:tcPr>
            <w:tcW w:type="dxa" w:w="2056"/>
            <w:vAlign w:val="top"/>
          </w:tcPr>
          <w:p>
            <w:pPr>
              <w:spacing w:after="0"/>
            </w:pPr>
            <w:r>
              <w:rPr>
                <w:sz w:val="11"/>
              </w:rPr>
              <w:t>MRI direct finding without pathology subtype</w:t>
            </w:r>
          </w:p>
        </w:tc>
        <w:tc>
          <w:tcPr>
            <w:tcW w:type="dxa" w:w="2056"/>
            <w:vAlign w:val="top"/>
          </w:tcPr>
          <w:p>
            <w:pPr>
              <w:spacing w:after="0"/>
            </w:pPr>
            <w:r>
              <w:rPr>
                <w:sz w:val="11"/>
              </w:rPr>
              <w:t>MRI study has source-text imaging impression; no pathology subtype truth</w:t>
            </w:r>
          </w:p>
        </w:tc>
        <w:tc>
          <w:tcPr>
            <w:tcW w:type="dxa" w:w="2056"/>
            <w:vAlign w:val="top"/>
          </w:tcPr>
          <w:p>
            <w:pPr>
              <w:spacing w:after="0"/>
            </w:pPr>
            <w:r>
              <w:rPr>
                <w:sz w:val="11"/>
              </w:rPr>
              <w:t>READY_WITH_LIMIT</w:t>
            </w:r>
          </w:p>
        </w:tc>
        <w:tc>
          <w:tcPr>
            <w:tcW w:type="dxa" w:w="2056"/>
            <w:vAlign w:val="top"/>
          </w:tcPr>
          <w:p>
            <w:pPr>
              <w:spacing w:after="0"/>
            </w:pPr>
            <w:r>
              <w:rPr>
                <w:sz w:val="11"/>
              </w:rPr>
              <w:t>Tests imaging/pathology boundary</w:t>
            </w:r>
          </w:p>
        </w:tc>
      </w:tr>
      <w:tr>
        <w:tc>
          <w:tcPr>
            <w:tcW w:type="dxa" w:w="2056"/>
            <w:vAlign w:val="top"/>
          </w:tcPr>
          <w:p>
            <w:pPr>
              <w:spacing w:after="0"/>
            </w:pPr>
            <w:r>
              <w:rPr>
                <w:sz w:val="11"/>
              </w:rPr>
              <w:t>S10</w:t>
            </w:r>
          </w:p>
        </w:tc>
        <w:tc>
          <w:tcPr>
            <w:tcW w:type="dxa" w:w="2056"/>
            <w:vAlign w:val="top"/>
          </w:tcPr>
          <w:p>
            <w:pPr>
              <w:spacing w:after="0"/>
            </w:pPr>
            <w:r>
              <w:rPr>
                <w:sz w:val="11"/>
              </w:rPr>
              <w:t>Medication exposure without DRE inference</w:t>
            </w:r>
          </w:p>
        </w:tc>
        <w:tc>
          <w:tcPr>
            <w:tcW w:type="dxa" w:w="2056"/>
            <w:vAlign w:val="top"/>
          </w:tcPr>
          <w:p>
            <w:pPr>
              <w:spacing w:after="0"/>
            </w:pPr>
            <w:r>
              <w:rPr>
                <w:sz w:val="11"/>
              </w:rPr>
              <w:t>one or more ASM exposure events; DRE derived=null/BLOCKED</w:t>
            </w:r>
          </w:p>
        </w:tc>
        <w:tc>
          <w:tcPr>
            <w:tcW w:type="dxa" w:w="2056"/>
            <w:vAlign w:val="top"/>
          </w:tcPr>
          <w:p>
            <w:pPr>
              <w:spacing w:after="0"/>
            </w:pPr>
            <w:r>
              <w:rPr>
                <w:sz w:val="11"/>
              </w:rPr>
              <w:t>READY_WITH_LIMIT</w:t>
            </w:r>
          </w:p>
        </w:tc>
        <w:tc>
          <w:tcPr>
            <w:tcW w:type="dxa" w:w="2056"/>
            <w:vAlign w:val="top"/>
          </w:tcPr>
          <w:p>
            <w:pPr>
              <w:spacing w:after="0"/>
            </w:pPr>
            <w:r>
              <w:rPr>
                <w:sz w:val="11"/>
              </w:rPr>
              <w:t>Tests treatment extraction without shortcut</w:t>
            </w:r>
          </w:p>
        </w:tc>
      </w:tr>
      <w:tr>
        <w:tc>
          <w:tcPr>
            <w:tcW w:type="dxa" w:w="2056"/>
            <w:vAlign w:val="top"/>
          </w:tcPr>
          <w:p>
            <w:pPr>
              <w:spacing w:after="0"/>
            </w:pPr>
            <w:r>
              <w:rPr>
                <w:sz w:val="11"/>
              </w:rPr>
              <w:t>S11</w:t>
            </w:r>
          </w:p>
        </w:tc>
        <w:tc>
          <w:tcPr>
            <w:tcW w:type="dxa" w:w="2056"/>
            <w:vAlign w:val="top"/>
          </w:tcPr>
          <w:p>
            <w:pPr>
              <w:spacing w:after="0"/>
            </w:pPr>
            <w:r>
              <w:rPr>
                <w:sz w:val="11"/>
              </w:rPr>
              <w:t>Direct clinician DRE statement</w:t>
            </w:r>
          </w:p>
        </w:tc>
        <w:tc>
          <w:tcPr>
            <w:tcW w:type="dxa" w:w="2056"/>
            <w:vAlign w:val="top"/>
          </w:tcPr>
          <w:p>
            <w:pPr>
              <w:spacing w:after="0"/>
            </w:pPr>
            <w:r>
              <w:rPr>
                <w:sz w:val="11"/>
              </w:rPr>
              <w:t>document target includes explicit DRE statement; criteria-derived DRE remains blocked</w:t>
            </w:r>
          </w:p>
        </w:tc>
        <w:tc>
          <w:tcPr>
            <w:tcW w:type="dxa" w:w="2056"/>
            <w:vAlign w:val="top"/>
          </w:tcPr>
          <w:p>
            <w:pPr>
              <w:spacing w:after="0"/>
            </w:pPr>
            <w:r>
              <w:rPr>
                <w:sz w:val="11"/>
              </w:rPr>
              <w:t>READY_DIRECT_ONLY</w:t>
            </w:r>
          </w:p>
        </w:tc>
        <w:tc>
          <w:tcPr>
            <w:tcW w:type="dxa" w:w="2056"/>
            <w:vAlign w:val="top"/>
          </w:tcPr>
          <w:p>
            <w:pPr>
              <w:spacing w:after="0"/>
            </w:pPr>
            <w:r>
              <w:rPr>
                <w:sz w:val="11"/>
              </w:rPr>
              <w:t>Tests extraction of clinician statement, not independent criteria validation</w:t>
            </w:r>
          </w:p>
        </w:tc>
      </w:tr>
      <w:tr>
        <w:tc>
          <w:tcPr>
            <w:tcW w:type="dxa" w:w="2056"/>
            <w:vAlign w:val="top"/>
          </w:tcPr>
          <w:p>
            <w:pPr>
              <w:spacing w:after="0"/>
            </w:pPr>
            <w:r>
              <w:rPr>
                <w:sz w:val="11"/>
              </w:rPr>
              <w:t>S12</w:t>
            </w:r>
          </w:p>
        </w:tc>
        <w:tc>
          <w:tcPr>
            <w:tcW w:type="dxa" w:w="2056"/>
            <w:vAlign w:val="top"/>
          </w:tcPr>
          <w:p>
            <w:pPr>
              <w:spacing w:after="0"/>
            </w:pPr>
            <w:r>
              <w:rPr>
                <w:sz w:val="11"/>
              </w:rPr>
              <w:t>Controlled cross-document conflict</w:t>
            </w:r>
          </w:p>
        </w:tc>
        <w:tc>
          <w:tcPr>
            <w:tcW w:type="dxa" w:w="2056"/>
            <w:vAlign w:val="top"/>
          </w:tcPr>
          <w:p>
            <w:pPr>
              <w:spacing w:after="0"/>
            </w:pPr>
            <w:r>
              <w:rPr>
                <w:sz w:val="11"/>
              </w:rPr>
              <w:t>two document observations differ in certainty/value while underlying event provenance remains explicit</w:t>
            </w:r>
          </w:p>
        </w:tc>
        <w:tc>
          <w:tcPr>
            <w:tcW w:type="dxa" w:w="2056"/>
            <w:vAlign w:val="top"/>
          </w:tcPr>
          <w:p>
            <w:pPr>
              <w:spacing w:after="0"/>
            </w:pPr>
            <w:r>
              <w:rPr>
                <w:sz w:val="11"/>
              </w:rPr>
              <w:t>PILOT_ONLY</w:t>
            </w:r>
          </w:p>
        </w:tc>
        <w:tc>
          <w:tcPr>
            <w:tcW w:type="dxa" w:w="2056"/>
            <w:vAlign w:val="top"/>
          </w:tcPr>
          <w:p>
            <w:pPr>
              <w:spacing w:after="0"/>
            </w:pPr>
            <w:r>
              <w:rPr>
                <w:sz w:val="11"/>
              </w:rPr>
              <w:t>Tests contradiction handling; conflict mechanism is MedAI-designed</w:t>
            </w:r>
          </w:p>
        </w:tc>
      </w:tr>
    </w:tbl>
    <w:p/>
    <w:p>
      <w:pPr>
        <w:pStyle w:val="Heading1"/>
      </w:pPr>
      <w:r>
        <w:t>13. Controlled conflict model</w:t>
      </w:r>
    </w:p>
    <w:p>
      <w:r>
        <w:t>Phase 5 permits controlled cross-document disagreement only as a benchmark mechanism. The underlying event remains traceable. For example, an earlier note may express uncertainty while a later study provides more specific evidence. The generator must record why the observations differ; it cannot randomly flip canonical truth.</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No fake clinical epistemology</w:t>
              <w:br/>
            </w:r>
            <w:r>
              <w:t>We are modeling documentation states, not claiming a universal theory of how clinicians disagree. Conflict templates are MEDAI-PROPOSED and require clinician review before being described as realistic.</w:t>
            </w:r>
          </w:p>
        </w:tc>
      </w:tr>
    </w:tbl>
    <w:p/>
    <w:p>
      <w:pPr>
        <w:pStyle w:val="Heading1"/>
      </w:pPr>
      <w:r>
        <w:t>14. Missingness and epistemic states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4"/>
              </w:rPr>
              <w:t>State</w:t>
            </w:r>
          </w:p>
        </w:tc>
        <w:tc>
          <w:tcPr>
            <w:tcW w:type="dxa" w:w="5141"/>
            <w:shd w:fill="D9EAF7"/>
          </w:tcPr>
          <w:p>
            <w:r>
              <w:rPr>
                <w:b/>
                <w:sz w:val="14"/>
              </w:rPr>
              <w:t>Meaning</w:t>
            </w:r>
          </w:p>
        </w:tc>
      </w:tr>
      <w:tr>
        <w:tc>
          <w:tcPr>
            <w:tcW w:type="dxa" w:w="5141"/>
            <w:vAlign w:val="top"/>
          </w:tcPr>
          <w:p>
            <w:pPr>
              <w:spacing w:after="0"/>
            </w:pPr>
            <w:r>
              <w:rPr>
                <w:sz w:val="13"/>
              </w:rPr>
              <w:t>KNOWN</w:t>
            </w:r>
          </w:p>
        </w:tc>
        <w:tc>
          <w:tcPr>
            <w:tcW w:type="dxa" w:w="5141"/>
            <w:vAlign w:val="top"/>
          </w:tcPr>
          <w:p>
            <w:pPr>
              <w:spacing w:after="0"/>
            </w:pPr>
            <w:r>
              <w:rPr>
                <w:sz w:val="13"/>
              </w:rPr>
              <w:t>Latent scenario contains a permitted value.</w:t>
            </w:r>
          </w:p>
        </w:tc>
      </w:tr>
      <w:tr>
        <w:tc>
          <w:tcPr>
            <w:tcW w:type="dxa" w:w="5141"/>
            <w:vAlign w:val="top"/>
          </w:tcPr>
          <w:p>
            <w:pPr>
              <w:spacing w:after="0"/>
            </w:pPr>
            <w:r>
              <w:rPr>
                <w:sz w:val="13"/>
              </w:rPr>
              <w:t>UNKNOWN</w:t>
            </w:r>
          </w:p>
        </w:tc>
        <w:tc>
          <w:tcPr>
            <w:tcW w:type="dxa" w:w="5141"/>
            <w:vAlign w:val="top"/>
          </w:tcPr>
          <w:p>
            <w:pPr>
              <w:spacing w:after="0"/>
            </w:pPr>
            <w:r>
              <w:rPr>
                <w:sz w:val="13"/>
              </w:rPr>
              <w:t>Clinically/research-wise unknown within the scenario.</w:t>
            </w:r>
          </w:p>
        </w:tc>
      </w:tr>
      <w:tr>
        <w:tc>
          <w:tcPr>
            <w:tcW w:type="dxa" w:w="5141"/>
            <w:vAlign w:val="top"/>
          </w:tcPr>
          <w:p>
            <w:pPr>
              <w:spacing w:after="0"/>
            </w:pPr>
            <w:r>
              <w:rPr>
                <w:sz w:val="13"/>
              </w:rPr>
              <w:t>NOT_APPLICABLE</w:t>
            </w:r>
          </w:p>
        </w:tc>
        <w:tc>
          <w:tcPr>
            <w:tcW w:type="dxa" w:w="5141"/>
            <w:vAlign w:val="top"/>
          </w:tcPr>
          <w:p>
            <w:pPr>
              <w:spacing w:after="0"/>
            </w:pPr>
            <w:r>
              <w:rPr>
                <w:sz w:val="13"/>
              </w:rPr>
              <w:t>Field does not apply to this event/patient.</w:t>
            </w:r>
          </w:p>
        </w:tc>
      </w:tr>
      <w:tr>
        <w:tc>
          <w:tcPr>
            <w:tcW w:type="dxa" w:w="5141"/>
            <w:vAlign w:val="top"/>
          </w:tcPr>
          <w:p>
            <w:pPr>
              <w:spacing w:after="0"/>
            </w:pPr>
            <w:r>
              <w:rPr>
                <w:sz w:val="13"/>
              </w:rPr>
              <w:t>BLOCKED</w:t>
            </w:r>
          </w:p>
        </w:tc>
        <w:tc>
          <w:tcPr>
            <w:tcW w:type="dxa" w:w="5141"/>
            <w:vAlign w:val="top"/>
          </w:tcPr>
          <w:p>
            <w:pPr>
              <w:spacing w:after="0"/>
            </w:pPr>
            <w:r>
              <w:rPr>
                <w:sz w:val="13"/>
              </w:rPr>
              <w:t>MedAI has intentionally prohibited canonical generation because the source/rule is not frozen.</w:t>
            </w:r>
          </w:p>
        </w:tc>
      </w:tr>
    </w:tbl>
    <w:p/>
    <w:p>
      <w:r>
        <w:t>These states must never be collapsed into one generic missing value during generation or evaluation.</w:t>
      </w:r>
    </w:p>
    <w:p>
      <w:pPr>
        <w:pStyle w:val="Heading1"/>
      </w:pPr>
      <w:r>
        <w:t>15. Quality assurance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QA</w:t>
            </w:r>
          </w:p>
        </w:tc>
        <w:tc>
          <w:tcPr>
            <w:tcW w:type="dxa" w:w="3427"/>
            <w:shd w:fill="D9EAF7"/>
          </w:tcPr>
          <w:p>
            <w:r>
              <w:rPr>
                <w:b/>
                <w:sz w:val="12"/>
              </w:rPr>
              <w:t>Check</w:t>
            </w:r>
          </w:p>
        </w:tc>
        <w:tc>
          <w:tcPr>
            <w:tcW w:type="dxa" w:w="3427"/>
            <w:shd w:fill="D9EAF7"/>
          </w:tcPr>
          <w:p>
            <w:r>
              <w:rPr>
                <w:b/>
                <w:sz w:val="12"/>
              </w:rPr>
              <w:t>Action</w:t>
            </w:r>
          </w:p>
        </w:tc>
      </w:tr>
      <w:tr>
        <w:tc>
          <w:tcPr>
            <w:tcW w:type="dxa" w:w="3427"/>
            <w:vAlign w:val="top"/>
          </w:tcPr>
          <w:p>
            <w:pPr>
              <w:spacing w:after="0"/>
            </w:pPr>
            <w:r>
              <w:rPr>
                <w:sz w:val="12"/>
              </w:rPr>
              <w:t>QA-001</w:t>
            </w:r>
          </w:p>
        </w:tc>
        <w:tc>
          <w:tcPr>
            <w:tcW w:type="dxa" w:w="3427"/>
            <w:vAlign w:val="top"/>
          </w:tcPr>
          <w:p>
            <w:pPr>
              <w:spacing w:after="0"/>
            </w:pPr>
            <w:r>
              <w:rPr>
                <w:sz w:val="12"/>
              </w:rPr>
              <w:t>Every patient has synthetic_flag=true.</w:t>
            </w:r>
          </w:p>
        </w:tc>
        <w:tc>
          <w:tcPr>
            <w:tcW w:type="dxa" w:w="3427"/>
            <w:vAlign w:val="top"/>
          </w:tcPr>
          <w:p>
            <w:pPr>
              <w:spacing w:after="0"/>
            </w:pPr>
            <w:r>
              <w:rPr>
                <w:sz w:val="12"/>
              </w:rPr>
              <w:t>FAIL release if violated</w:t>
            </w:r>
          </w:p>
        </w:tc>
      </w:tr>
      <w:tr>
        <w:tc>
          <w:tcPr>
            <w:tcW w:type="dxa" w:w="3427"/>
            <w:vAlign w:val="top"/>
          </w:tcPr>
          <w:p>
            <w:pPr>
              <w:spacing w:after="0"/>
            </w:pPr>
            <w:r>
              <w:rPr>
                <w:sz w:val="12"/>
              </w:rPr>
              <w:t>QA-002</w:t>
            </w:r>
          </w:p>
        </w:tc>
        <w:tc>
          <w:tcPr>
            <w:tcW w:type="dxa" w:w="3427"/>
            <w:vAlign w:val="top"/>
          </w:tcPr>
          <w:p>
            <w:pPr>
              <w:spacing w:after="0"/>
            </w:pPr>
            <w:r>
              <w:rPr>
                <w:sz w:val="12"/>
              </w:rPr>
              <w:t>Every canonical enum value exists in Phase 3D/4.1 frozen value sets or Phase 3B verified seizure-type nodes.</w:t>
            </w:r>
          </w:p>
        </w:tc>
        <w:tc>
          <w:tcPr>
            <w:tcW w:type="dxa" w:w="3427"/>
            <w:vAlign w:val="top"/>
          </w:tcPr>
          <w:p>
            <w:pPr>
              <w:spacing w:after="0"/>
            </w:pPr>
            <w:r>
              <w:rPr>
                <w:sz w:val="12"/>
              </w:rPr>
              <w:t>FAIL</w:t>
            </w:r>
          </w:p>
        </w:tc>
      </w:tr>
      <w:tr>
        <w:tc>
          <w:tcPr>
            <w:tcW w:type="dxa" w:w="3427"/>
            <w:vAlign w:val="top"/>
          </w:tcPr>
          <w:p>
            <w:pPr>
              <w:spacing w:after="0"/>
            </w:pPr>
            <w:r>
              <w:rPr>
                <w:sz w:val="12"/>
              </w:rPr>
              <w:t>QA-003</w:t>
            </w:r>
          </w:p>
        </w:tc>
        <w:tc>
          <w:tcPr>
            <w:tcW w:type="dxa" w:w="3427"/>
            <w:vAlign w:val="top"/>
          </w:tcPr>
          <w:p>
            <w:pPr>
              <w:spacing w:after="0"/>
            </w:pPr>
            <w:r>
              <w:rPr>
                <w:sz w:val="12"/>
              </w:rPr>
              <w:t>No BLOCKED field contains a canonical value.</w:t>
            </w:r>
          </w:p>
        </w:tc>
        <w:tc>
          <w:tcPr>
            <w:tcW w:type="dxa" w:w="3427"/>
            <w:vAlign w:val="top"/>
          </w:tcPr>
          <w:p>
            <w:pPr>
              <w:spacing w:after="0"/>
            </w:pPr>
            <w:r>
              <w:rPr>
                <w:sz w:val="12"/>
              </w:rPr>
              <w:t>FAIL</w:t>
            </w:r>
          </w:p>
        </w:tc>
      </w:tr>
      <w:tr>
        <w:tc>
          <w:tcPr>
            <w:tcW w:type="dxa" w:w="3427"/>
            <w:vAlign w:val="top"/>
          </w:tcPr>
          <w:p>
            <w:pPr>
              <w:spacing w:after="0"/>
            </w:pPr>
            <w:r>
              <w:rPr>
                <w:sz w:val="12"/>
              </w:rPr>
              <w:t>QA-004</w:t>
            </w:r>
          </w:p>
        </w:tc>
        <w:tc>
          <w:tcPr>
            <w:tcW w:type="dxa" w:w="3427"/>
            <w:vAlign w:val="top"/>
          </w:tcPr>
          <w:p>
            <w:pPr>
              <w:spacing w:after="0"/>
            </w:pPr>
            <w:r>
              <w:rPr>
                <w:sz w:val="12"/>
              </w:rPr>
              <w:t>Every event references an existing patient_id.</w:t>
            </w:r>
          </w:p>
        </w:tc>
        <w:tc>
          <w:tcPr>
            <w:tcW w:type="dxa" w:w="3427"/>
            <w:vAlign w:val="top"/>
          </w:tcPr>
          <w:p>
            <w:pPr>
              <w:spacing w:after="0"/>
            </w:pPr>
            <w:r>
              <w:rPr>
                <w:sz w:val="12"/>
              </w:rPr>
              <w:t>FAIL</w:t>
            </w:r>
          </w:p>
        </w:tc>
      </w:tr>
      <w:tr>
        <w:tc>
          <w:tcPr>
            <w:tcW w:type="dxa" w:w="3427"/>
            <w:vAlign w:val="top"/>
          </w:tcPr>
          <w:p>
            <w:pPr>
              <w:spacing w:after="0"/>
            </w:pPr>
            <w:r>
              <w:rPr>
                <w:sz w:val="12"/>
              </w:rPr>
              <w:t>QA-005</w:t>
            </w:r>
          </w:p>
        </w:tc>
        <w:tc>
          <w:tcPr>
            <w:tcW w:type="dxa" w:w="3427"/>
            <w:vAlign w:val="top"/>
          </w:tcPr>
          <w:p>
            <w:pPr>
              <w:spacing w:after="0"/>
            </w:pPr>
            <w:r>
              <w:rPr>
                <w:sz w:val="12"/>
              </w:rPr>
              <w:t>event_time falls within patient timeline.</w:t>
            </w:r>
          </w:p>
        </w:tc>
        <w:tc>
          <w:tcPr>
            <w:tcW w:type="dxa" w:w="3427"/>
            <w:vAlign w:val="top"/>
          </w:tcPr>
          <w:p>
            <w:pPr>
              <w:spacing w:after="0"/>
            </w:pPr>
            <w:r>
              <w:rPr>
                <w:sz w:val="12"/>
              </w:rPr>
              <w:t>FAIL</w:t>
            </w:r>
          </w:p>
        </w:tc>
      </w:tr>
      <w:tr>
        <w:tc>
          <w:tcPr>
            <w:tcW w:type="dxa" w:w="3427"/>
            <w:vAlign w:val="top"/>
          </w:tcPr>
          <w:p>
            <w:pPr>
              <w:spacing w:after="0"/>
            </w:pPr>
            <w:r>
              <w:rPr>
                <w:sz w:val="12"/>
              </w:rPr>
              <w:t>QA-006</w:t>
            </w:r>
          </w:p>
        </w:tc>
        <w:tc>
          <w:tcPr>
            <w:tcW w:type="dxa" w:w="3427"/>
            <w:vAlign w:val="top"/>
          </w:tcPr>
          <w:p>
            <w:pPr>
              <w:spacing w:after="0"/>
            </w:pPr>
            <w:r>
              <w:rPr>
                <w:sz w:val="12"/>
              </w:rPr>
              <w:t>Unknown, NOT_APPLICABLE, and BLOCKED are encoded distinctly.</w:t>
            </w:r>
          </w:p>
        </w:tc>
        <w:tc>
          <w:tcPr>
            <w:tcW w:type="dxa" w:w="3427"/>
            <w:vAlign w:val="top"/>
          </w:tcPr>
          <w:p>
            <w:pPr>
              <w:spacing w:after="0"/>
            </w:pPr>
            <w:r>
              <w:rPr>
                <w:sz w:val="12"/>
              </w:rPr>
              <w:t>FAIL</w:t>
            </w:r>
          </w:p>
        </w:tc>
      </w:tr>
      <w:tr>
        <w:tc>
          <w:tcPr>
            <w:tcW w:type="dxa" w:w="3427"/>
            <w:vAlign w:val="top"/>
          </w:tcPr>
          <w:p>
            <w:pPr>
              <w:spacing w:after="0"/>
            </w:pPr>
            <w:r>
              <w:rPr>
                <w:sz w:val="12"/>
              </w:rPr>
              <w:t>QA-007</w:t>
            </w:r>
          </w:p>
        </w:tc>
        <w:tc>
          <w:tcPr>
            <w:tcW w:type="dxa" w:w="3427"/>
            <w:vAlign w:val="top"/>
          </w:tcPr>
          <w:p>
            <w:pPr>
              <w:spacing w:after="0"/>
            </w:pPr>
            <w:r>
              <w:rPr>
                <w:sz w:val="12"/>
              </w:rPr>
              <w:t>Consciousness is null/unspecified when not determinable; no fabricated value.</w:t>
            </w:r>
          </w:p>
        </w:tc>
        <w:tc>
          <w:tcPr>
            <w:tcW w:type="dxa" w:w="3427"/>
            <w:vAlign w:val="top"/>
          </w:tcPr>
          <w:p>
            <w:pPr>
              <w:spacing w:after="0"/>
            </w:pPr>
            <w:r>
              <w:rPr>
                <w:sz w:val="12"/>
              </w:rPr>
              <w:t>FAIL</w:t>
            </w:r>
          </w:p>
        </w:tc>
      </w:tr>
      <w:tr>
        <w:tc>
          <w:tcPr>
            <w:tcW w:type="dxa" w:w="3427"/>
            <w:vAlign w:val="top"/>
          </w:tcPr>
          <w:p>
            <w:pPr>
              <w:spacing w:after="0"/>
            </w:pPr>
            <w:r>
              <w:rPr>
                <w:sz w:val="12"/>
              </w:rPr>
              <w:t>QA-008</w:t>
            </w:r>
          </w:p>
        </w:tc>
        <w:tc>
          <w:tcPr>
            <w:tcW w:type="dxa" w:w="3427"/>
            <w:vAlign w:val="top"/>
          </w:tcPr>
          <w:p>
            <w:pPr>
              <w:spacing w:after="0"/>
            </w:pPr>
            <w:r>
              <w:rPr>
                <w:sz w:val="12"/>
              </w:rPr>
              <w:t>No syndrome is derived from features in v1.</w:t>
            </w:r>
          </w:p>
        </w:tc>
        <w:tc>
          <w:tcPr>
            <w:tcW w:type="dxa" w:w="3427"/>
            <w:vAlign w:val="top"/>
          </w:tcPr>
          <w:p>
            <w:pPr>
              <w:spacing w:after="0"/>
            </w:pPr>
            <w:r>
              <w:rPr>
                <w:sz w:val="12"/>
              </w:rPr>
              <w:t>FAIL</w:t>
            </w:r>
          </w:p>
        </w:tc>
      </w:tr>
      <w:tr>
        <w:tc>
          <w:tcPr>
            <w:tcW w:type="dxa" w:w="3427"/>
            <w:vAlign w:val="top"/>
          </w:tcPr>
          <w:p>
            <w:pPr>
              <w:spacing w:after="0"/>
            </w:pPr>
            <w:r>
              <w:rPr>
                <w:sz w:val="12"/>
              </w:rPr>
              <w:t>QA-009</w:t>
            </w:r>
          </w:p>
        </w:tc>
        <w:tc>
          <w:tcPr>
            <w:tcW w:type="dxa" w:w="3427"/>
            <w:vAlign w:val="top"/>
          </w:tcPr>
          <w:p>
            <w:pPr>
              <w:spacing w:after="0"/>
            </w:pPr>
            <w:r>
              <w:rPr>
                <w:sz w:val="12"/>
              </w:rPr>
              <w:t>No ILAE pathology subtype is generated from MRI-only truth.</w:t>
            </w:r>
          </w:p>
        </w:tc>
        <w:tc>
          <w:tcPr>
            <w:tcW w:type="dxa" w:w="3427"/>
            <w:vAlign w:val="top"/>
          </w:tcPr>
          <w:p>
            <w:pPr>
              <w:spacing w:after="0"/>
            </w:pPr>
            <w:r>
              <w:rPr>
                <w:sz w:val="12"/>
              </w:rPr>
              <w:t>FAIL</w:t>
            </w:r>
          </w:p>
        </w:tc>
      </w:tr>
      <w:tr>
        <w:tc>
          <w:tcPr>
            <w:tcW w:type="dxa" w:w="3427"/>
            <w:vAlign w:val="top"/>
          </w:tcPr>
          <w:p>
            <w:pPr>
              <w:spacing w:after="0"/>
            </w:pPr>
            <w:r>
              <w:rPr>
                <w:sz w:val="12"/>
              </w:rPr>
              <w:t>QA-010</w:t>
            </w:r>
          </w:p>
        </w:tc>
        <w:tc>
          <w:tcPr>
            <w:tcW w:type="dxa" w:w="3427"/>
            <w:vAlign w:val="top"/>
          </w:tcPr>
          <w:p>
            <w:pPr>
              <w:spacing w:after="0"/>
            </w:pPr>
            <w:r>
              <w:rPr>
                <w:sz w:val="12"/>
              </w:rPr>
              <w:t>No DRE derived truth is generated in v1.</w:t>
            </w:r>
          </w:p>
        </w:tc>
        <w:tc>
          <w:tcPr>
            <w:tcW w:type="dxa" w:w="3427"/>
            <w:vAlign w:val="top"/>
          </w:tcPr>
          <w:p>
            <w:pPr>
              <w:spacing w:after="0"/>
            </w:pPr>
            <w:r>
              <w:rPr>
                <w:sz w:val="12"/>
              </w:rPr>
              <w:t>FAIL</w:t>
            </w:r>
          </w:p>
        </w:tc>
      </w:tr>
      <w:tr>
        <w:tc>
          <w:tcPr>
            <w:tcW w:type="dxa" w:w="3427"/>
            <w:vAlign w:val="top"/>
          </w:tcPr>
          <w:p>
            <w:pPr>
              <w:spacing w:after="0"/>
            </w:pPr>
            <w:r>
              <w:rPr>
                <w:sz w:val="12"/>
              </w:rPr>
              <w:t>QA-011</w:t>
            </w:r>
          </w:p>
        </w:tc>
        <w:tc>
          <w:tcPr>
            <w:tcW w:type="dxa" w:w="3427"/>
            <w:vAlign w:val="top"/>
          </w:tcPr>
          <w:p>
            <w:pPr>
              <w:spacing w:after="0"/>
            </w:pPr>
            <w:r>
              <w:rPr>
                <w:sz w:val="12"/>
              </w:rPr>
              <w:t>No RxNorm RXCUI is populated unless resolver metadata/release is recorded.</w:t>
            </w:r>
          </w:p>
        </w:tc>
        <w:tc>
          <w:tcPr>
            <w:tcW w:type="dxa" w:w="3427"/>
            <w:vAlign w:val="top"/>
          </w:tcPr>
          <w:p>
            <w:pPr>
              <w:spacing w:after="0"/>
            </w:pPr>
            <w:r>
              <w:rPr>
                <w:sz w:val="12"/>
              </w:rPr>
              <w:t>FAIL</w:t>
            </w:r>
          </w:p>
        </w:tc>
      </w:tr>
      <w:tr>
        <w:tc>
          <w:tcPr>
            <w:tcW w:type="dxa" w:w="3427"/>
            <w:vAlign w:val="top"/>
          </w:tcPr>
          <w:p>
            <w:pPr>
              <w:spacing w:after="0"/>
            </w:pPr>
            <w:r>
              <w:rPr>
                <w:sz w:val="12"/>
              </w:rPr>
              <w:t>QA-012</w:t>
            </w:r>
          </w:p>
        </w:tc>
        <w:tc>
          <w:tcPr>
            <w:tcW w:type="dxa" w:w="3427"/>
            <w:vAlign w:val="top"/>
          </w:tcPr>
          <w:p>
            <w:pPr>
              <w:spacing w:after="0"/>
            </w:pPr>
            <w:r>
              <w:rPr>
                <w:sz w:val="12"/>
              </w:rPr>
              <w:t>Every event has provenance_source and generation_rule_id.</w:t>
            </w:r>
          </w:p>
        </w:tc>
        <w:tc>
          <w:tcPr>
            <w:tcW w:type="dxa" w:w="3427"/>
            <w:vAlign w:val="top"/>
          </w:tcPr>
          <w:p>
            <w:pPr>
              <w:spacing w:after="0"/>
            </w:pPr>
            <w:r>
              <w:rPr>
                <w:sz w:val="12"/>
              </w:rPr>
              <w:t>FAIL</w:t>
            </w:r>
          </w:p>
        </w:tc>
      </w:tr>
      <w:tr>
        <w:tc>
          <w:tcPr>
            <w:tcW w:type="dxa" w:w="3427"/>
            <w:vAlign w:val="top"/>
          </w:tcPr>
          <w:p>
            <w:pPr>
              <w:spacing w:after="0"/>
            </w:pPr>
            <w:r>
              <w:rPr>
                <w:sz w:val="12"/>
              </w:rPr>
              <w:t>QA-013</w:t>
            </w:r>
          </w:p>
        </w:tc>
        <w:tc>
          <w:tcPr>
            <w:tcW w:type="dxa" w:w="3427"/>
            <w:vAlign w:val="top"/>
          </w:tcPr>
          <w:p>
            <w:pPr>
              <w:spacing w:after="0"/>
            </w:pPr>
            <w:r>
              <w:rPr>
                <w:sz w:val="12"/>
              </w:rPr>
              <w:t>Every document_visibility value is from the frozen document-type registry.</w:t>
            </w:r>
          </w:p>
        </w:tc>
        <w:tc>
          <w:tcPr>
            <w:tcW w:type="dxa" w:w="3427"/>
            <w:vAlign w:val="top"/>
          </w:tcPr>
          <w:p>
            <w:pPr>
              <w:spacing w:after="0"/>
            </w:pPr>
            <w:r>
              <w:rPr>
                <w:sz w:val="12"/>
              </w:rPr>
              <w:t>FAIL</w:t>
            </w:r>
          </w:p>
        </w:tc>
      </w:tr>
      <w:tr>
        <w:tc>
          <w:tcPr>
            <w:tcW w:type="dxa" w:w="3427"/>
            <w:vAlign w:val="top"/>
          </w:tcPr>
          <w:p>
            <w:pPr>
              <w:spacing w:after="0"/>
            </w:pPr>
            <w:r>
              <w:rPr>
                <w:sz w:val="12"/>
              </w:rPr>
              <w:t>QA-014</w:t>
            </w:r>
          </w:p>
        </w:tc>
        <w:tc>
          <w:tcPr>
            <w:tcW w:type="dxa" w:w="3427"/>
            <w:vAlign w:val="top"/>
          </w:tcPr>
          <w:p>
            <w:pPr>
              <w:spacing w:after="0"/>
            </w:pPr>
            <w:r>
              <w:rPr>
                <w:sz w:val="12"/>
              </w:rPr>
              <w:t>Pilot sampling weights are labeled benchmark-design weights, not prevalence.</w:t>
            </w:r>
          </w:p>
        </w:tc>
        <w:tc>
          <w:tcPr>
            <w:tcW w:type="dxa" w:w="3427"/>
            <w:vAlign w:val="top"/>
          </w:tcPr>
          <w:p>
            <w:pPr>
              <w:spacing w:after="0"/>
            </w:pPr>
            <w:r>
              <w:rPr>
                <w:sz w:val="12"/>
              </w:rPr>
              <w:t>FAIL</w:t>
            </w:r>
          </w:p>
        </w:tc>
      </w:tr>
      <w:tr>
        <w:tc>
          <w:tcPr>
            <w:tcW w:type="dxa" w:w="3427"/>
            <w:vAlign w:val="top"/>
          </w:tcPr>
          <w:p>
            <w:pPr>
              <w:spacing w:after="0"/>
            </w:pPr>
            <w:r>
              <w:rPr>
                <w:sz w:val="12"/>
              </w:rPr>
              <w:t>QA-015</w:t>
            </w:r>
          </w:p>
        </w:tc>
        <w:tc>
          <w:tcPr>
            <w:tcW w:type="dxa" w:w="3427"/>
            <w:vAlign w:val="top"/>
          </w:tcPr>
          <w:p>
            <w:pPr>
              <w:spacing w:after="0"/>
            </w:pPr>
            <w:r>
              <w:rPr>
                <w:sz w:val="12"/>
              </w:rPr>
              <w:t>No real clinical text is copied into synthetic truth or scenario templates.</w:t>
            </w:r>
          </w:p>
        </w:tc>
        <w:tc>
          <w:tcPr>
            <w:tcW w:type="dxa" w:w="3427"/>
            <w:vAlign w:val="top"/>
          </w:tcPr>
          <w:p>
            <w:pPr>
              <w:spacing w:after="0"/>
            </w:pPr>
            <w:r>
              <w:rPr>
                <w:sz w:val="12"/>
              </w:rPr>
              <w:t>FAIL</w:t>
            </w:r>
          </w:p>
        </w:tc>
      </w:tr>
    </w:tbl>
    <w:p/>
    <w:p>
      <w:pPr>
        <w:pStyle w:val="Heading1"/>
      </w:pPr>
      <w:r>
        <w:t>16. Explicit blocked-generation registry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Field</w:t>
            </w:r>
          </w:p>
        </w:tc>
        <w:tc>
          <w:tcPr>
            <w:tcW w:type="dxa" w:w="3427"/>
            <w:shd w:fill="D9EAF7"/>
          </w:tcPr>
          <w:p>
            <w:r>
              <w:rPr>
                <w:b/>
                <w:sz w:val="12"/>
              </w:rPr>
              <w:t>Reason</w:t>
            </w:r>
          </w:p>
        </w:tc>
        <w:tc>
          <w:tcPr>
            <w:tcW w:type="dxa" w:w="3427"/>
            <w:shd w:fill="D9EAF7"/>
          </w:tcPr>
          <w:p>
            <w:r>
              <w:rPr>
                <w:b/>
                <w:sz w:val="12"/>
              </w:rPr>
              <w:t>Policy</w:t>
            </w:r>
          </w:p>
        </w:tc>
      </w:tr>
      <w:tr>
        <w:tc>
          <w:tcPr>
            <w:tcW w:type="dxa" w:w="3427"/>
            <w:vAlign w:val="top"/>
          </w:tcPr>
          <w:p>
            <w:pPr>
              <w:spacing w:after="0"/>
            </w:pPr>
            <w:r>
              <w:rPr>
                <w:sz w:val="12"/>
              </w:rPr>
              <w:t>DRE_derived</w:t>
            </w:r>
          </w:p>
        </w:tc>
        <w:tc>
          <w:tcPr>
            <w:tcW w:type="dxa" w:w="3427"/>
            <w:vAlign w:val="top"/>
          </w:tcPr>
          <w:p>
            <w:pPr>
              <w:spacing w:after="0"/>
            </w:pPr>
            <w:r>
              <w:rPr>
                <w:sz w:val="12"/>
              </w:rPr>
              <w:t>Phase 3D/4.1 blocker B09</w:t>
            </w:r>
          </w:p>
        </w:tc>
        <w:tc>
          <w:tcPr>
            <w:tcW w:type="dxa" w:w="3427"/>
            <w:vAlign w:val="top"/>
          </w:tcPr>
          <w:p>
            <w:pPr>
              <w:spacing w:after="0"/>
            </w:pPr>
            <w:r>
              <w:rPr>
                <w:sz w:val="12"/>
              </w:rPr>
              <w:t>No generation</w:t>
            </w:r>
          </w:p>
        </w:tc>
      </w:tr>
      <w:tr>
        <w:tc>
          <w:tcPr>
            <w:tcW w:type="dxa" w:w="3427"/>
            <w:vAlign w:val="top"/>
          </w:tcPr>
          <w:p>
            <w:pPr>
              <w:spacing w:after="0"/>
            </w:pPr>
            <w:r>
              <w:rPr>
                <w:sz w:val="12"/>
              </w:rPr>
              <w:t>multimodal_concordance</w:t>
            </w:r>
          </w:p>
        </w:tc>
        <w:tc>
          <w:tcPr>
            <w:tcW w:type="dxa" w:w="3427"/>
            <w:vAlign w:val="top"/>
          </w:tcPr>
          <w:p>
            <w:pPr>
              <w:spacing w:after="0"/>
            </w:pPr>
            <w:r>
              <w:rPr>
                <w:sz w:val="12"/>
              </w:rPr>
              <w:t>Phase 3D/4.1 blocker B10</w:t>
            </w:r>
          </w:p>
        </w:tc>
        <w:tc>
          <w:tcPr>
            <w:tcW w:type="dxa" w:w="3427"/>
            <w:vAlign w:val="top"/>
          </w:tcPr>
          <w:p>
            <w:pPr>
              <w:spacing w:after="0"/>
            </w:pPr>
            <w:r>
              <w:rPr>
                <w:sz w:val="12"/>
              </w:rPr>
              <w:t>No generation</w:t>
            </w:r>
          </w:p>
        </w:tc>
      </w:tr>
      <w:tr>
        <w:tc>
          <w:tcPr>
            <w:tcW w:type="dxa" w:w="3427"/>
            <w:vAlign w:val="top"/>
          </w:tcPr>
          <w:p>
            <w:pPr>
              <w:spacing w:after="0"/>
            </w:pPr>
            <w:r>
              <w:rPr>
                <w:sz w:val="12"/>
              </w:rPr>
              <w:t>EpSO_URI</w:t>
            </w:r>
          </w:p>
        </w:tc>
        <w:tc>
          <w:tcPr>
            <w:tcW w:type="dxa" w:w="3427"/>
            <w:vAlign w:val="top"/>
          </w:tcPr>
          <w:p>
            <w:pPr>
              <w:spacing w:after="0"/>
            </w:pPr>
            <w:r>
              <w:rPr>
                <w:sz w:val="12"/>
              </w:rPr>
              <w:t>Phase 3D/4.1 blocker B01</w:t>
            </w:r>
          </w:p>
        </w:tc>
        <w:tc>
          <w:tcPr>
            <w:tcW w:type="dxa" w:w="3427"/>
            <w:vAlign w:val="top"/>
          </w:tcPr>
          <w:p>
            <w:pPr>
              <w:spacing w:after="0"/>
            </w:pPr>
            <w:r>
              <w:rPr>
                <w:sz w:val="12"/>
              </w:rPr>
              <w:t>Null until ontology artifact extracted</w:t>
            </w:r>
          </w:p>
        </w:tc>
      </w:tr>
      <w:tr>
        <w:tc>
          <w:tcPr>
            <w:tcW w:type="dxa" w:w="3427"/>
            <w:vAlign w:val="top"/>
          </w:tcPr>
          <w:p>
            <w:pPr>
              <w:spacing w:after="0"/>
            </w:pPr>
            <w:r>
              <w:rPr>
                <w:sz w:val="12"/>
              </w:rPr>
              <w:t>NINDS_CDE_ID</w:t>
            </w:r>
          </w:p>
        </w:tc>
        <w:tc>
          <w:tcPr>
            <w:tcW w:type="dxa" w:w="3427"/>
            <w:vAlign w:val="top"/>
          </w:tcPr>
          <w:p>
            <w:pPr>
              <w:spacing w:after="0"/>
            </w:pPr>
            <w:r>
              <w:rPr>
                <w:sz w:val="12"/>
              </w:rPr>
              <w:t>Phase 3D/4.1 blocker B02</w:t>
            </w:r>
          </w:p>
        </w:tc>
        <w:tc>
          <w:tcPr>
            <w:tcW w:type="dxa" w:w="3427"/>
            <w:vAlign w:val="top"/>
          </w:tcPr>
          <w:p>
            <w:pPr>
              <w:spacing w:after="0"/>
            </w:pPr>
            <w:r>
              <w:rPr>
                <w:sz w:val="12"/>
              </w:rPr>
              <w:t>Null until exact CDE version/rows frozen</w:t>
            </w:r>
          </w:p>
        </w:tc>
      </w:tr>
      <w:tr>
        <w:tc>
          <w:tcPr>
            <w:tcW w:type="dxa" w:w="3427"/>
            <w:vAlign w:val="top"/>
          </w:tcPr>
          <w:p>
            <w:pPr>
              <w:spacing w:after="0"/>
            </w:pPr>
            <w:r>
              <w:rPr>
                <w:sz w:val="12"/>
              </w:rPr>
              <w:t>SCORE_term_ID</w:t>
            </w:r>
          </w:p>
        </w:tc>
        <w:tc>
          <w:tcPr>
            <w:tcW w:type="dxa" w:w="3427"/>
            <w:vAlign w:val="top"/>
          </w:tcPr>
          <w:p>
            <w:pPr>
              <w:spacing w:after="0"/>
            </w:pPr>
            <w:r>
              <w:rPr>
                <w:sz w:val="12"/>
              </w:rPr>
              <w:t>Phase 3D/4.1 blocker B03</w:t>
            </w:r>
          </w:p>
        </w:tc>
        <w:tc>
          <w:tcPr>
            <w:tcW w:type="dxa" w:w="3427"/>
            <w:vAlign w:val="top"/>
          </w:tcPr>
          <w:p>
            <w:pPr>
              <w:spacing w:after="0"/>
            </w:pPr>
            <w:r>
              <w:rPr>
                <w:sz w:val="12"/>
              </w:rPr>
              <w:t>Null except any later verified mapping</w:t>
            </w:r>
          </w:p>
        </w:tc>
      </w:tr>
      <w:tr>
        <w:tc>
          <w:tcPr>
            <w:tcW w:type="dxa" w:w="3427"/>
            <w:vAlign w:val="top"/>
          </w:tcPr>
          <w:p>
            <w:pPr>
              <w:spacing w:after="0"/>
            </w:pPr>
            <w:r>
              <w:rPr>
                <w:sz w:val="12"/>
              </w:rPr>
              <w:t>MRI_canonical_lesion_code</w:t>
            </w:r>
          </w:p>
        </w:tc>
        <w:tc>
          <w:tcPr>
            <w:tcW w:type="dxa" w:w="3427"/>
            <w:vAlign w:val="top"/>
          </w:tcPr>
          <w:p>
            <w:pPr>
              <w:spacing w:after="0"/>
            </w:pPr>
            <w:r>
              <w:rPr>
                <w:sz w:val="12"/>
              </w:rPr>
              <w:t>Phase 3D/4.1 blocker B04</w:t>
            </w:r>
          </w:p>
        </w:tc>
        <w:tc>
          <w:tcPr>
            <w:tcW w:type="dxa" w:w="3427"/>
            <w:vAlign w:val="top"/>
          </w:tcPr>
          <w:p>
            <w:pPr>
              <w:spacing w:after="0"/>
            </w:pPr>
            <w:r>
              <w:rPr>
                <w:sz w:val="12"/>
              </w:rPr>
              <w:t>Source text only</w:t>
            </w:r>
          </w:p>
        </w:tc>
      </w:tr>
      <w:tr>
        <w:tc>
          <w:tcPr>
            <w:tcW w:type="dxa" w:w="3427"/>
            <w:vAlign w:val="top"/>
          </w:tcPr>
          <w:p>
            <w:pPr>
              <w:spacing w:after="0"/>
            </w:pPr>
            <w:r>
              <w:rPr>
                <w:sz w:val="12"/>
              </w:rPr>
              <w:t>syndrome_derived</w:t>
            </w:r>
          </w:p>
        </w:tc>
        <w:tc>
          <w:tcPr>
            <w:tcW w:type="dxa" w:w="3427"/>
            <w:vAlign w:val="top"/>
          </w:tcPr>
          <w:p>
            <w:pPr>
              <w:spacing w:after="0"/>
            </w:pPr>
            <w:r>
              <w:rPr>
                <w:sz w:val="12"/>
              </w:rPr>
              <w:t>Phase 3D/4.1 blocker B06</w:t>
            </w:r>
          </w:p>
        </w:tc>
        <w:tc>
          <w:tcPr>
            <w:tcW w:type="dxa" w:w="3427"/>
            <w:vAlign w:val="top"/>
          </w:tcPr>
          <w:p>
            <w:pPr>
              <w:spacing w:after="0"/>
            </w:pPr>
            <w:r>
              <w:rPr>
                <w:sz w:val="12"/>
              </w:rPr>
              <w:t>Direct label only</w:t>
            </w:r>
          </w:p>
        </w:tc>
      </w:tr>
      <w:tr>
        <w:tc>
          <w:tcPr>
            <w:tcW w:type="dxa" w:w="3427"/>
            <w:vAlign w:val="top"/>
          </w:tcPr>
          <w:p>
            <w:pPr>
              <w:spacing w:after="0"/>
            </w:pPr>
            <w:r>
              <w:rPr>
                <w:sz w:val="12"/>
              </w:rPr>
              <w:t>universal_certainty_score</w:t>
            </w:r>
          </w:p>
        </w:tc>
        <w:tc>
          <w:tcPr>
            <w:tcW w:type="dxa" w:w="3427"/>
            <w:vAlign w:val="top"/>
          </w:tcPr>
          <w:p>
            <w:pPr>
              <w:spacing w:after="0"/>
            </w:pPr>
            <w:r>
              <w:rPr>
                <w:sz w:val="12"/>
              </w:rPr>
              <w:t>Phase 3D/4.1 blocker B07</w:t>
            </w:r>
          </w:p>
        </w:tc>
        <w:tc>
          <w:tcPr>
            <w:tcW w:type="dxa" w:w="3427"/>
            <w:vAlign w:val="top"/>
          </w:tcPr>
          <w:p>
            <w:pPr>
              <w:spacing w:after="0"/>
            </w:pPr>
            <w:r>
              <w:rPr>
                <w:sz w:val="12"/>
              </w:rPr>
              <w:t>Preserve source hedging/polarity</w:t>
            </w:r>
          </w:p>
        </w:tc>
      </w:tr>
      <w:tr>
        <w:tc>
          <w:tcPr>
            <w:tcW w:type="dxa" w:w="3427"/>
            <w:vAlign w:val="top"/>
          </w:tcPr>
          <w:p>
            <w:pPr>
              <w:spacing w:after="0"/>
            </w:pPr>
            <w:r>
              <w:rPr>
                <w:sz w:val="12"/>
              </w:rPr>
              <w:t>universal_temporality_code</w:t>
            </w:r>
          </w:p>
        </w:tc>
        <w:tc>
          <w:tcPr>
            <w:tcW w:type="dxa" w:w="3427"/>
            <w:vAlign w:val="top"/>
          </w:tcPr>
          <w:p>
            <w:pPr>
              <w:spacing w:after="0"/>
            </w:pPr>
            <w:r>
              <w:rPr>
                <w:sz w:val="12"/>
              </w:rPr>
              <w:t>Phase 3D/4.1 blocker B08</w:t>
            </w:r>
          </w:p>
        </w:tc>
        <w:tc>
          <w:tcPr>
            <w:tcW w:type="dxa" w:w="3427"/>
            <w:vAlign w:val="top"/>
          </w:tcPr>
          <w:p>
            <w:pPr>
              <w:spacing w:after="0"/>
            </w:pPr>
            <w:r>
              <w:rPr>
                <w:sz w:val="12"/>
              </w:rPr>
              <w:t>Use source-supported temporal fields</w:t>
            </w:r>
          </w:p>
        </w:tc>
      </w:tr>
      <w:tr>
        <w:tc>
          <w:tcPr>
            <w:tcW w:type="dxa" w:w="3427"/>
            <w:vAlign w:val="top"/>
          </w:tcPr>
          <w:p>
            <w:pPr>
              <w:spacing w:after="0"/>
            </w:pPr>
            <w:r>
              <w:rPr>
                <w:sz w:val="12"/>
              </w:rPr>
              <w:t>RxNorm_RXCUI_unresolved</w:t>
            </w:r>
          </w:p>
        </w:tc>
        <w:tc>
          <w:tcPr>
            <w:tcW w:type="dxa" w:w="3427"/>
            <w:vAlign w:val="top"/>
          </w:tcPr>
          <w:p>
            <w:pPr>
              <w:spacing w:after="0"/>
            </w:pPr>
            <w:r>
              <w:rPr>
                <w:sz w:val="12"/>
              </w:rPr>
              <w:t>Phase 3D/4.1 blocker B11</w:t>
            </w:r>
          </w:p>
        </w:tc>
        <w:tc>
          <w:tcPr>
            <w:tcW w:type="dxa" w:w="3427"/>
            <w:vAlign w:val="top"/>
          </w:tcPr>
          <w:p>
            <w:pPr>
              <w:spacing w:after="0"/>
            </w:pPr>
            <w:r>
              <w:rPr>
                <w:sz w:val="12"/>
              </w:rPr>
              <w:t>No guessed ID</w:t>
            </w:r>
          </w:p>
        </w:tc>
      </w:tr>
    </w:tbl>
    <w:p/>
    <w:p>
      <w:pPr>
        <w:pStyle w:val="Heading1"/>
      </w:pPr>
      <w:r>
        <w:t>17. Phase 5 release gate</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PASS — MODEL SPECIFICATION; PILOT GENERATION ONLY</w:t>
              <w:br/>
            </w:r>
            <w:r>
              <w:t>The patient/event architecture is ready for a small constrained pilot using source-backed/frozen fields. Full synthetic cohort generation remains conditional on unresolved ontology/mapping/derivation work and clinician review of scenario realism.</w:t>
            </w:r>
          </w:p>
        </w:tc>
      </w:tr>
    </w:tbl>
    <w:p/>
    <w:p>
      <w:r>
        <w:t>The next phase is Phase 6 — Clinical Document Generation Specification. It should define how latent events are rendered into heterogeneous documents without adding new truth, how evidence spans are tracked automatically, how multiple generators are separated from the ontology/rules engine, and how document realism is reviewed.</w:t>
      </w:r>
    </w:p>
    <w:p>
      <w:pPr>
        <w:pStyle w:val="Heading1"/>
      </w:pPr>
      <w:r>
        <w:t>18. Deliverables</w:t>
      </w:r>
    </w:p>
    <w:p>
      <w:pPr>
        <w:pStyle w:val="ListBullet"/>
      </w:pPr>
      <w:r>
        <w:t>MedAI_Phase5_Patient_Schema_v1.0.csv</w:t>
      </w:r>
    </w:p>
    <w:p>
      <w:pPr>
        <w:pStyle w:val="ListBullet"/>
      </w:pPr>
      <w:r>
        <w:t>MedAI_Phase5_Event_Schema_v1.0.csv</w:t>
      </w:r>
    </w:p>
    <w:p>
      <w:pPr>
        <w:pStyle w:val="ListBullet"/>
      </w:pPr>
      <w:r>
        <w:t>MedAI_Phase5_Latent_Truth_Schema_v1.0.csv</w:t>
      </w:r>
    </w:p>
    <w:p>
      <w:pPr>
        <w:pStyle w:val="ListBullet"/>
      </w:pPr>
      <w:r>
        <w:t>MedAI_Phase5_Generation_Constraints_v1.0.csv</w:t>
      </w:r>
    </w:p>
    <w:p>
      <w:pPr>
        <w:pStyle w:val="ListBullet"/>
      </w:pPr>
      <w:r>
        <w:t>MedAI_Phase5_Pilot_Scenario_Templates_v1.0.csv</w:t>
      </w:r>
    </w:p>
    <w:p>
      <w:pPr>
        <w:pStyle w:val="ListBullet"/>
      </w:pPr>
      <w:r>
        <w:t>MedAI_Phase5_QA_Rules_v1.0.csv</w:t>
      </w:r>
    </w:p>
    <w:p>
      <w:pPr>
        <w:pStyle w:val="ListBullet"/>
      </w:pPr>
      <w:r>
        <w:t>MedAI_Phase5_Blocked_Generation_Fields_v1.0.csv</w:t>
      </w:r>
    </w:p>
    <w:p>
      <w:pPr>
        <w:pStyle w:val="ListBullet"/>
      </w:pPr>
      <w:r>
        <w:t>MedAI_Phase5_Synthetic_Patient_Event_Model_v1.0.json</w:t>
      </w:r>
    </w:p>
    <w:p>
      <w:pPr>
        <w:pStyle w:val="Heading1"/>
      </w:pPr>
      <w:r>
        <w:t>19. Source basis</w:t>
      </w:r>
    </w:p>
    <w:p>
      <w:r>
        <w:t>1. International League Against Epilepsy. ILAE Classification of the Epilepsies (2017); Scheffer IE et al. Epilepsia. 2017;58:512-521. DOI 10.1111/epi.13709.</w:t>
      </w:r>
    </w:p>
    <w:p>
      <w:r>
        <w:t>2. Beniczky S, Trinka E, Wirrell E, et al. Updated classification of epileptic seizures. Epilepsia. 2025. DOI 10.1111/epi.18338.</w:t>
      </w:r>
    </w:p>
    <w:p>
      <w:r>
        <w:t>3. International League Against Epilepsy. Classification and Definition of Epilepsy Syndromes. 2022 position-paper series.</w:t>
      </w:r>
    </w:p>
    <w:p>
      <w:r>
        <w:t>4. Kwan P, Arzimanoglou A, Berg AT, et al. Definition of drug resistant epilepsy. Epilepsia. 2010;51:1069-1077. DOI 10.1111/j.1528-1167.2009.02397.x.</w:t>
      </w:r>
    </w:p>
    <w:p>
      <w:r>
        <w:t>5. Fonferko-Shadrach B, et al. Annotation of epilepsy clinic letters for natural language processing. J Biomed Semantics. 2024;15:17. DOI 10.1186/s13326-024-00316-z.</w:t>
      </w:r>
    </w:p>
    <w:p>
      <w:r>
        <w:t>6. Abeysinghe R, et al. SZFreqExtract. npj Digital Medicine. 2025.</w:t>
      </w:r>
    </w:p>
    <w:p>
      <w:r>
        <w:t>7. MedAI Phase 3B Source Taxonomy, Phase 3C Clinical-Document Phenotype Model, Phase 4 Annotation Manual, and Phase 3D/4.1 Application Profile.</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