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4"/>
        </w:rPr>
        <w:t>MedAI / EpiSynth</w:t>
      </w:r>
    </w:p>
    <w:p>
      <w:pPr>
        <w:jc w:val="center"/>
      </w:pPr>
      <w:r>
        <w:rPr>
          <w:b/>
          <w:color w:val="2F5597"/>
          <w:sz w:val="38"/>
        </w:rPr>
        <w:t>Phase 6A — Clinical Document Evidence &amp; Source Audit</w:t>
      </w:r>
    </w:p>
    <w:p>
      <w:pPr>
        <w:jc w:val="center"/>
      </w:pPr>
      <w:r>
        <w:rPr>
          <w:sz w:val="22"/>
        </w:rPr>
        <w:t>Version 1.0 • 25 September 2026</w:t>
        <w:br/>
        <w:t>Audit before any clinical-document generation profile is frozen</w:t>
      </w:r>
    </w:p>
    <w:tbl>
      <w:tblPr>
        <w:tblStyle w:val="TableGrid"/>
        <w:tblW w:type="auto" w:w="0"/>
        <w:tblLook w:firstColumn="1" w:firstRow="1" w:lastColumn="0" w:lastRow="0" w:noHBand="0" w:noVBand="1" w:val="04A0"/>
      </w:tblPr>
      <w:tblGrid>
        <w:gridCol w:w="10282"/>
      </w:tblGrid>
      <w:tr>
        <w:trPr>
          <w:cantSplit/>
        </w:trPr>
        <w:tc>
          <w:tcPr>
            <w:tcW w:type="dxa" w:w="10282"/>
            <w:shd w:fill="E2F0D9"/>
          </w:tcPr>
          <w:p>
            <w:r>
              <w:rPr>
                <w:b/>
                <w:color w:val="17365D"/>
              </w:rPr>
              <w:t>Non-negotiable rule</w:t>
              <w:br/>
            </w:r>
            <w:r>
              <w:t>A document family is not allowed into EpiSynth merely because it is clinically plausible. It must have an audited source supporting the relevant reporting framework, content domains, terminology, or document precedent. MedAI engineering mechanisms are allowed only when explicitly labeled as MedAI-proposed.</w:t>
            </w:r>
          </w:p>
        </w:tc>
      </w:tr>
    </w:tbl>
    <w:p/>
    <w:p>
      <w:r>
        <w:br w:type="page"/>
      </w:r>
    </w:p>
    <w:p>
      <w:pPr>
        <w:pStyle w:val="Heading1"/>
      </w:pPr>
      <w:r>
        <w:t>1. Why Phase 6A was inserted</w:t>
      </w:r>
    </w:p>
    <w:p>
      <w:r>
        <w:t>The preliminary Phase 6 mixed source-backed clinical semantics with project-designed document-flow assumptions. This audit corrects that. It asks a narrower question before generation: what does the literature or professional guidance actually support about each proposed document family?</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Correction to preliminary Phase 6</w:t>
              <w:br/>
            </w:r>
            <w:r>
              <w:t>The earlier Phase 6 document should be treated as PRELIMINARY ARCHITECTURE, not a frozen clinical-document specification. Phase 6B must be rebuilt from this audit.</w:t>
            </w:r>
          </w:p>
        </w:tc>
      </w:tr>
    </w:tbl>
    <w:p/>
    <w:p>
      <w:pPr>
        <w:pStyle w:val="Heading1"/>
      </w:pPr>
      <w:r>
        <w:t>2. Audit method</w:t>
      </w:r>
    </w:p>
    <w:p>
      <w:r>
        <w:t>For each proposed document family, the audit distinguishes four independent forms of support: (1) reporting framework, (2) supported content domains, (3) document/template precedent, and (4) terminology. A source supporting one dimension is not assumed to support the others.</w:t>
      </w:r>
    </w:p>
    <w:tbl>
      <w:tblPr>
        <w:tblStyle w:val="TableGrid"/>
        <w:tblW w:type="auto" w:w="0"/>
        <w:jc w:val="center"/>
        <w:tblLook w:firstColumn="1" w:firstRow="1" w:lastColumn="0" w:lastRow="0" w:noHBand="0" w:noVBand="1" w:val="04A0"/>
      </w:tblPr>
      <w:tblGrid>
        <w:gridCol w:w="5141"/>
        <w:gridCol w:w="5141"/>
      </w:tblGrid>
      <w:tr>
        <w:trPr>
          <w:cantSplit/>
          <w:tblHeader/>
        </w:trPr>
        <w:tc>
          <w:tcPr>
            <w:tcW w:type="dxa" w:w="5141"/>
            <w:shd w:fill="D9EAF7"/>
          </w:tcPr>
          <w:p>
            <w:r>
              <w:rPr>
                <w:b/>
                <w:sz w:val="13"/>
              </w:rPr>
              <w:t>Evidence dimension</w:t>
            </w:r>
          </w:p>
        </w:tc>
        <w:tc>
          <w:tcPr>
            <w:tcW w:type="dxa" w:w="5141"/>
            <w:shd w:fill="D9EAF7"/>
          </w:tcPr>
          <w:p>
            <w:r>
              <w:rPr>
                <w:b/>
                <w:sz w:val="13"/>
              </w:rPr>
              <w:t>Question</w:t>
            </w:r>
          </w:p>
        </w:tc>
      </w:tr>
      <w:tr>
        <w:trPr>
          <w:cantSplit/>
        </w:trPr>
        <w:tc>
          <w:tcPr>
            <w:tcW w:type="dxa" w:w="5141"/>
            <w:vAlign w:val="top"/>
          </w:tcPr>
          <w:p>
            <w:pPr>
              <w:spacing w:after="0"/>
            </w:pPr>
            <w:r>
              <w:rPr>
                <w:sz w:val="12"/>
              </w:rPr>
              <w:t>Reporting framework</w:t>
            </w:r>
          </w:p>
        </w:tc>
        <w:tc>
          <w:tcPr>
            <w:tcW w:type="dxa" w:w="5141"/>
            <w:vAlign w:val="top"/>
          </w:tcPr>
          <w:p>
            <w:pPr>
              <w:spacing w:after="0"/>
            </w:pPr>
            <w:r>
              <w:rPr>
                <w:sz w:val="12"/>
              </w:rPr>
              <w:t>Is there a professional/published framework for how this type of report is constructed or communicated?</w:t>
            </w:r>
          </w:p>
        </w:tc>
      </w:tr>
      <w:tr>
        <w:trPr>
          <w:cantSplit/>
        </w:trPr>
        <w:tc>
          <w:tcPr>
            <w:tcW w:type="dxa" w:w="5141"/>
            <w:vAlign w:val="top"/>
          </w:tcPr>
          <w:p>
            <w:pPr>
              <w:spacing w:after="0"/>
            </w:pPr>
            <w:r>
              <w:rPr>
                <w:sz w:val="12"/>
              </w:rPr>
              <w:t>Content domains</w:t>
            </w:r>
          </w:p>
        </w:tc>
        <w:tc>
          <w:tcPr>
            <w:tcW w:type="dxa" w:w="5141"/>
            <w:vAlign w:val="top"/>
          </w:tcPr>
          <w:p>
            <w:pPr>
              <w:spacing w:after="0"/>
            </w:pPr>
            <w:r>
              <w:rPr>
                <w:sz w:val="12"/>
              </w:rPr>
              <w:t>Does a source explicitly say what clinical information the document contains?</w:t>
            </w:r>
          </w:p>
        </w:tc>
      </w:tr>
      <w:tr>
        <w:trPr>
          <w:cantSplit/>
        </w:trPr>
        <w:tc>
          <w:tcPr>
            <w:tcW w:type="dxa" w:w="5141"/>
            <w:vAlign w:val="top"/>
          </w:tcPr>
          <w:p>
            <w:pPr>
              <w:spacing w:after="0"/>
            </w:pPr>
            <w:r>
              <w:rPr>
                <w:sz w:val="12"/>
              </w:rPr>
              <w:t>Template precedent</w:t>
            </w:r>
          </w:p>
        </w:tc>
        <w:tc>
          <w:tcPr>
            <w:tcW w:type="dxa" w:w="5141"/>
            <w:vAlign w:val="top"/>
          </w:tcPr>
          <w:p>
            <w:pPr>
              <w:spacing w:after="0"/>
            </w:pPr>
            <w:r>
              <w:rPr>
                <w:sz w:val="12"/>
              </w:rPr>
              <w:t>Is there evidence for an actual document form/corpus/template rather than a plausible imagined layout?</w:t>
            </w:r>
          </w:p>
        </w:tc>
      </w:tr>
      <w:tr>
        <w:trPr>
          <w:cantSplit/>
        </w:trPr>
        <w:tc>
          <w:tcPr>
            <w:tcW w:type="dxa" w:w="5141"/>
            <w:vAlign w:val="top"/>
          </w:tcPr>
          <w:p>
            <w:pPr>
              <w:spacing w:after="0"/>
            </w:pPr>
            <w:r>
              <w:rPr>
                <w:sz w:val="12"/>
              </w:rPr>
              <w:t>Terminology</w:t>
            </w:r>
          </w:p>
        </w:tc>
        <w:tc>
          <w:tcPr>
            <w:tcW w:type="dxa" w:w="5141"/>
            <w:vAlign w:val="top"/>
          </w:tcPr>
          <w:p>
            <w:pPr>
              <w:spacing w:after="0"/>
            </w:pPr>
            <w:r>
              <w:rPr>
                <w:sz w:val="12"/>
              </w:rPr>
              <w:t>Is there a standardized vocabulary/classification that constrains the document's clinical statements?</w:t>
            </w:r>
          </w:p>
        </w:tc>
      </w:tr>
      <w:tr>
        <w:trPr>
          <w:cantSplit/>
        </w:trPr>
        <w:tc>
          <w:tcPr>
            <w:tcW w:type="dxa" w:w="5141"/>
            <w:vAlign w:val="top"/>
          </w:tcPr>
          <w:p>
            <w:pPr>
              <w:spacing w:after="0"/>
            </w:pPr>
            <w:r>
              <w:rPr>
                <w:sz w:val="12"/>
              </w:rPr>
              <w:t>Generation gate</w:t>
            </w:r>
          </w:p>
        </w:tc>
        <w:tc>
          <w:tcPr>
            <w:tcW w:type="dxa" w:w="5141"/>
            <w:vAlign w:val="top"/>
          </w:tcPr>
          <w:p>
            <w:pPr>
              <w:spacing w:after="0"/>
            </w:pPr>
            <w:r>
              <w:rPr>
                <w:sz w:val="12"/>
              </w:rPr>
              <w:t>Given the evidence above, can we generate this document without pretending unsupported conventions are standards?</w:t>
            </w:r>
          </w:p>
        </w:tc>
      </w:tr>
    </w:tbl>
    <w:p/>
    <w:p>
      <w:pPr>
        <w:pStyle w:val="Heading1"/>
      </w:pPr>
      <w:r>
        <w:t>3. Audited source registry</w:t>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trPr>
        <w:tc>
          <w:tcPr>
            <w:tcW w:type="dxa" w:w="2570"/>
            <w:shd w:fill="D9EAF7"/>
          </w:tcPr>
          <w:p>
            <w:r>
              <w:rPr>
                <w:b/>
                <w:sz w:val="12"/>
              </w:rPr>
              <w:t>ID</w:t>
            </w:r>
          </w:p>
        </w:tc>
        <w:tc>
          <w:tcPr>
            <w:tcW w:type="dxa" w:w="2570"/>
            <w:shd w:fill="D9EAF7"/>
          </w:tcPr>
          <w:p>
            <w:r>
              <w:rPr>
                <w:b/>
                <w:sz w:val="12"/>
              </w:rPr>
              <w:t>Source</w:t>
            </w:r>
          </w:p>
        </w:tc>
        <w:tc>
          <w:tcPr>
            <w:tcW w:type="dxa" w:w="2570"/>
            <w:shd w:fill="D9EAF7"/>
          </w:tcPr>
          <w:p>
            <w:r>
              <w:rPr>
                <w:b/>
                <w:sz w:val="12"/>
              </w:rPr>
              <w:t>Class</w:t>
            </w:r>
          </w:p>
        </w:tc>
        <w:tc>
          <w:tcPr>
            <w:tcW w:type="dxa" w:w="2570"/>
            <w:shd w:fill="D9EAF7"/>
          </w:tcPr>
          <w:p>
            <w:r>
              <w:rPr>
                <w:b/>
                <w:sz w:val="12"/>
              </w:rPr>
              <w:t>Audited support</w:t>
            </w:r>
          </w:p>
        </w:tc>
      </w:tr>
      <w:tr>
        <w:trPr>
          <w:cantSplit/>
        </w:trPr>
        <w:tc>
          <w:tcPr>
            <w:tcW w:type="dxa" w:w="2570"/>
            <w:vAlign w:val="top"/>
          </w:tcPr>
          <w:p>
            <w:pPr>
              <w:spacing w:after="0"/>
            </w:pPr>
            <w:r>
              <w:rPr>
                <w:sz w:val="11"/>
              </w:rPr>
              <w:t>S6A-01</w:t>
            </w:r>
          </w:p>
        </w:tc>
        <w:tc>
          <w:tcPr>
            <w:tcW w:type="dxa" w:w="2570"/>
            <w:vAlign w:val="top"/>
          </w:tcPr>
          <w:p>
            <w:pPr>
              <w:spacing w:after="0"/>
            </w:pPr>
            <w:r>
              <w:rPr>
                <w:sz w:val="11"/>
              </w:rPr>
              <w:t>Fonferko-Shadrach et al. 2024 — Annotation of epilepsy clinic letters for natural language processing</w:t>
            </w:r>
          </w:p>
        </w:tc>
        <w:tc>
          <w:tcPr>
            <w:tcW w:type="dxa" w:w="2570"/>
            <w:vAlign w:val="top"/>
          </w:tcPr>
          <w:p>
            <w:pPr>
              <w:spacing w:after="0"/>
            </w:pPr>
            <w:r>
              <w:rPr>
                <w:sz w:val="11"/>
              </w:rPr>
              <w:t>PRIMARY/PUBLISHED</w:t>
            </w:r>
          </w:p>
        </w:tc>
        <w:tc>
          <w:tcPr>
            <w:tcW w:type="dxa" w:w="2570"/>
            <w:vAlign w:val="top"/>
          </w:tcPr>
          <w:p>
            <w:pPr>
              <w:spacing w:after="0"/>
            </w:pPr>
            <w:r>
              <w:rPr>
                <w:sz w:val="11"/>
              </w:rPr>
              <w:t>Synthetic epilepsy clinic letters; annotation domains; style variation; double annotation; consensus gold</w:t>
            </w:r>
          </w:p>
        </w:tc>
      </w:tr>
      <w:tr>
        <w:trPr>
          <w:cantSplit/>
        </w:trPr>
        <w:tc>
          <w:tcPr>
            <w:tcW w:type="dxa" w:w="2570"/>
            <w:vAlign w:val="top"/>
          </w:tcPr>
          <w:p>
            <w:pPr>
              <w:spacing w:after="0"/>
            </w:pPr>
            <w:r>
              <w:rPr>
                <w:sz w:val="11"/>
              </w:rPr>
              <w:t>S6A-02</w:t>
            </w:r>
          </w:p>
        </w:tc>
        <w:tc>
          <w:tcPr>
            <w:tcW w:type="dxa" w:w="2570"/>
            <w:vAlign w:val="top"/>
          </w:tcPr>
          <w:p>
            <w:pPr>
              <w:spacing w:after="0"/>
            </w:pPr>
            <w:r>
              <w:rPr>
                <w:sz w:val="11"/>
              </w:rPr>
              <w:t>Beniczky et al. 2017 — Standardized computer-based organized reporting of EEG: SCORE - Second version</w:t>
            </w:r>
          </w:p>
        </w:tc>
        <w:tc>
          <w:tcPr>
            <w:tcW w:type="dxa" w:w="2570"/>
            <w:vAlign w:val="top"/>
          </w:tcPr>
          <w:p>
            <w:pPr>
              <w:spacing w:after="0"/>
            </w:pPr>
            <w:r>
              <w:rPr>
                <w:sz w:val="11"/>
              </w:rPr>
              <w:t>PRIMARY/CONSENSUS</w:t>
            </w:r>
          </w:p>
        </w:tc>
        <w:tc>
          <w:tcPr>
            <w:tcW w:type="dxa" w:w="2570"/>
            <w:vAlign w:val="top"/>
          </w:tcPr>
          <w:p>
            <w:pPr>
              <w:spacing w:after="0"/>
            </w:pPr>
            <w:r>
              <w:rPr>
                <w:sz w:val="11"/>
              </w:rPr>
              <w:t>Standardized context-sensitive EEG reporting; seizure/ictal modules; tested on 12,160 EEGs</w:t>
            </w:r>
          </w:p>
        </w:tc>
      </w:tr>
      <w:tr>
        <w:trPr>
          <w:cantSplit/>
        </w:trPr>
        <w:tc>
          <w:tcPr>
            <w:tcW w:type="dxa" w:w="2570"/>
            <w:vAlign w:val="top"/>
          </w:tcPr>
          <w:p>
            <w:pPr>
              <w:spacing w:after="0"/>
            </w:pPr>
            <w:r>
              <w:rPr>
                <w:sz w:val="11"/>
              </w:rPr>
              <w:t>S6A-03</w:t>
            </w:r>
          </w:p>
        </w:tc>
        <w:tc>
          <w:tcPr>
            <w:tcW w:type="dxa" w:w="2570"/>
            <w:vAlign w:val="top"/>
          </w:tcPr>
          <w:p>
            <w:pPr>
              <w:spacing w:after="0"/>
            </w:pPr>
            <w:r>
              <w:rPr>
                <w:sz w:val="11"/>
              </w:rPr>
              <w:t>Beniczky et al. 2013 — Standardized computer-based organized reporting of EEG: SCORE</w:t>
            </w:r>
          </w:p>
        </w:tc>
        <w:tc>
          <w:tcPr>
            <w:tcW w:type="dxa" w:w="2570"/>
            <w:vAlign w:val="top"/>
          </w:tcPr>
          <w:p>
            <w:pPr>
              <w:spacing w:after="0"/>
            </w:pPr>
            <w:r>
              <w:rPr>
                <w:sz w:val="11"/>
              </w:rPr>
              <w:t>PRIMARY/CONSENSUS</w:t>
            </w:r>
          </w:p>
        </w:tc>
        <w:tc>
          <w:tcPr>
            <w:tcW w:type="dxa" w:w="2570"/>
            <w:vAlign w:val="top"/>
          </w:tcPr>
          <w:p>
            <w:pPr>
              <w:spacing w:after="0"/>
            </w:pPr>
            <w:r>
              <w:rPr>
                <w:sz w:val="11"/>
              </w:rPr>
              <w:t>Predefined elements for relevant EEG features and video-EEG clinical phenomena</w:t>
            </w:r>
          </w:p>
        </w:tc>
      </w:tr>
      <w:tr>
        <w:trPr>
          <w:cantSplit/>
        </w:trPr>
        <w:tc>
          <w:tcPr>
            <w:tcW w:type="dxa" w:w="2570"/>
            <w:vAlign w:val="top"/>
          </w:tcPr>
          <w:p>
            <w:pPr>
              <w:spacing w:after="0"/>
            </w:pPr>
            <w:r>
              <w:rPr>
                <w:sz w:val="11"/>
              </w:rPr>
              <w:t>S6A-04</w:t>
            </w:r>
          </w:p>
        </w:tc>
        <w:tc>
          <w:tcPr>
            <w:tcW w:type="dxa" w:w="2570"/>
            <w:vAlign w:val="top"/>
          </w:tcPr>
          <w:p>
            <w:pPr>
              <w:spacing w:after="0"/>
            </w:pPr>
            <w:r>
              <w:rPr>
                <w:sz w:val="11"/>
              </w:rPr>
              <w:t>American College of Radiology — ACR Practice Parameter for Communication of Diagnostic Imaging Findings</w:t>
            </w:r>
          </w:p>
        </w:tc>
        <w:tc>
          <w:tcPr>
            <w:tcW w:type="dxa" w:w="2570"/>
            <w:vAlign w:val="top"/>
          </w:tcPr>
          <w:p>
            <w:pPr>
              <w:spacing w:after="0"/>
            </w:pPr>
            <w:r>
              <w:rPr>
                <w:sz w:val="11"/>
              </w:rPr>
              <w:t>PROFESSIONAL CONSENSUS</w:t>
            </w:r>
          </w:p>
        </w:tc>
        <w:tc>
          <w:tcPr>
            <w:tcW w:type="dxa" w:w="2570"/>
            <w:vAlign w:val="top"/>
          </w:tcPr>
          <w:p>
            <w:pPr>
              <w:spacing w:after="0"/>
            </w:pPr>
            <w:r>
              <w:rPr>
                <w:sz w:val="11"/>
              </w:rPr>
              <w:t>General diagnostic imaging report components/principles; not epilepsy-specific</w:t>
            </w:r>
          </w:p>
        </w:tc>
      </w:tr>
      <w:tr>
        <w:trPr>
          <w:cantSplit/>
        </w:trPr>
        <w:tc>
          <w:tcPr>
            <w:tcW w:type="dxa" w:w="2570"/>
            <w:vAlign w:val="top"/>
          </w:tcPr>
          <w:p>
            <w:pPr>
              <w:spacing w:after="0"/>
            </w:pPr>
            <w:r>
              <w:rPr>
                <w:sz w:val="11"/>
              </w:rPr>
              <w:t>S6A-05</w:t>
            </w:r>
          </w:p>
        </w:tc>
        <w:tc>
          <w:tcPr>
            <w:tcW w:type="dxa" w:w="2570"/>
            <w:vAlign w:val="top"/>
          </w:tcPr>
          <w:p>
            <w:pPr>
              <w:spacing w:after="0"/>
            </w:pPr>
            <w:r>
              <w:rPr>
                <w:sz w:val="11"/>
              </w:rPr>
              <w:t>ACR-ASNR-SPR — Practice Parameter for Performance and Interpretation of MRI of the Brain</w:t>
            </w:r>
          </w:p>
        </w:tc>
        <w:tc>
          <w:tcPr>
            <w:tcW w:type="dxa" w:w="2570"/>
            <w:vAlign w:val="top"/>
          </w:tcPr>
          <w:p>
            <w:pPr>
              <w:spacing w:after="0"/>
            </w:pPr>
            <w:r>
              <w:rPr>
                <w:sz w:val="11"/>
              </w:rPr>
              <w:t>PROFESSIONAL CONSENSUS</w:t>
            </w:r>
          </w:p>
        </w:tc>
        <w:tc>
          <w:tcPr>
            <w:tcW w:type="dxa" w:w="2570"/>
            <w:vAlign w:val="top"/>
          </w:tcPr>
          <w:p>
            <w:pPr>
              <w:spacing w:after="0"/>
            </w:pPr>
            <w:r>
              <w:rPr>
                <w:sz w:val="11"/>
              </w:rPr>
              <w:t>Brain MRI performance/interpretation and documentation; not epilepsy-specific reporting ontology</w:t>
            </w:r>
          </w:p>
        </w:tc>
      </w:tr>
      <w:tr>
        <w:trPr>
          <w:cantSplit/>
        </w:trPr>
        <w:tc>
          <w:tcPr>
            <w:tcW w:type="dxa" w:w="2570"/>
            <w:vAlign w:val="top"/>
          </w:tcPr>
          <w:p>
            <w:pPr>
              <w:spacing w:after="0"/>
            </w:pPr>
            <w:r>
              <w:rPr>
                <w:sz w:val="11"/>
              </w:rPr>
              <w:t>S6A-06</w:t>
            </w:r>
          </w:p>
        </w:tc>
        <w:tc>
          <w:tcPr>
            <w:tcW w:type="dxa" w:w="2570"/>
            <w:vAlign w:val="top"/>
          </w:tcPr>
          <w:p>
            <w:pPr>
              <w:spacing w:after="0"/>
            </w:pPr>
            <w:r>
              <w:rPr>
                <w:sz w:val="11"/>
              </w:rPr>
              <w:t>ILAE — Epilepsy Surgery resource / linked presurgical evaluation quality guidelines</w:t>
            </w:r>
          </w:p>
        </w:tc>
        <w:tc>
          <w:tcPr>
            <w:tcW w:type="dxa" w:w="2570"/>
            <w:vAlign w:val="top"/>
          </w:tcPr>
          <w:p>
            <w:pPr>
              <w:spacing w:after="0"/>
            </w:pPr>
            <w:r>
              <w:rPr>
                <w:sz w:val="11"/>
              </w:rPr>
              <w:t>GUIDELINE INDEX</w:t>
            </w:r>
          </w:p>
        </w:tc>
        <w:tc>
          <w:tcPr>
            <w:tcW w:type="dxa" w:w="2570"/>
            <w:vAlign w:val="top"/>
          </w:tcPr>
          <w:p>
            <w:pPr>
              <w:spacing w:after="0"/>
            </w:pPr>
            <w:r>
              <w:rPr>
                <w:sz w:val="11"/>
              </w:rPr>
              <w:t>Supports presurgical evaluation as a clinical process; does not by itself establish a universal note template</w:t>
            </w:r>
          </w:p>
        </w:tc>
      </w:tr>
      <w:tr>
        <w:trPr>
          <w:cantSplit/>
        </w:trPr>
        <w:tc>
          <w:tcPr>
            <w:tcW w:type="dxa" w:w="2570"/>
            <w:vAlign w:val="top"/>
          </w:tcPr>
          <w:p>
            <w:pPr>
              <w:spacing w:after="0"/>
            </w:pPr>
            <w:r>
              <w:rPr>
                <w:sz w:val="11"/>
              </w:rPr>
              <w:t>S6A-07</w:t>
            </w:r>
          </w:p>
        </w:tc>
        <w:tc>
          <w:tcPr>
            <w:tcW w:type="dxa" w:w="2570"/>
            <w:vAlign w:val="top"/>
          </w:tcPr>
          <w:p>
            <w:pPr>
              <w:spacing w:after="0"/>
            </w:pPr>
            <w:r>
              <w:rPr>
                <w:sz w:val="11"/>
              </w:rPr>
              <w:t>MedAI Phase 3C — Clinical-Document Phenotype Model v1.0</w:t>
            </w:r>
          </w:p>
        </w:tc>
        <w:tc>
          <w:tcPr>
            <w:tcW w:type="dxa" w:w="2570"/>
            <w:vAlign w:val="top"/>
          </w:tcPr>
          <w:p>
            <w:pPr>
              <w:spacing w:after="0"/>
            </w:pPr>
            <w:r>
              <w:rPr>
                <w:sz w:val="11"/>
              </w:rPr>
              <w:t>MEDAI METHOD</w:t>
            </w:r>
          </w:p>
        </w:tc>
        <w:tc>
          <w:tcPr>
            <w:tcW w:type="dxa" w:w="2570"/>
            <w:vAlign w:val="top"/>
          </w:tcPr>
          <w:p>
            <w:pPr>
              <w:spacing w:after="0"/>
            </w:pPr>
            <w:r>
              <w:rPr>
                <w:sz w:val="11"/>
              </w:rPr>
              <w:t>Document/evidence/assertion/provenance model; project-designed</w:t>
            </w:r>
          </w:p>
        </w:tc>
      </w:tr>
      <w:tr>
        <w:trPr>
          <w:cantSplit/>
        </w:trPr>
        <w:tc>
          <w:tcPr>
            <w:tcW w:type="dxa" w:w="2570"/>
            <w:vAlign w:val="top"/>
          </w:tcPr>
          <w:p>
            <w:pPr>
              <w:spacing w:after="0"/>
            </w:pPr>
            <w:r>
              <w:rPr>
                <w:sz w:val="11"/>
              </w:rPr>
              <w:t>S6A-08</w:t>
            </w:r>
          </w:p>
        </w:tc>
        <w:tc>
          <w:tcPr>
            <w:tcW w:type="dxa" w:w="2570"/>
            <w:vAlign w:val="top"/>
          </w:tcPr>
          <w:p>
            <w:pPr>
              <w:spacing w:after="0"/>
            </w:pPr>
            <w:r>
              <w:rPr>
                <w:sz w:val="11"/>
              </w:rPr>
              <w:t>MedAI Phase 4 — Evidence-Backed Annotation Manual v1.0</w:t>
            </w:r>
          </w:p>
        </w:tc>
        <w:tc>
          <w:tcPr>
            <w:tcW w:type="dxa" w:w="2570"/>
            <w:vAlign w:val="top"/>
          </w:tcPr>
          <w:p>
            <w:pPr>
              <w:spacing w:after="0"/>
            </w:pPr>
            <w:r>
              <w:rPr>
                <w:sz w:val="11"/>
              </w:rPr>
              <w:t>MEDAI METHOD</w:t>
            </w:r>
          </w:p>
        </w:tc>
        <w:tc>
          <w:tcPr>
            <w:tcW w:type="dxa" w:w="2570"/>
            <w:vAlign w:val="top"/>
          </w:tcPr>
          <w:p>
            <w:pPr>
              <w:spacing w:after="0"/>
            </w:pPr>
            <w:r>
              <w:rPr>
                <w:sz w:val="11"/>
              </w:rPr>
              <w:t>Annotation rules and blocked semantics; project-designed with cited sources</w:t>
            </w:r>
          </w:p>
        </w:tc>
      </w:tr>
      <w:tr>
        <w:trPr>
          <w:cantSplit/>
        </w:trPr>
        <w:tc>
          <w:tcPr>
            <w:tcW w:type="dxa" w:w="2570"/>
            <w:vAlign w:val="top"/>
          </w:tcPr>
          <w:p>
            <w:pPr>
              <w:spacing w:after="0"/>
            </w:pPr>
            <w:r>
              <w:rPr>
                <w:sz w:val="11"/>
              </w:rPr>
              <w:t>S6A-09</w:t>
            </w:r>
          </w:p>
        </w:tc>
        <w:tc>
          <w:tcPr>
            <w:tcW w:type="dxa" w:w="2570"/>
            <w:vAlign w:val="top"/>
          </w:tcPr>
          <w:p>
            <w:pPr>
              <w:spacing w:after="0"/>
            </w:pPr>
            <w:r>
              <w:rPr>
                <w:sz w:val="11"/>
              </w:rPr>
              <w:t>MedAI Phase 5 — Synthetic Patient &amp; Event Model v1.0</w:t>
            </w:r>
          </w:p>
        </w:tc>
        <w:tc>
          <w:tcPr>
            <w:tcW w:type="dxa" w:w="2570"/>
            <w:vAlign w:val="top"/>
          </w:tcPr>
          <w:p>
            <w:pPr>
              <w:spacing w:after="0"/>
            </w:pPr>
            <w:r>
              <w:rPr>
                <w:sz w:val="11"/>
              </w:rPr>
              <w:t>MEDAI METHOD</w:t>
            </w:r>
          </w:p>
        </w:tc>
        <w:tc>
          <w:tcPr>
            <w:tcW w:type="dxa" w:w="2570"/>
            <w:vAlign w:val="top"/>
          </w:tcPr>
          <w:p>
            <w:pPr>
              <w:spacing w:after="0"/>
            </w:pPr>
            <w:r>
              <w:rPr>
                <w:sz w:val="11"/>
              </w:rPr>
              <w:t>Latent truth/event architecture and document visibility; project-designed</w:t>
            </w:r>
          </w:p>
        </w:tc>
      </w:tr>
    </w:tbl>
    <w:p/>
    <w:p>
      <w:pPr>
        <w:pStyle w:val="Heading1"/>
      </w:pPr>
      <w:r>
        <w:t>4. Document-family evidence audit</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cantSplit/>
          <w:tblHeader/>
        </w:trPr>
        <w:tc>
          <w:tcPr>
            <w:tcW w:type="dxa" w:w="1469"/>
            <w:shd w:fill="D9EAF7"/>
          </w:tcPr>
          <w:p>
            <w:r>
              <w:rPr>
                <w:b/>
                <w:sz w:val="11"/>
              </w:rPr>
              <w:t>Document</w:t>
            </w:r>
          </w:p>
        </w:tc>
        <w:tc>
          <w:tcPr>
            <w:tcW w:type="dxa" w:w="1469"/>
            <w:shd w:fill="D9EAF7"/>
          </w:tcPr>
          <w:p>
            <w:r>
              <w:rPr>
                <w:b/>
                <w:sz w:val="11"/>
              </w:rPr>
              <w:t>Evidence</w:t>
            </w:r>
          </w:p>
        </w:tc>
        <w:tc>
          <w:tcPr>
            <w:tcW w:type="dxa" w:w="1469"/>
            <w:shd w:fill="D9EAF7"/>
          </w:tcPr>
          <w:p>
            <w:r>
              <w:rPr>
                <w:b/>
                <w:sz w:val="11"/>
              </w:rPr>
              <w:t>Sources</w:t>
            </w:r>
          </w:p>
        </w:tc>
        <w:tc>
          <w:tcPr>
            <w:tcW w:type="dxa" w:w="1469"/>
            <w:shd w:fill="D9EAF7"/>
          </w:tcPr>
          <w:p>
            <w:r>
              <w:rPr>
                <w:b/>
                <w:sz w:val="11"/>
              </w:rPr>
              <w:t>Framework</w:t>
            </w:r>
          </w:p>
        </w:tc>
        <w:tc>
          <w:tcPr>
            <w:tcW w:type="dxa" w:w="1469"/>
            <w:shd w:fill="D9EAF7"/>
          </w:tcPr>
          <w:p>
            <w:r>
              <w:rPr>
                <w:b/>
                <w:sz w:val="11"/>
              </w:rPr>
              <w:t>Template</w:t>
            </w:r>
          </w:p>
        </w:tc>
        <w:tc>
          <w:tcPr>
            <w:tcW w:type="dxa" w:w="1469"/>
            <w:shd w:fill="D9EAF7"/>
          </w:tcPr>
          <w:p>
            <w:r>
              <w:rPr>
                <w:b/>
                <w:sz w:val="11"/>
              </w:rPr>
              <w:t>Gate</w:t>
            </w:r>
          </w:p>
        </w:tc>
        <w:tc>
          <w:tcPr>
            <w:tcW w:type="dxa" w:w="1469"/>
            <w:shd w:fill="D9EAF7"/>
          </w:tcPr>
          <w:p>
            <w:r>
              <w:rPr>
                <w:b/>
                <w:sz w:val="11"/>
              </w:rPr>
              <w:t>Conclusion</w:t>
            </w:r>
          </w:p>
        </w:tc>
      </w:tr>
      <w:tr>
        <w:trPr>
          <w:cantSplit/>
        </w:trPr>
        <w:tc>
          <w:tcPr>
            <w:tcW w:type="dxa" w:w="1469"/>
            <w:vAlign w:val="top"/>
          </w:tcPr>
          <w:p>
            <w:pPr>
              <w:spacing w:after="0"/>
            </w:pPr>
            <w:r>
              <w:rPr>
                <w:sz w:val="10"/>
              </w:rPr>
              <w:t>epilepsy_clinic_letter</w:t>
            </w:r>
          </w:p>
        </w:tc>
        <w:tc>
          <w:tcPr>
            <w:tcW w:type="dxa" w:w="1469"/>
            <w:vAlign w:val="top"/>
          </w:tcPr>
          <w:p>
            <w:pPr>
              <w:spacing w:after="0"/>
            </w:pPr>
            <w:r>
              <w:rPr>
                <w:sz w:val="10"/>
              </w:rPr>
              <w:t>STRONG</w:t>
            </w:r>
          </w:p>
        </w:tc>
        <w:tc>
          <w:tcPr>
            <w:tcW w:type="dxa" w:w="1469"/>
            <w:vAlign w:val="top"/>
          </w:tcPr>
          <w:p>
            <w:pPr>
              <w:spacing w:after="0"/>
            </w:pPr>
            <w:r>
              <w:rPr>
                <w:sz w:val="10"/>
              </w:rPr>
              <w:t>S6A-01</w:t>
            </w:r>
          </w:p>
        </w:tc>
        <w:tc>
          <w:tcPr>
            <w:tcW w:type="dxa" w:w="1469"/>
            <w:vAlign w:val="top"/>
          </w:tcPr>
          <w:p>
            <w:pPr>
              <w:spacing w:after="0"/>
            </w:pPr>
            <w:r>
              <w:rPr>
                <w:sz w:val="10"/>
              </w:rPr>
              <w:t>YES</w:t>
            </w:r>
          </w:p>
        </w:tc>
        <w:tc>
          <w:tcPr>
            <w:tcW w:type="dxa" w:w="1469"/>
            <w:vAlign w:val="top"/>
          </w:tcPr>
          <w:p>
            <w:pPr>
              <w:spacing w:after="0"/>
            </w:pPr>
            <w:r>
              <w:rPr>
                <w:sz w:val="10"/>
              </w:rPr>
              <w:t>YES</w:t>
            </w:r>
          </w:p>
        </w:tc>
        <w:tc>
          <w:tcPr>
            <w:tcW w:type="dxa" w:w="1469"/>
            <w:vAlign w:val="top"/>
          </w:tcPr>
          <w:p>
            <w:pPr>
              <w:spacing w:after="0"/>
            </w:pPr>
            <w:r>
              <w:rPr>
                <w:sz w:val="10"/>
              </w:rPr>
              <w:t>PILOT-READY</w:t>
            </w:r>
          </w:p>
        </w:tc>
        <w:tc>
          <w:tcPr>
            <w:tcW w:type="dxa" w:w="1469"/>
            <w:vAlign w:val="top"/>
          </w:tcPr>
          <w:p>
            <w:pPr>
              <w:spacing w:after="0"/>
            </w:pPr>
            <w:r>
              <w:rPr>
                <w:sz w:val="10"/>
              </w:rPr>
              <w:t>Published epilepsy-specific synthetic corpus exists. Source supports history, seizures/frequency, test results, treatment, diagnosis; letters vary in style/length/format. Exact section order is not standardized.</w:t>
            </w:r>
          </w:p>
        </w:tc>
      </w:tr>
      <w:tr>
        <w:trPr>
          <w:cantSplit/>
        </w:trPr>
        <w:tc>
          <w:tcPr>
            <w:tcW w:type="dxa" w:w="1469"/>
            <w:vAlign w:val="top"/>
          </w:tcPr>
          <w:p>
            <w:pPr>
              <w:spacing w:after="0"/>
            </w:pPr>
            <w:r>
              <w:rPr>
                <w:sz w:val="10"/>
              </w:rPr>
              <w:t>eeg_report</w:t>
            </w:r>
          </w:p>
        </w:tc>
        <w:tc>
          <w:tcPr>
            <w:tcW w:type="dxa" w:w="1469"/>
            <w:vAlign w:val="top"/>
          </w:tcPr>
          <w:p>
            <w:pPr>
              <w:spacing w:after="0"/>
            </w:pPr>
            <w:r>
              <w:rPr>
                <w:sz w:val="10"/>
              </w:rPr>
              <w:t>STRONG_FRAMEWORK_LIMITED_LOCAL_MAPPING</w:t>
            </w:r>
          </w:p>
        </w:tc>
        <w:tc>
          <w:tcPr>
            <w:tcW w:type="dxa" w:w="1469"/>
            <w:vAlign w:val="top"/>
          </w:tcPr>
          <w:p>
            <w:pPr>
              <w:spacing w:after="0"/>
            </w:pPr>
            <w:r>
              <w:rPr>
                <w:sz w:val="10"/>
              </w:rPr>
              <w:t>S6A-02;S6A-03</w:t>
            </w:r>
          </w:p>
        </w:tc>
        <w:tc>
          <w:tcPr>
            <w:tcW w:type="dxa" w:w="1469"/>
            <w:vAlign w:val="top"/>
          </w:tcPr>
          <w:p>
            <w:pPr>
              <w:spacing w:after="0"/>
            </w:pPr>
            <w:r>
              <w:rPr>
                <w:sz w:val="10"/>
              </w:rPr>
              <w:t>YES</w:t>
            </w:r>
          </w:p>
        </w:tc>
        <w:tc>
          <w:tcPr>
            <w:tcW w:type="dxa" w:w="1469"/>
            <w:vAlign w:val="top"/>
          </w:tcPr>
          <w:p>
            <w:pPr>
              <w:spacing w:after="0"/>
            </w:pPr>
            <w:r>
              <w:rPr>
                <w:sz w:val="10"/>
              </w:rPr>
              <w:t>YES</w:t>
            </w:r>
          </w:p>
        </w:tc>
        <w:tc>
          <w:tcPr>
            <w:tcW w:type="dxa" w:w="1469"/>
            <w:vAlign w:val="top"/>
          </w:tcPr>
          <w:p>
            <w:pPr>
              <w:spacing w:after="0"/>
            </w:pPr>
            <w:r>
              <w:rPr>
                <w:sz w:val="10"/>
              </w:rPr>
              <w:t>PILOT-READY-WITH-LIMITS</w:t>
            </w:r>
          </w:p>
        </w:tc>
        <w:tc>
          <w:tcPr>
            <w:tcW w:type="dxa" w:w="1469"/>
            <w:vAlign w:val="top"/>
          </w:tcPr>
          <w:p>
            <w:pPr>
              <w:spacing w:after="0"/>
            </w:pPr>
            <w:r>
              <w:rPr>
                <w:sz w:val="10"/>
              </w:rPr>
              <w:t>SCORE is a standardized context-sensitive EEG reporting framework with seizure modules. Use only frozen/high-level concepts until exact term-level SCORE subset is extracted.</w:t>
            </w:r>
          </w:p>
        </w:tc>
      </w:tr>
      <w:tr>
        <w:trPr>
          <w:cantSplit/>
        </w:trPr>
        <w:tc>
          <w:tcPr>
            <w:tcW w:type="dxa" w:w="1469"/>
            <w:vAlign w:val="top"/>
          </w:tcPr>
          <w:p>
            <w:pPr>
              <w:spacing w:after="0"/>
            </w:pPr>
            <w:r>
              <w:rPr>
                <w:sz w:val="10"/>
              </w:rPr>
              <w:t>video_eeg_emu_report</w:t>
            </w:r>
          </w:p>
        </w:tc>
        <w:tc>
          <w:tcPr>
            <w:tcW w:type="dxa" w:w="1469"/>
            <w:vAlign w:val="top"/>
          </w:tcPr>
          <w:p>
            <w:pPr>
              <w:spacing w:after="0"/>
            </w:pPr>
            <w:r>
              <w:rPr>
                <w:sz w:val="10"/>
              </w:rPr>
              <w:t>MODERATE</w:t>
            </w:r>
          </w:p>
        </w:tc>
        <w:tc>
          <w:tcPr>
            <w:tcW w:type="dxa" w:w="1469"/>
            <w:vAlign w:val="top"/>
          </w:tcPr>
          <w:p>
            <w:pPr>
              <w:spacing w:after="0"/>
            </w:pPr>
            <w:r>
              <w:rPr>
                <w:sz w:val="10"/>
              </w:rPr>
              <w:t>S6A-02;S6A-03</w:t>
            </w:r>
          </w:p>
        </w:tc>
        <w:tc>
          <w:tcPr>
            <w:tcW w:type="dxa" w:w="1469"/>
            <w:vAlign w:val="top"/>
          </w:tcPr>
          <w:p>
            <w:pPr>
              <w:spacing w:after="0"/>
            </w:pPr>
            <w:r>
              <w:rPr>
                <w:sz w:val="10"/>
              </w:rPr>
              <w:t>PARTIAL</w:t>
            </w:r>
          </w:p>
        </w:tc>
        <w:tc>
          <w:tcPr>
            <w:tcW w:type="dxa" w:w="1469"/>
            <w:vAlign w:val="top"/>
          </w:tcPr>
          <w:p>
            <w:pPr>
              <w:spacing w:after="0"/>
            </w:pPr>
            <w:r>
              <w:rPr>
                <w:sz w:val="10"/>
              </w:rPr>
              <w:t>YES</w:t>
            </w:r>
          </w:p>
        </w:tc>
        <w:tc>
          <w:tcPr>
            <w:tcW w:type="dxa" w:w="1469"/>
            <w:vAlign w:val="top"/>
          </w:tcPr>
          <w:p>
            <w:pPr>
              <w:spacing w:after="0"/>
            </w:pPr>
            <w:r>
              <w:rPr>
                <w:sz w:val="10"/>
              </w:rPr>
              <w:t>PILOT-READY-WITH-LIMITS</w:t>
            </w:r>
          </w:p>
        </w:tc>
        <w:tc>
          <w:tcPr>
            <w:tcW w:type="dxa" w:w="1469"/>
            <w:vAlign w:val="top"/>
          </w:tcPr>
          <w:p>
            <w:pPr>
              <w:spacing w:after="0"/>
            </w:pPr>
            <w:r>
              <w:rPr>
                <w:sz w:val="10"/>
              </w:rPr>
              <w:t>SCORE includes seizure semiology/ictal EEG and video-EEG clinical phenomena, but this audit did not establish a universal EMU report template.</w:t>
            </w:r>
          </w:p>
        </w:tc>
      </w:tr>
      <w:tr>
        <w:trPr>
          <w:cantSplit/>
        </w:trPr>
        <w:tc>
          <w:tcPr>
            <w:tcW w:type="dxa" w:w="1469"/>
            <w:vAlign w:val="top"/>
          </w:tcPr>
          <w:p>
            <w:pPr>
              <w:spacing w:after="0"/>
            </w:pPr>
            <w:r>
              <w:rPr>
                <w:sz w:val="10"/>
              </w:rPr>
              <w:t>mri_radiology_report</w:t>
            </w:r>
          </w:p>
        </w:tc>
        <w:tc>
          <w:tcPr>
            <w:tcW w:type="dxa" w:w="1469"/>
            <w:vAlign w:val="top"/>
          </w:tcPr>
          <w:p>
            <w:pPr>
              <w:spacing w:after="0"/>
            </w:pPr>
            <w:r>
              <w:rPr>
                <w:sz w:val="10"/>
              </w:rPr>
              <w:t>MODERATE_GENERAL_NOT_EPILEPSY_SPECIFIC</w:t>
            </w:r>
          </w:p>
        </w:tc>
        <w:tc>
          <w:tcPr>
            <w:tcW w:type="dxa" w:w="1469"/>
            <w:vAlign w:val="top"/>
          </w:tcPr>
          <w:p>
            <w:pPr>
              <w:spacing w:after="0"/>
            </w:pPr>
            <w:r>
              <w:rPr>
                <w:sz w:val="10"/>
              </w:rPr>
              <w:t>S6A-04;S6A-05</w:t>
            </w:r>
          </w:p>
        </w:tc>
        <w:tc>
          <w:tcPr>
            <w:tcW w:type="dxa" w:w="1469"/>
            <w:vAlign w:val="top"/>
          </w:tcPr>
          <w:p>
            <w:pPr>
              <w:spacing w:after="0"/>
            </w:pPr>
            <w:r>
              <w:rPr>
                <w:sz w:val="10"/>
              </w:rPr>
              <w:t>YES_GENERAL</w:t>
            </w:r>
          </w:p>
        </w:tc>
        <w:tc>
          <w:tcPr>
            <w:tcW w:type="dxa" w:w="1469"/>
            <w:vAlign w:val="top"/>
          </w:tcPr>
          <w:p>
            <w:pPr>
              <w:spacing w:after="0"/>
            </w:pPr>
            <w:r>
              <w:rPr>
                <w:sz w:val="10"/>
              </w:rPr>
              <w:t>NO_EPILEPSY_SPECIFIC_TEMPLATE</w:t>
            </w:r>
          </w:p>
        </w:tc>
        <w:tc>
          <w:tcPr>
            <w:tcW w:type="dxa" w:w="1469"/>
            <w:vAlign w:val="top"/>
          </w:tcPr>
          <w:p>
            <w:pPr>
              <w:spacing w:after="0"/>
            </w:pPr>
            <w:r>
              <w:rPr>
                <w:sz w:val="10"/>
              </w:rPr>
              <w:t>PILOT-READY-WITH-LIMITS</w:t>
            </w:r>
          </w:p>
        </w:tc>
        <w:tc>
          <w:tcPr>
            <w:tcW w:type="dxa" w:w="1469"/>
            <w:vAlign w:val="top"/>
          </w:tcPr>
          <w:p>
            <w:pPr>
              <w:spacing w:after="0"/>
            </w:pPr>
            <w:r>
              <w:rPr>
                <w:sz w:val="10"/>
              </w:rPr>
              <w:t>ACR supports diagnostic imaging reporting/documentation generally. No epilepsy-specific MRI report template or lesion ontology is frozen; use generic report components plus source-grounded findings only.</w:t>
            </w:r>
          </w:p>
        </w:tc>
      </w:tr>
      <w:tr>
        <w:trPr>
          <w:cantSplit/>
        </w:trPr>
        <w:tc>
          <w:tcPr>
            <w:tcW w:type="dxa" w:w="1469"/>
            <w:vAlign w:val="top"/>
          </w:tcPr>
          <w:p>
            <w:pPr>
              <w:spacing w:after="0"/>
            </w:pPr>
            <w:r>
              <w:rPr>
                <w:sz w:val="10"/>
              </w:rPr>
              <w:t>neurology_progress_note</w:t>
            </w:r>
          </w:p>
        </w:tc>
        <w:tc>
          <w:tcPr>
            <w:tcW w:type="dxa" w:w="1469"/>
            <w:vAlign w:val="top"/>
          </w:tcPr>
          <w:p>
            <w:pPr>
              <w:spacing w:after="0"/>
            </w:pPr>
            <w:r>
              <w:rPr>
                <w:sz w:val="10"/>
              </w:rPr>
              <w:t>WEAK_TO_MODERATE_PROXY</w:t>
            </w:r>
          </w:p>
        </w:tc>
        <w:tc>
          <w:tcPr>
            <w:tcW w:type="dxa" w:w="1469"/>
            <w:vAlign w:val="top"/>
          </w:tcPr>
          <w:p>
            <w:pPr>
              <w:spacing w:after="0"/>
            </w:pPr>
            <w:r>
              <w:rPr>
                <w:sz w:val="10"/>
              </w:rPr>
              <w:t>S6A-01</w:t>
            </w:r>
          </w:p>
        </w:tc>
        <w:tc>
          <w:tcPr>
            <w:tcW w:type="dxa" w:w="1469"/>
            <w:vAlign w:val="top"/>
          </w:tcPr>
          <w:p>
            <w:pPr>
              <w:spacing w:after="0"/>
            </w:pPr>
            <w:r>
              <w:rPr>
                <w:sz w:val="10"/>
              </w:rPr>
              <w:t>NO_DIRECT_STANDARD</w:t>
            </w:r>
          </w:p>
        </w:tc>
        <w:tc>
          <w:tcPr>
            <w:tcW w:type="dxa" w:w="1469"/>
            <w:vAlign w:val="top"/>
          </w:tcPr>
          <w:p>
            <w:pPr>
              <w:spacing w:after="0"/>
            </w:pPr>
            <w:r>
              <w:rPr>
                <w:sz w:val="10"/>
              </w:rPr>
              <w:t>NO</w:t>
            </w:r>
          </w:p>
        </w:tc>
        <w:tc>
          <w:tcPr>
            <w:tcW w:type="dxa" w:w="1469"/>
            <w:vAlign w:val="top"/>
          </w:tcPr>
          <w:p>
            <w:pPr>
              <w:spacing w:after="0"/>
            </w:pPr>
            <w:r>
              <w:rPr>
                <w:sz w:val="10"/>
              </w:rPr>
              <w:t>BLOCKED-AS-CANONICAL-TEMPLATE</w:t>
            </w:r>
          </w:p>
        </w:tc>
        <w:tc>
          <w:tcPr>
            <w:tcW w:type="dxa" w:w="1469"/>
            <w:vAlign w:val="top"/>
          </w:tcPr>
          <w:p>
            <w:pPr>
              <w:spacing w:after="0"/>
            </w:pPr>
            <w:r>
              <w:rPr>
                <w:sz w:val="10"/>
              </w:rPr>
              <w:t>Epilepsy clinic letters document outpatient consultations, but they are not equivalent to a universal US neurology progress-note template. May be studied later using real/local or published note-format evidence.</w:t>
            </w:r>
          </w:p>
        </w:tc>
      </w:tr>
      <w:tr>
        <w:trPr>
          <w:cantSplit/>
        </w:trPr>
        <w:tc>
          <w:tcPr>
            <w:tcW w:type="dxa" w:w="1469"/>
            <w:vAlign w:val="top"/>
          </w:tcPr>
          <w:p>
            <w:pPr>
              <w:spacing w:after="0"/>
            </w:pPr>
            <w:r>
              <w:rPr>
                <w:sz w:val="10"/>
              </w:rPr>
              <w:t>epilepsy_consult_note</w:t>
            </w:r>
          </w:p>
        </w:tc>
        <w:tc>
          <w:tcPr>
            <w:tcW w:type="dxa" w:w="1469"/>
            <w:vAlign w:val="top"/>
          </w:tcPr>
          <w:p>
            <w:pPr>
              <w:spacing w:after="0"/>
            </w:pPr>
            <w:r>
              <w:rPr>
                <w:sz w:val="10"/>
              </w:rPr>
              <w:t>WEAK_TO_MODERATE_PROXY</w:t>
            </w:r>
          </w:p>
        </w:tc>
        <w:tc>
          <w:tcPr>
            <w:tcW w:type="dxa" w:w="1469"/>
            <w:vAlign w:val="top"/>
          </w:tcPr>
          <w:p>
            <w:pPr>
              <w:spacing w:after="0"/>
            </w:pPr>
            <w:r>
              <w:rPr>
                <w:sz w:val="10"/>
              </w:rPr>
              <w:t>S6A-01</w:t>
            </w:r>
          </w:p>
        </w:tc>
        <w:tc>
          <w:tcPr>
            <w:tcW w:type="dxa" w:w="1469"/>
            <w:vAlign w:val="top"/>
          </w:tcPr>
          <w:p>
            <w:pPr>
              <w:spacing w:after="0"/>
            </w:pPr>
            <w:r>
              <w:rPr>
                <w:sz w:val="10"/>
              </w:rPr>
              <w:t>NO_DIRECT_STANDARD</w:t>
            </w:r>
          </w:p>
        </w:tc>
        <w:tc>
          <w:tcPr>
            <w:tcW w:type="dxa" w:w="1469"/>
            <w:vAlign w:val="top"/>
          </w:tcPr>
          <w:p>
            <w:pPr>
              <w:spacing w:after="0"/>
            </w:pPr>
            <w:r>
              <w:rPr>
                <w:sz w:val="10"/>
              </w:rPr>
              <w:t>NO</w:t>
            </w:r>
          </w:p>
        </w:tc>
        <w:tc>
          <w:tcPr>
            <w:tcW w:type="dxa" w:w="1469"/>
            <w:vAlign w:val="top"/>
          </w:tcPr>
          <w:p>
            <w:pPr>
              <w:spacing w:after="0"/>
            </w:pPr>
            <w:r>
              <w:rPr>
                <w:sz w:val="10"/>
              </w:rPr>
              <w:t>BLOCKED-AS-CANONICAL-TEMPLATE</w:t>
            </w:r>
          </w:p>
        </w:tc>
        <w:tc>
          <w:tcPr>
            <w:tcW w:type="dxa" w:w="1469"/>
            <w:vAlign w:val="top"/>
          </w:tcPr>
          <w:p>
            <w:pPr>
              <w:spacing w:after="0"/>
            </w:pPr>
            <w:r>
              <w:rPr>
                <w:sz w:val="10"/>
              </w:rPr>
              <w:t>Clinic-letter evidence supports consultation content domains, not a universal consultation-note structure.</w:t>
            </w:r>
          </w:p>
        </w:tc>
      </w:tr>
      <w:tr>
        <w:trPr>
          <w:cantSplit/>
        </w:trPr>
        <w:tc>
          <w:tcPr>
            <w:tcW w:type="dxa" w:w="1469"/>
            <w:vAlign w:val="top"/>
          </w:tcPr>
          <w:p>
            <w:pPr>
              <w:spacing w:after="0"/>
            </w:pPr>
            <w:r>
              <w:rPr>
                <w:sz w:val="10"/>
              </w:rPr>
              <w:t>presurgical_evaluation_note</w:t>
            </w:r>
          </w:p>
        </w:tc>
        <w:tc>
          <w:tcPr>
            <w:tcW w:type="dxa" w:w="1469"/>
            <w:vAlign w:val="top"/>
          </w:tcPr>
          <w:p>
            <w:pPr>
              <w:spacing w:after="0"/>
            </w:pPr>
            <w:r>
              <w:rPr>
                <w:sz w:val="10"/>
              </w:rPr>
              <w:t>PROCESS_SUPPORTED_TEMPLATE_UNRESOLVED</w:t>
            </w:r>
          </w:p>
        </w:tc>
        <w:tc>
          <w:tcPr>
            <w:tcW w:type="dxa" w:w="1469"/>
            <w:vAlign w:val="top"/>
          </w:tcPr>
          <w:p>
            <w:pPr>
              <w:spacing w:after="0"/>
            </w:pPr>
            <w:r>
              <w:rPr>
                <w:sz w:val="10"/>
              </w:rPr>
              <w:t>S6A-06</w:t>
            </w:r>
          </w:p>
        </w:tc>
        <w:tc>
          <w:tcPr>
            <w:tcW w:type="dxa" w:w="1469"/>
            <w:vAlign w:val="top"/>
          </w:tcPr>
          <w:p>
            <w:pPr>
              <w:spacing w:after="0"/>
            </w:pPr>
            <w:r>
              <w:rPr>
                <w:sz w:val="10"/>
              </w:rPr>
              <w:t>YES_PROCESS</w:t>
            </w:r>
          </w:p>
        </w:tc>
        <w:tc>
          <w:tcPr>
            <w:tcW w:type="dxa" w:w="1469"/>
            <w:vAlign w:val="top"/>
          </w:tcPr>
          <w:p>
            <w:pPr>
              <w:spacing w:after="0"/>
            </w:pPr>
            <w:r>
              <w:rPr>
                <w:sz w:val="10"/>
              </w:rPr>
              <w:t>NO</w:t>
            </w:r>
          </w:p>
        </w:tc>
        <w:tc>
          <w:tcPr>
            <w:tcW w:type="dxa" w:w="1469"/>
            <w:vAlign w:val="top"/>
          </w:tcPr>
          <w:p>
            <w:pPr>
              <w:spacing w:after="0"/>
            </w:pPr>
            <w:r>
              <w:rPr>
                <w:sz w:val="10"/>
              </w:rPr>
              <w:t>BLOCKED-FOR-GENERATION</w:t>
            </w:r>
          </w:p>
        </w:tc>
        <w:tc>
          <w:tcPr>
            <w:tcW w:type="dxa" w:w="1469"/>
            <w:vAlign w:val="top"/>
          </w:tcPr>
          <w:p>
            <w:pPr>
              <w:spacing w:after="0"/>
            </w:pPr>
            <w:r>
              <w:rPr>
                <w:sz w:val="10"/>
              </w:rPr>
              <w:t>Presurgical evaluation is well-established, but this audit did not identify/freeze a universal textual report/note template or required content schema.</w:t>
            </w:r>
          </w:p>
        </w:tc>
      </w:tr>
      <w:tr>
        <w:trPr>
          <w:cantSplit/>
        </w:trPr>
        <w:tc>
          <w:tcPr>
            <w:tcW w:type="dxa" w:w="1469"/>
            <w:vAlign w:val="top"/>
          </w:tcPr>
          <w:p>
            <w:pPr>
              <w:spacing w:after="0"/>
            </w:pPr>
            <w:r>
              <w:rPr>
                <w:sz w:val="10"/>
              </w:rPr>
              <w:t>epilepsy_conference_note</w:t>
            </w:r>
          </w:p>
        </w:tc>
        <w:tc>
          <w:tcPr>
            <w:tcW w:type="dxa" w:w="1469"/>
            <w:vAlign w:val="top"/>
          </w:tcPr>
          <w:p>
            <w:pPr>
              <w:spacing w:after="0"/>
            </w:pPr>
            <w:r>
              <w:rPr>
                <w:sz w:val="10"/>
              </w:rPr>
              <w:t>UNRESOLVED</w:t>
            </w:r>
          </w:p>
        </w:tc>
        <w:tc>
          <w:tcPr>
            <w:tcW w:type="dxa" w:w="1469"/>
            <w:vAlign w:val="top"/>
          </w:tcPr>
          <w:p>
            <w:pPr>
              <w:spacing w:after="0"/>
            </w:pPr>
            <w:r>
              <w:rPr>
                <w:sz w:val="10"/>
              </w:rPr>
              <w:t>NONE_FROZEN</w:t>
            </w:r>
          </w:p>
        </w:tc>
        <w:tc>
          <w:tcPr>
            <w:tcW w:type="dxa" w:w="1469"/>
            <w:vAlign w:val="top"/>
          </w:tcPr>
          <w:p>
            <w:pPr>
              <w:spacing w:after="0"/>
            </w:pPr>
            <w:r>
              <w:rPr>
                <w:sz w:val="10"/>
              </w:rPr>
              <w:t>NO</w:t>
            </w:r>
          </w:p>
        </w:tc>
        <w:tc>
          <w:tcPr>
            <w:tcW w:type="dxa" w:w="1469"/>
            <w:vAlign w:val="top"/>
          </w:tcPr>
          <w:p>
            <w:pPr>
              <w:spacing w:after="0"/>
            </w:pPr>
            <w:r>
              <w:rPr>
                <w:sz w:val="10"/>
              </w:rPr>
              <w:t>NO</w:t>
            </w:r>
          </w:p>
        </w:tc>
        <w:tc>
          <w:tcPr>
            <w:tcW w:type="dxa" w:w="1469"/>
            <w:vAlign w:val="top"/>
          </w:tcPr>
          <w:p>
            <w:pPr>
              <w:spacing w:after="0"/>
            </w:pPr>
            <w:r>
              <w:rPr>
                <w:sz w:val="10"/>
              </w:rPr>
              <w:t>BLOCKED-FOR-GENERATION</w:t>
            </w:r>
          </w:p>
        </w:tc>
        <w:tc>
          <w:tcPr>
            <w:tcW w:type="dxa" w:w="1469"/>
            <w:vAlign w:val="top"/>
          </w:tcPr>
          <w:p>
            <w:pPr>
              <w:spacing w:after="0"/>
            </w:pPr>
            <w:r>
              <w:rPr>
                <w:sz w:val="10"/>
              </w:rPr>
              <w:t>No authoritative standardized epilepsy conference-note template was established in this audit.</w:t>
            </w:r>
          </w:p>
        </w:tc>
      </w:tr>
      <w:tr>
        <w:trPr>
          <w:cantSplit/>
        </w:trPr>
        <w:tc>
          <w:tcPr>
            <w:tcW w:type="dxa" w:w="1469"/>
            <w:vAlign w:val="top"/>
          </w:tcPr>
          <w:p>
            <w:pPr>
              <w:spacing w:after="0"/>
            </w:pPr>
            <w:r>
              <w:rPr>
                <w:sz w:val="10"/>
              </w:rPr>
              <w:t>discharge_summary</w:t>
            </w:r>
          </w:p>
        </w:tc>
        <w:tc>
          <w:tcPr>
            <w:tcW w:type="dxa" w:w="1469"/>
            <w:vAlign w:val="top"/>
          </w:tcPr>
          <w:p>
            <w:pPr>
              <w:spacing w:after="0"/>
            </w:pPr>
            <w:r>
              <w:rPr>
                <w:sz w:val="10"/>
              </w:rPr>
              <w:t>OUT_OF_SCOPE_EVIDENCE</w:t>
            </w:r>
          </w:p>
        </w:tc>
        <w:tc>
          <w:tcPr>
            <w:tcW w:type="dxa" w:w="1469"/>
            <w:vAlign w:val="top"/>
          </w:tcPr>
          <w:p>
            <w:pPr>
              <w:spacing w:after="0"/>
            </w:pPr>
            <w:r>
              <w:rPr>
                <w:sz w:val="10"/>
              </w:rPr>
              <w:t>NONE_EPILEPSY_SPECIFIC_FROZEN</w:t>
            </w:r>
          </w:p>
        </w:tc>
        <w:tc>
          <w:tcPr>
            <w:tcW w:type="dxa" w:w="1469"/>
            <w:vAlign w:val="top"/>
          </w:tcPr>
          <w:p>
            <w:pPr>
              <w:spacing w:after="0"/>
            </w:pPr>
            <w:r>
              <w:rPr>
                <w:sz w:val="10"/>
              </w:rPr>
              <w:t>NO</w:t>
            </w:r>
          </w:p>
        </w:tc>
        <w:tc>
          <w:tcPr>
            <w:tcW w:type="dxa" w:w="1469"/>
            <w:vAlign w:val="top"/>
          </w:tcPr>
          <w:p>
            <w:pPr>
              <w:spacing w:after="0"/>
            </w:pPr>
            <w:r>
              <w:rPr>
                <w:sz w:val="10"/>
              </w:rPr>
              <w:t>NO</w:t>
            </w:r>
          </w:p>
        </w:tc>
        <w:tc>
          <w:tcPr>
            <w:tcW w:type="dxa" w:w="1469"/>
            <w:vAlign w:val="top"/>
          </w:tcPr>
          <w:p>
            <w:pPr>
              <w:spacing w:after="0"/>
            </w:pPr>
            <w:r>
              <w:rPr>
                <w:sz w:val="10"/>
              </w:rPr>
              <w:t>BLOCKED-FOR-GENERATION</w:t>
            </w:r>
          </w:p>
        </w:tc>
        <w:tc>
          <w:tcPr>
            <w:tcW w:type="dxa" w:w="1469"/>
            <w:vAlign w:val="top"/>
          </w:tcPr>
          <w:p>
            <w:pPr>
              <w:spacing w:after="0"/>
            </w:pPr>
            <w:r>
              <w:rPr>
                <w:sz w:val="10"/>
              </w:rPr>
              <w:t>No epilepsy-specific discharge-summary source was frozen. Generic hospital documentation standards were not audited because they would not establish epilepsy-specific content.</w:t>
            </w:r>
          </w:p>
        </w:tc>
      </w:tr>
      <w:tr>
        <w:trPr>
          <w:cantSplit/>
        </w:trPr>
        <w:tc>
          <w:tcPr>
            <w:tcW w:type="dxa" w:w="1469"/>
            <w:vAlign w:val="top"/>
          </w:tcPr>
          <w:p>
            <w:pPr>
              <w:spacing w:after="0"/>
            </w:pPr>
            <w:r>
              <w:rPr>
                <w:sz w:val="10"/>
              </w:rPr>
              <w:t>procedure_surgery_note</w:t>
            </w:r>
          </w:p>
        </w:tc>
        <w:tc>
          <w:tcPr>
            <w:tcW w:type="dxa" w:w="1469"/>
            <w:vAlign w:val="top"/>
          </w:tcPr>
          <w:p>
            <w:pPr>
              <w:spacing w:after="0"/>
            </w:pPr>
            <w:r>
              <w:rPr>
                <w:sz w:val="10"/>
              </w:rPr>
              <w:t>OUT_OF_SCOPE_EVIDENCE</w:t>
            </w:r>
          </w:p>
        </w:tc>
        <w:tc>
          <w:tcPr>
            <w:tcW w:type="dxa" w:w="1469"/>
            <w:vAlign w:val="top"/>
          </w:tcPr>
          <w:p>
            <w:pPr>
              <w:spacing w:after="0"/>
            </w:pPr>
            <w:r>
              <w:rPr>
                <w:sz w:val="10"/>
              </w:rPr>
              <w:t>NONE_FROZEN</w:t>
            </w:r>
          </w:p>
        </w:tc>
        <w:tc>
          <w:tcPr>
            <w:tcW w:type="dxa" w:w="1469"/>
            <w:vAlign w:val="top"/>
          </w:tcPr>
          <w:p>
            <w:pPr>
              <w:spacing w:after="0"/>
            </w:pPr>
            <w:r>
              <w:rPr>
                <w:sz w:val="10"/>
              </w:rPr>
              <w:t>NO</w:t>
            </w:r>
          </w:p>
        </w:tc>
        <w:tc>
          <w:tcPr>
            <w:tcW w:type="dxa" w:w="1469"/>
            <w:vAlign w:val="top"/>
          </w:tcPr>
          <w:p>
            <w:pPr>
              <w:spacing w:after="0"/>
            </w:pPr>
            <w:r>
              <w:rPr>
                <w:sz w:val="10"/>
              </w:rPr>
              <w:t>NO</w:t>
            </w:r>
          </w:p>
        </w:tc>
        <w:tc>
          <w:tcPr>
            <w:tcW w:type="dxa" w:w="1469"/>
            <w:vAlign w:val="top"/>
          </w:tcPr>
          <w:p>
            <w:pPr>
              <w:spacing w:after="0"/>
            </w:pPr>
            <w:r>
              <w:rPr>
                <w:sz w:val="10"/>
              </w:rPr>
              <w:t>BLOCKED-FOR-GENERATION</w:t>
            </w:r>
          </w:p>
        </w:tc>
        <w:tc>
          <w:tcPr>
            <w:tcW w:type="dxa" w:w="1469"/>
            <w:vAlign w:val="top"/>
          </w:tcPr>
          <w:p>
            <w:pPr>
              <w:spacing w:after="0"/>
            </w:pPr>
            <w:r>
              <w:rPr>
                <w:sz w:val="10"/>
              </w:rPr>
              <w:t>No epilepsy procedure/surgery note generation source was frozen.</w:t>
            </w:r>
          </w:p>
        </w:tc>
      </w:tr>
      <w:tr>
        <w:trPr>
          <w:cantSplit/>
        </w:trPr>
        <w:tc>
          <w:tcPr>
            <w:tcW w:type="dxa" w:w="1469"/>
            <w:vAlign w:val="top"/>
          </w:tcPr>
          <w:p>
            <w:pPr>
              <w:spacing w:after="0"/>
            </w:pPr>
            <w:r>
              <w:rPr>
                <w:sz w:val="10"/>
              </w:rPr>
              <w:t>pathology_report</w:t>
            </w:r>
          </w:p>
        </w:tc>
        <w:tc>
          <w:tcPr>
            <w:tcW w:type="dxa" w:w="1469"/>
            <w:vAlign w:val="top"/>
          </w:tcPr>
          <w:p>
            <w:pPr>
              <w:spacing w:after="0"/>
            </w:pPr>
            <w:r>
              <w:rPr>
                <w:sz w:val="10"/>
              </w:rPr>
              <w:t>OUT_OF_SCOPE_EVIDENCE</w:t>
            </w:r>
          </w:p>
        </w:tc>
        <w:tc>
          <w:tcPr>
            <w:tcW w:type="dxa" w:w="1469"/>
            <w:vAlign w:val="top"/>
          </w:tcPr>
          <w:p>
            <w:pPr>
              <w:spacing w:after="0"/>
            </w:pPr>
            <w:r>
              <w:rPr>
                <w:sz w:val="10"/>
              </w:rPr>
              <w:t>NONE_REPORT_TEMPLATE_FROZEN</w:t>
            </w:r>
          </w:p>
        </w:tc>
        <w:tc>
          <w:tcPr>
            <w:tcW w:type="dxa" w:w="1469"/>
            <w:vAlign w:val="top"/>
          </w:tcPr>
          <w:p>
            <w:pPr>
              <w:spacing w:after="0"/>
            </w:pPr>
            <w:r>
              <w:rPr>
                <w:sz w:val="10"/>
              </w:rPr>
              <w:t>NO</w:t>
            </w:r>
          </w:p>
        </w:tc>
        <w:tc>
          <w:tcPr>
            <w:tcW w:type="dxa" w:w="1469"/>
            <w:vAlign w:val="top"/>
          </w:tcPr>
          <w:p>
            <w:pPr>
              <w:spacing w:after="0"/>
            </w:pPr>
            <w:r>
              <w:rPr>
                <w:sz w:val="10"/>
              </w:rPr>
              <w:t>NO</w:t>
            </w:r>
          </w:p>
        </w:tc>
        <w:tc>
          <w:tcPr>
            <w:tcW w:type="dxa" w:w="1469"/>
            <w:vAlign w:val="top"/>
          </w:tcPr>
          <w:p>
            <w:pPr>
              <w:spacing w:after="0"/>
            </w:pPr>
            <w:r>
              <w:rPr>
                <w:sz w:val="10"/>
              </w:rPr>
              <w:t>BLOCKED-FOR-GENERATION</w:t>
            </w:r>
          </w:p>
        </w:tc>
        <w:tc>
          <w:tcPr>
            <w:tcW w:type="dxa" w:w="1469"/>
            <w:vAlign w:val="top"/>
          </w:tcPr>
          <w:p>
            <w:pPr>
              <w:spacing w:after="0"/>
            </w:pPr>
            <w:r>
              <w:rPr>
                <w:sz w:val="10"/>
              </w:rPr>
              <w:t>Pathology taxonomies previously audited do not establish a synthetic pathology report template.</w:t>
            </w:r>
          </w:p>
        </w:tc>
      </w:tr>
    </w:tbl>
    <w:p/>
    <w:p>
      <w:pPr>
        <w:pStyle w:val="Heading1"/>
      </w:pPr>
      <w:r>
        <w:t>5. Strongest supported document family: epilepsy clinic letters</w:t>
      </w:r>
    </w:p>
    <w:p>
      <w:r>
        <w:t>Fonferko-Shadrach et al. (2024) directly supports this document family. The authors created 200 synthetic epilepsy clinic letters based on UK hospital outpatient consultations with epilepsy specialists. The paper states that clinic letters describe medical history, seizures and seizure frequency, test results, treatment, and diagnosis; it also states that such letters vary in style, length, and format.</w:t>
      </w:r>
    </w:p>
    <w:p>
      <w:r>
        <w:t>The letters were written by neurology consultants, specialist trainees, and epilepsy specialist nurses, used completely fictitious patient/clinician information, were double annotated, reviewed, and converted to consensus gold annotations. This is sufficiently direct precedent for an EpiSynth clinic-letter pilot.</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What the source does NOT justify</w:t>
              <w:br/>
            </w:r>
            <w:r>
              <w:t>It does not establish one universal clinic-letter section order, a US Epic progress-note template, or all possible epilepsy concepts. The authors explicitly note that their annotation set does not include all concepts, including seizure semiology, technical EEG details, family history, and negated statements.</w:t>
            </w:r>
          </w:p>
        </w:tc>
      </w:tr>
    </w:tbl>
    <w:p/>
    <w:p>
      <w:pPr>
        <w:pStyle w:val="Heading1"/>
      </w:pPr>
      <w:r>
        <w:t>6. EEG and video-EEG evidence</w:t>
      </w:r>
    </w:p>
    <w:p>
      <w:r>
        <w:t>SCORE provides substantially stronger reporting evidence than most other proposed document families. The 2017 second version describes standardized terms for clinically relevant EEG features, context-sensitive choices, automated report generation, diagnostic significance, and specific modules for seizures including seizure semiology and ictal EEG patterns. The system was tested on 12,160 EEG recordings.</w:t>
      </w:r>
    </w:p>
    <w:p>
      <w:r>
        <w:t>The 2013 SCORE paper additionally describes a system in which physicians construct reports from predefined elements for relevant EEG features and clinical phenomena in video-EEG recordings.</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Boundary</w:t>
              <w:br/>
            </w:r>
            <w:r>
              <w:t>SCORE supports a reporting/terminology framework. It does not authorize MedAI to invent SCORE IDs, an unextracted term hierarchy, or a universal local EMU section order.</w:t>
            </w:r>
          </w:p>
        </w:tc>
      </w:tr>
    </w:tbl>
    <w:p/>
    <w:p>
      <w:pPr>
        <w:pStyle w:val="Heading1"/>
      </w:pPr>
      <w:r>
        <w:t>7. MRI/radiology evidence</w:t>
      </w:r>
    </w:p>
    <w:p>
      <w:r>
        <w:t>The ACR Practice Parameter for Communication of Diagnostic Imaging Findings explicitly contains sections on diagnostic imaging reports, components of the report, and principles of final reporting. The ACR-ASNR-SPR brain MRI practice parameter includes documentation as part of MRI performance/interpretation guidance.</w:t>
      </w:r>
    </w:p>
    <w:p>
      <w:r>
        <w:t>These are useful general radiology sources, but they are not epilepsy-specific MRI-report ontologies or templates. Therefore EpiSynth may use general reporting principles only; epilepsy lesion findings must remain source-grounded and cannot be generated from an invented canonical lesion hierarchy.</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Gate</w:t>
              <w:br/>
            </w:r>
            <w:r>
              <w:t>MRI reports are AMBER: pilot generation can be explored only with generic diagnostic-imaging structure and already-authorized latent findings. No claim of an epilepsy-specific standardized MRI report.</w:t>
            </w:r>
          </w:p>
        </w:tc>
      </w:tr>
    </w:tbl>
    <w:p/>
    <w:p>
      <w:pPr>
        <w:pStyle w:val="Heading1"/>
      </w:pPr>
      <w:r>
        <w:t>8. Presurgical evaluation and conference documentation</w:t>
      </w:r>
    </w:p>
    <w:p>
      <w:r>
        <w:t>ILAE's epilepsy-surgery resources link quality guidelines for presurgical epilepsy evaluation and surgical therapy, supporting presurgical evaluation as an established clinical process. That does not, by itself, establish a universal presurgical evaluation note template.</w:t>
      </w:r>
    </w:p>
    <w:p>
      <w:r>
        <w:t>This audit did not establish an authoritative standardized epilepsy conference-note template. Consequently both presurgical evaluation notes and conference notes remain blocked as canonical EpiSynth document families until direct document-level evidence is audited.</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Important distinction</w:t>
              <w:br/>
            </w:r>
            <w:r>
              <w:t>A guideline about what clinicians should evaluate is not automatically a specification for how a clinical note must be written.</w:t>
            </w:r>
          </w:p>
        </w:tc>
      </w:tr>
    </w:tbl>
    <w:p/>
    <w:p>
      <w:pPr>
        <w:pStyle w:val="Heading1"/>
      </w:pPr>
      <w:r>
        <w:t>9. Unsupported-assumption register</w:t>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trPr>
        <w:tc>
          <w:tcPr>
            <w:tcW w:type="dxa" w:w="2570"/>
            <w:shd w:fill="D9EAF7"/>
          </w:tcPr>
          <w:p>
            <w:r>
              <w:rPr>
                <w:b/>
                <w:sz w:val="12"/>
              </w:rPr>
              <w:t>ID</w:t>
            </w:r>
          </w:p>
        </w:tc>
        <w:tc>
          <w:tcPr>
            <w:tcW w:type="dxa" w:w="2570"/>
            <w:shd w:fill="D9EAF7"/>
          </w:tcPr>
          <w:p>
            <w:r>
              <w:rPr>
                <w:b/>
                <w:sz w:val="12"/>
              </w:rPr>
              <w:t>Assumption</w:t>
            </w:r>
          </w:p>
        </w:tc>
        <w:tc>
          <w:tcPr>
            <w:tcW w:type="dxa" w:w="2570"/>
            <w:shd w:fill="D9EAF7"/>
          </w:tcPr>
          <w:p>
            <w:r>
              <w:rPr>
                <w:b/>
                <w:sz w:val="12"/>
              </w:rPr>
              <w:t>Why unsupported</w:t>
            </w:r>
          </w:p>
        </w:tc>
        <w:tc>
          <w:tcPr>
            <w:tcW w:type="dxa" w:w="2570"/>
            <w:shd w:fill="D9EAF7"/>
          </w:tcPr>
          <w:p>
            <w:r>
              <w:rPr>
                <w:b/>
                <w:sz w:val="12"/>
              </w:rPr>
              <w:t>Action</w:t>
            </w:r>
          </w:p>
        </w:tc>
      </w:tr>
      <w:tr>
        <w:trPr>
          <w:cantSplit/>
        </w:trPr>
        <w:tc>
          <w:tcPr>
            <w:tcW w:type="dxa" w:w="2570"/>
            <w:vAlign w:val="top"/>
          </w:tcPr>
          <w:p>
            <w:pPr>
              <w:spacing w:after="0"/>
            </w:pPr>
            <w:r>
              <w:rPr>
                <w:sz w:val="11"/>
              </w:rPr>
              <w:t>U01</w:t>
            </w:r>
          </w:p>
        </w:tc>
        <w:tc>
          <w:tcPr>
            <w:tcW w:type="dxa" w:w="2570"/>
            <w:vAlign w:val="top"/>
          </w:tcPr>
          <w:p>
            <w:pPr>
              <w:spacing w:after="0"/>
            </w:pPr>
            <w:r>
              <w:rPr>
                <w:sz w:val="11"/>
              </w:rPr>
              <w:t>A universal US neurology progress-note structure for epilepsy</w:t>
            </w:r>
          </w:p>
        </w:tc>
        <w:tc>
          <w:tcPr>
            <w:tcW w:type="dxa" w:w="2570"/>
            <w:vAlign w:val="top"/>
          </w:tcPr>
          <w:p>
            <w:pPr>
              <w:spacing w:after="0"/>
            </w:pPr>
            <w:r>
              <w:rPr>
                <w:sz w:val="11"/>
              </w:rPr>
              <w:t>Not established by audited sources</w:t>
            </w:r>
          </w:p>
        </w:tc>
        <w:tc>
          <w:tcPr>
            <w:tcW w:type="dxa" w:w="2570"/>
            <w:vAlign w:val="top"/>
          </w:tcPr>
          <w:p>
            <w:pPr>
              <w:spacing w:after="0"/>
            </w:pPr>
            <w:r>
              <w:rPr>
                <w:sz w:val="11"/>
              </w:rPr>
              <w:t>Do not freeze/generate as canonical template</w:t>
            </w:r>
          </w:p>
        </w:tc>
      </w:tr>
      <w:tr>
        <w:trPr>
          <w:cantSplit/>
        </w:trPr>
        <w:tc>
          <w:tcPr>
            <w:tcW w:type="dxa" w:w="2570"/>
            <w:vAlign w:val="top"/>
          </w:tcPr>
          <w:p>
            <w:pPr>
              <w:spacing w:after="0"/>
            </w:pPr>
            <w:r>
              <w:rPr>
                <w:sz w:val="11"/>
              </w:rPr>
              <w:t>U02</w:t>
            </w:r>
          </w:p>
        </w:tc>
        <w:tc>
          <w:tcPr>
            <w:tcW w:type="dxa" w:w="2570"/>
            <w:vAlign w:val="top"/>
          </w:tcPr>
          <w:p>
            <w:pPr>
              <w:spacing w:after="0"/>
            </w:pPr>
            <w:r>
              <w:rPr>
                <w:sz w:val="11"/>
              </w:rPr>
              <w:t>A universal epilepsy consultation-note structure</w:t>
            </w:r>
          </w:p>
        </w:tc>
        <w:tc>
          <w:tcPr>
            <w:tcW w:type="dxa" w:w="2570"/>
            <w:vAlign w:val="top"/>
          </w:tcPr>
          <w:p>
            <w:pPr>
              <w:spacing w:after="0"/>
            </w:pPr>
            <w:r>
              <w:rPr>
                <w:sz w:val="11"/>
              </w:rPr>
              <w:t>Not established</w:t>
            </w:r>
          </w:p>
        </w:tc>
        <w:tc>
          <w:tcPr>
            <w:tcW w:type="dxa" w:w="2570"/>
            <w:vAlign w:val="top"/>
          </w:tcPr>
          <w:p>
            <w:pPr>
              <w:spacing w:after="0"/>
            </w:pPr>
            <w:r>
              <w:rPr>
                <w:sz w:val="11"/>
              </w:rPr>
              <w:t>Do not freeze/generate as canonical template</w:t>
            </w:r>
          </w:p>
        </w:tc>
      </w:tr>
      <w:tr>
        <w:trPr>
          <w:cantSplit/>
        </w:trPr>
        <w:tc>
          <w:tcPr>
            <w:tcW w:type="dxa" w:w="2570"/>
            <w:vAlign w:val="top"/>
          </w:tcPr>
          <w:p>
            <w:pPr>
              <w:spacing w:after="0"/>
            </w:pPr>
            <w:r>
              <w:rPr>
                <w:sz w:val="11"/>
              </w:rPr>
              <w:t>U03</w:t>
            </w:r>
          </w:p>
        </w:tc>
        <w:tc>
          <w:tcPr>
            <w:tcW w:type="dxa" w:w="2570"/>
            <w:vAlign w:val="top"/>
          </w:tcPr>
          <w:p>
            <w:pPr>
              <w:spacing w:after="0"/>
            </w:pPr>
            <w:r>
              <w:rPr>
                <w:sz w:val="11"/>
              </w:rPr>
              <w:t>A universal EMU/video-EEG report section order</w:t>
            </w:r>
          </w:p>
        </w:tc>
        <w:tc>
          <w:tcPr>
            <w:tcW w:type="dxa" w:w="2570"/>
            <w:vAlign w:val="top"/>
          </w:tcPr>
          <w:p>
            <w:pPr>
              <w:spacing w:after="0"/>
            </w:pPr>
            <w:r>
              <w:rPr>
                <w:sz w:val="11"/>
              </w:rPr>
              <w:t>SCORE supports content/terminology but not a universal local section order in this audit</w:t>
            </w:r>
          </w:p>
        </w:tc>
        <w:tc>
          <w:tcPr>
            <w:tcW w:type="dxa" w:w="2570"/>
            <w:vAlign w:val="top"/>
          </w:tcPr>
          <w:p>
            <w:pPr>
              <w:spacing w:after="0"/>
            </w:pPr>
            <w:r>
              <w:rPr>
                <w:sz w:val="11"/>
              </w:rPr>
              <w:t>Use only evidence-constrained content; section layout remains project-defined and must be labeled as such</w:t>
            </w:r>
          </w:p>
        </w:tc>
      </w:tr>
      <w:tr>
        <w:trPr>
          <w:cantSplit/>
        </w:trPr>
        <w:tc>
          <w:tcPr>
            <w:tcW w:type="dxa" w:w="2570"/>
            <w:vAlign w:val="top"/>
          </w:tcPr>
          <w:p>
            <w:pPr>
              <w:spacing w:after="0"/>
            </w:pPr>
            <w:r>
              <w:rPr>
                <w:sz w:val="11"/>
              </w:rPr>
              <w:t>U04</w:t>
            </w:r>
          </w:p>
        </w:tc>
        <w:tc>
          <w:tcPr>
            <w:tcW w:type="dxa" w:w="2570"/>
            <w:vAlign w:val="top"/>
          </w:tcPr>
          <w:p>
            <w:pPr>
              <w:spacing w:after="0"/>
            </w:pPr>
            <w:r>
              <w:rPr>
                <w:sz w:val="11"/>
              </w:rPr>
              <w:t>A universal epilepsy MRI report template</w:t>
            </w:r>
          </w:p>
        </w:tc>
        <w:tc>
          <w:tcPr>
            <w:tcW w:type="dxa" w:w="2570"/>
            <w:vAlign w:val="top"/>
          </w:tcPr>
          <w:p>
            <w:pPr>
              <w:spacing w:after="0"/>
            </w:pPr>
            <w:r>
              <w:rPr>
                <w:sz w:val="11"/>
              </w:rPr>
              <w:t>ACR sources are general imaging/MRI guidance, not epilepsy-specific template</w:t>
            </w:r>
          </w:p>
        </w:tc>
        <w:tc>
          <w:tcPr>
            <w:tcW w:type="dxa" w:w="2570"/>
            <w:vAlign w:val="top"/>
          </w:tcPr>
          <w:p>
            <w:pPr>
              <w:spacing w:after="0"/>
            </w:pPr>
            <w:r>
              <w:rPr>
                <w:sz w:val="11"/>
              </w:rPr>
              <w:t>No epilepsy-specific canonical template</w:t>
            </w:r>
          </w:p>
        </w:tc>
      </w:tr>
      <w:tr>
        <w:trPr>
          <w:cantSplit/>
        </w:trPr>
        <w:tc>
          <w:tcPr>
            <w:tcW w:type="dxa" w:w="2570"/>
            <w:vAlign w:val="top"/>
          </w:tcPr>
          <w:p>
            <w:pPr>
              <w:spacing w:after="0"/>
            </w:pPr>
            <w:r>
              <w:rPr>
                <w:sz w:val="11"/>
              </w:rPr>
              <w:t>U05</w:t>
            </w:r>
          </w:p>
        </w:tc>
        <w:tc>
          <w:tcPr>
            <w:tcW w:type="dxa" w:w="2570"/>
            <w:vAlign w:val="top"/>
          </w:tcPr>
          <w:p>
            <w:pPr>
              <w:spacing w:after="0"/>
            </w:pPr>
            <w:r>
              <w:rPr>
                <w:sz w:val="11"/>
              </w:rPr>
              <w:t>A canonical epilepsy MRI lesion taxonomy for reports</w:t>
            </w:r>
          </w:p>
        </w:tc>
        <w:tc>
          <w:tcPr>
            <w:tcW w:type="dxa" w:w="2570"/>
            <w:vAlign w:val="top"/>
          </w:tcPr>
          <w:p>
            <w:pPr>
              <w:spacing w:after="0"/>
            </w:pPr>
            <w:r>
              <w:rPr>
                <w:sz w:val="11"/>
              </w:rPr>
              <w:t>Not frozen</w:t>
            </w:r>
          </w:p>
        </w:tc>
        <w:tc>
          <w:tcPr>
            <w:tcW w:type="dxa" w:w="2570"/>
            <w:vAlign w:val="top"/>
          </w:tcPr>
          <w:p>
            <w:pPr>
              <w:spacing w:after="0"/>
            </w:pPr>
            <w:r>
              <w:rPr>
                <w:sz w:val="11"/>
              </w:rPr>
              <w:t>Source-text findings only</w:t>
            </w:r>
          </w:p>
        </w:tc>
      </w:tr>
      <w:tr>
        <w:trPr>
          <w:cantSplit/>
        </w:trPr>
        <w:tc>
          <w:tcPr>
            <w:tcW w:type="dxa" w:w="2570"/>
            <w:vAlign w:val="top"/>
          </w:tcPr>
          <w:p>
            <w:pPr>
              <w:spacing w:after="0"/>
            </w:pPr>
            <w:r>
              <w:rPr>
                <w:sz w:val="11"/>
              </w:rPr>
              <w:t>U06</w:t>
            </w:r>
          </w:p>
        </w:tc>
        <w:tc>
          <w:tcPr>
            <w:tcW w:type="dxa" w:w="2570"/>
            <w:vAlign w:val="top"/>
          </w:tcPr>
          <w:p>
            <w:pPr>
              <w:spacing w:after="0"/>
            </w:pPr>
            <w:r>
              <w:rPr>
                <w:sz w:val="11"/>
              </w:rPr>
              <w:t>A universal presurgical evaluation note schema</w:t>
            </w:r>
          </w:p>
        </w:tc>
        <w:tc>
          <w:tcPr>
            <w:tcW w:type="dxa" w:w="2570"/>
            <w:vAlign w:val="top"/>
          </w:tcPr>
          <w:p>
            <w:pPr>
              <w:spacing w:after="0"/>
            </w:pPr>
            <w:r>
              <w:rPr>
                <w:sz w:val="11"/>
              </w:rPr>
              <w:t>Clinical process supported; document template not established</w:t>
            </w:r>
          </w:p>
        </w:tc>
        <w:tc>
          <w:tcPr>
            <w:tcW w:type="dxa" w:w="2570"/>
            <w:vAlign w:val="top"/>
          </w:tcPr>
          <w:p>
            <w:pPr>
              <w:spacing w:after="0"/>
            </w:pPr>
            <w:r>
              <w:rPr>
                <w:sz w:val="11"/>
              </w:rPr>
              <w:t>Block generation</w:t>
            </w:r>
          </w:p>
        </w:tc>
      </w:tr>
      <w:tr>
        <w:trPr>
          <w:cantSplit/>
        </w:trPr>
        <w:tc>
          <w:tcPr>
            <w:tcW w:type="dxa" w:w="2570"/>
            <w:vAlign w:val="top"/>
          </w:tcPr>
          <w:p>
            <w:pPr>
              <w:spacing w:after="0"/>
            </w:pPr>
            <w:r>
              <w:rPr>
                <w:sz w:val="11"/>
              </w:rPr>
              <w:t>U07</w:t>
            </w:r>
          </w:p>
        </w:tc>
        <w:tc>
          <w:tcPr>
            <w:tcW w:type="dxa" w:w="2570"/>
            <w:vAlign w:val="top"/>
          </w:tcPr>
          <w:p>
            <w:pPr>
              <w:spacing w:after="0"/>
            </w:pPr>
            <w:r>
              <w:rPr>
                <w:sz w:val="11"/>
              </w:rPr>
              <w:t>A standardized epilepsy conference-note schema</w:t>
            </w:r>
          </w:p>
        </w:tc>
        <w:tc>
          <w:tcPr>
            <w:tcW w:type="dxa" w:w="2570"/>
            <w:vAlign w:val="top"/>
          </w:tcPr>
          <w:p>
            <w:pPr>
              <w:spacing w:after="0"/>
            </w:pPr>
            <w:r>
              <w:rPr>
                <w:sz w:val="11"/>
              </w:rPr>
              <w:t>No frozen source</w:t>
            </w:r>
          </w:p>
        </w:tc>
        <w:tc>
          <w:tcPr>
            <w:tcW w:type="dxa" w:w="2570"/>
            <w:vAlign w:val="top"/>
          </w:tcPr>
          <w:p>
            <w:pPr>
              <w:spacing w:after="0"/>
            </w:pPr>
            <w:r>
              <w:rPr>
                <w:sz w:val="11"/>
              </w:rPr>
              <w:t>Block generation</w:t>
            </w:r>
          </w:p>
        </w:tc>
      </w:tr>
      <w:tr>
        <w:trPr>
          <w:cantSplit/>
        </w:trPr>
        <w:tc>
          <w:tcPr>
            <w:tcW w:type="dxa" w:w="2570"/>
            <w:vAlign w:val="top"/>
          </w:tcPr>
          <w:p>
            <w:pPr>
              <w:spacing w:after="0"/>
            </w:pPr>
            <w:r>
              <w:rPr>
                <w:sz w:val="11"/>
              </w:rPr>
              <w:t>U08</w:t>
            </w:r>
          </w:p>
        </w:tc>
        <w:tc>
          <w:tcPr>
            <w:tcW w:type="dxa" w:w="2570"/>
            <w:vAlign w:val="top"/>
          </w:tcPr>
          <w:p>
            <w:pPr>
              <w:spacing w:after="0"/>
            </w:pPr>
            <w:r>
              <w:rPr>
                <w:sz w:val="11"/>
              </w:rPr>
              <w:t>A standardized epilepsy discharge-summary schema</w:t>
            </w:r>
          </w:p>
        </w:tc>
        <w:tc>
          <w:tcPr>
            <w:tcW w:type="dxa" w:w="2570"/>
            <w:vAlign w:val="top"/>
          </w:tcPr>
          <w:p>
            <w:pPr>
              <w:spacing w:after="0"/>
            </w:pPr>
            <w:r>
              <w:rPr>
                <w:sz w:val="11"/>
              </w:rPr>
              <w:t>No epilepsy-specific frozen source</w:t>
            </w:r>
          </w:p>
        </w:tc>
        <w:tc>
          <w:tcPr>
            <w:tcW w:type="dxa" w:w="2570"/>
            <w:vAlign w:val="top"/>
          </w:tcPr>
          <w:p>
            <w:pPr>
              <w:spacing w:after="0"/>
            </w:pPr>
            <w:r>
              <w:rPr>
                <w:sz w:val="11"/>
              </w:rPr>
              <w:t>Block generation</w:t>
            </w:r>
          </w:p>
        </w:tc>
      </w:tr>
      <w:tr>
        <w:trPr>
          <w:cantSplit/>
        </w:trPr>
        <w:tc>
          <w:tcPr>
            <w:tcW w:type="dxa" w:w="2570"/>
            <w:vAlign w:val="top"/>
          </w:tcPr>
          <w:p>
            <w:pPr>
              <w:spacing w:after="0"/>
            </w:pPr>
            <w:r>
              <w:rPr>
                <w:sz w:val="11"/>
              </w:rPr>
              <w:t>U09</w:t>
            </w:r>
          </w:p>
        </w:tc>
        <w:tc>
          <w:tcPr>
            <w:tcW w:type="dxa" w:w="2570"/>
            <w:vAlign w:val="top"/>
          </w:tcPr>
          <w:p>
            <w:pPr>
              <w:spacing w:after="0"/>
            </w:pPr>
            <w:r>
              <w:rPr>
                <w:sz w:val="11"/>
              </w:rPr>
              <w:t>The assumption that every later neurology note summarizes prior MRI/EEG findings</w:t>
            </w:r>
          </w:p>
        </w:tc>
        <w:tc>
          <w:tcPr>
            <w:tcW w:type="dxa" w:w="2570"/>
            <w:vAlign w:val="top"/>
          </w:tcPr>
          <w:p>
            <w:pPr>
              <w:spacing w:after="0"/>
            </w:pPr>
            <w:r>
              <w:rPr>
                <w:sz w:val="11"/>
              </w:rPr>
              <w:t>Plausible workflow assumption, not source-backed universal rule</w:t>
            </w:r>
          </w:p>
        </w:tc>
        <w:tc>
          <w:tcPr>
            <w:tcW w:type="dxa" w:w="2570"/>
            <w:vAlign w:val="top"/>
          </w:tcPr>
          <w:p>
            <w:pPr>
              <w:spacing w:after="0"/>
            </w:pPr>
            <w:r>
              <w:rPr>
                <w:sz w:val="11"/>
              </w:rPr>
              <w:t>Do not encode as clinical rule; if used, mark as scenario-specific MedAI design</w:t>
            </w:r>
          </w:p>
        </w:tc>
      </w:tr>
      <w:tr>
        <w:trPr>
          <w:cantSplit/>
        </w:trPr>
        <w:tc>
          <w:tcPr>
            <w:tcW w:type="dxa" w:w="2570"/>
            <w:vAlign w:val="top"/>
          </w:tcPr>
          <w:p>
            <w:pPr>
              <w:spacing w:after="0"/>
            </w:pPr>
            <w:r>
              <w:rPr>
                <w:sz w:val="11"/>
              </w:rPr>
              <w:t>U10</w:t>
            </w:r>
          </w:p>
        </w:tc>
        <w:tc>
          <w:tcPr>
            <w:tcW w:type="dxa" w:w="2570"/>
            <w:vAlign w:val="top"/>
          </w:tcPr>
          <w:p>
            <w:pPr>
              <w:spacing w:after="0"/>
            </w:pPr>
            <w:r>
              <w:rPr>
                <w:sz w:val="11"/>
              </w:rPr>
              <w:t>The assumption that a given document type is allowed to know a specific fact</w:t>
            </w:r>
          </w:p>
        </w:tc>
        <w:tc>
          <w:tcPr>
            <w:tcW w:type="dxa" w:w="2570"/>
            <w:vAlign w:val="top"/>
          </w:tcPr>
          <w:p>
            <w:pPr>
              <w:spacing w:after="0"/>
            </w:pPr>
            <w:r>
              <w:rPr>
                <w:sz w:val="11"/>
              </w:rPr>
              <w:t>document_visibility is a benchmark-control mechanism, not a clinical standard</w:t>
            </w:r>
          </w:p>
        </w:tc>
        <w:tc>
          <w:tcPr>
            <w:tcW w:type="dxa" w:w="2570"/>
            <w:vAlign w:val="top"/>
          </w:tcPr>
          <w:p>
            <w:pPr>
              <w:spacing w:after="0"/>
            </w:pPr>
            <w:r>
              <w:rPr>
                <w:sz w:val="11"/>
              </w:rPr>
              <w:t>Keep as MEDAI-PROPOSED method</w:t>
            </w:r>
          </w:p>
        </w:tc>
      </w:tr>
      <w:tr>
        <w:trPr>
          <w:cantSplit/>
        </w:trPr>
        <w:tc>
          <w:tcPr>
            <w:tcW w:type="dxa" w:w="2570"/>
            <w:vAlign w:val="top"/>
          </w:tcPr>
          <w:p>
            <w:pPr>
              <w:spacing w:after="0"/>
            </w:pPr>
            <w:r>
              <w:rPr>
                <w:sz w:val="11"/>
              </w:rPr>
              <w:t>U11</w:t>
            </w:r>
          </w:p>
        </w:tc>
        <w:tc>
          <w:tcPr>
            <w:tcW w:type="dxa" w:w="2570"/>
            <w:vAlign w:val="top"/>
          </w:tcPr>
          <w:p>
            <w:pPr>
              <w:spacing w:after="0"/>
            </w:pPr>
            <w:r>
              <w:rPr>
                <w:sz w:val="11"/>
              </w:rPr>
              <w:t>Any claim that LLM-generated text is clinically realistic before expert review</w:t>
            </w:r>
          </w:p>
        </w:tc>
        <w:tc>
          <w:tcPr>
            <w:tcW w:type="dxa" w:w="2570"/>
            <w:vAlign w:val="top"/>
          </w:tcPr>
          <w:p>
            <w:pPr>
              <w:spacing w:after="0"/>
            </w:pPr>
            <w:r>
              <w:rPr>
                <w:sz w:val="11"/>
              </w:rPr>
              <w:t>Not supported by generation alone</w:t>
            </w:r>
          </w:p>
        </w:tc>
        <w:tc>
          <w:tcPr>
            <w:tcW w:type="dxa" w:w="2570"/>
            <w:vAlign w:val="top"/>
          </w:tcPr>
          <w:p>
            <w:pPr>
              <w:spacing w:after="0"/>
            </w:pPr>
            <w:r>
              <w:rPr>
                <w:sz w:val="11"/>
              </w:rPr>
              <w:t>Prohibited until validation</w:t>
            </w:r>
          </w:p>
        </w:tc>
      </w:tr>
      <w:tr>
        <w:trPr>
          <w:cantSplit/>
        </w:trPr>
        <w:tc>
          <w:tcPr>
            <w:tcW w:type="dxa" w:w="2570"/>
            <w:vAlign w:val="top"/>
          </w:tcPr>
          <w:p>
            <w:pPr>
              <w:spacing w:after="0"/>
            </w:pPr>
            <w:r>
              <w:rPr>
                <w:sz w:val="11"/>
              </w:rPr>
              <w:t>U12</w:t>
            </w:r>
          </w:p>
        </w:tc>
        <w:tc>
          <w:tcPr>
            <w:tcW w:type="dxa" w:w="2570"/>
            <w:vAlign w:val="top"/>
          </w:tcPr>
          <w:p>
            <w:pPr>
              <w:spacing w:after="0"/>
            </w:pPr>
            <w:r>
              <w:rPr>
                <w:sz w:val="11"/>
              </w:rPr>
              <w:t>Any claim that benchmark document frequencies or style frequencies reflect real prevalence</w:t>
            </w:r>
          </w:p>
        </w:tc>
        <w:tc>
          <w:tcPr>
            <w:tcW w:type="dxa" w:w="2570"/>
            <w:vAlign w:val="top"/>
          </w:tcPr>
          <w:p>
            <w:pPr>
              <w:spacing w:after="0"/>
            </w:pPr>
            <w:r>
              <w:rPr>
                <w:sz w:val="11"/>
              </w:rPr>
              <w:t>No prevalence audit performed</w:t>
            </w:r>
          </w:p>
        </w:tc>
        <w:tc>
          <w:tcPr>
            <w:tcW w:type="dxa" w:w="2570"/>
            <w:vAlign w:val="top"/>
          </w:tcPr>
          <w:p>
            <w:pPr>
              <w:spacing w:after="0"/>
            </w:pPr>
            <w:r>
              <w:rPr>
                <w:sz w:val="11"/>
              </w:rPr>
              <w:t>Prohibited</w:t>
            </w:r>
          </w:p>
        </w:tc>
      </w:tr>
    </w:tbl>
    <w:p/>
    <w:p>
      <w:pPr>
        <w:pStyle w:val="Heading1"/>
      </w:pPr>
      <w:r>
        <w:t>10. Revised generation gate</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fill="D9EAF7"/>
          </w:tcPr>
          <w:p>
            <w:r>
              <w:rPr>
                <w:b/>
                <w:sz w:val="12"/>
              </w:rPr>
              <w:t>Document</w:t>
            </w:r>
          </w:p>
        </w:tc>
        <w:tc>
          <w:tcPr>
            <w:tcW w:type="dxa" w:w="3427"/>
            <w:shd w:fill="D9EAF7"/>
          </w:tcPr>
          <w:p>
            <w:r>
              <w:rPr>
                <w:b/>
                <w:sz w:val="12"/>
              </w:rPr>
              <w:t>Gate</w:t>
            </w:r>
          </w:p>
        </w:tc>
        <w:tc>
          <w:tcPr>
            <w:tcW w:type="dxa" w:w="3427"/>
            <w:shd w:fill="D9EAF7"/>
          </w:tcPr>
          <w:p>
            <w:r>
              <w:rPr>
                <w:b/>
                <w:sz w:val="12"/>
              </w:rPr>
              <w:t>Basis</w:t>
            </w:r>
          </w:p>
        </w:tc>
      </w:tr>
      <w:tr>
        <w:trPr>
          <w:cantSplit/>
        </w:trPr>
        <w:tc>
          <w:tcPr>
            <w:tcW w:type="dxa" w:w="3427"/>
            <w:vAlign w:val="top"/>
          </w:tcPr>
          <w:p>
            <w:pPr>
              <w:spacing w:after="0"/>
            </w:pPr>
            <w:r>
              <w:rPr>
                <w:sz w:val="12"/>
              </w:rPr>
              <w:t>epilepsy_clinic_letter</w:t>
            </w:r>
          </w:p>
        </w:tc>
        <w:tc>
          <w:tcPr>
            <w:tcW w:type="dxa" w:w="3427"/>
            <w:vAlign w:val="top"/>
          </w:tcPr>
          <w:p>
            <w:pPr>
              <w:spacing w:after="0"/>
            </w:pPr>
            <w:r>
              <w:rPr>
                <w:sz w:val="12"/>
              </w:rPr>
              <w:t>GREEN</w:t>
            </w:r>
          </w:p>
        </w:tc>
        <w:tc>
          <w:tcPr>
            <w:tcW w:type="dxa" w:w="3427"/>
            <w:vAlign w:val="top"/>
          </w:tcPr>
          <w:p>
            <w:pPr>
              <w:spacing w:after="0"/>
            </w:pPr>
            <w:r>
              <w:rPr>
                <w:sz w:val="12"/>
              </w:rPr>
              <w:t>Can build pilot generation profile directly from S6A-01 content domains; style/section structure must not be called universal.</w:t>
            </w:r>
          </w:p>
        </w:tc>
      </w:tr>
      <w:tr>
        <w:trPr>
          <w:cantSplit/>
        </w:trPr>
        <w:tc>
          <w:tcPr>
            <w:tcW w:type="dxa" w:w="3427"/>
            <w:vAlign w:val="top"/>
          </w:tcPr>
          <w:p>
            <w:pPr>
              <w:spacing w:after="0"/>
            </w:pPr>
            <w:r>
              <w:rPr>
                <w:sz w:val="12"/>
              </w:rPr>
              <w:t>eeg_report</w:t>
            </w:r>
          </w:p>
        </w:tc>
        <w:tc>
          <w:tcPr>
            <w:tcW w:type="dxa" w:w="3427"/>
            <w:vAlign w:val="top"/>
          </w:tcPr>
          <w:p>
            <w:pPr>
              <w:spacing w:after="0"/>
            </w:pPr>
            <w:r>
              <w:rPr>
                <w:sz w:val="12"/>
              </w:rPr>
              <w:t>GREEN_WITH_LIMITS</w:t>
            </w:r>
          </w:p>
        </w:tc>
        <w:tc>
          <w:tcPr>
            <w:tcW w:type="dxa" w:w="3427"/>
            <w:vAlign w:val="top"/>
          </w:tcPr>
          <w:p>
            <w:pPr>
              <w:spacing w:after="0"/>
            </w:pPr>
            <w:r>
              <w:rPr>
                <w:sz w:val="12"/>
              </w:rPr>
              <w:t>Can use SCORE-backed reporting framework/high-level concepts; exact local term subset must be frozen before detailed normalization.</w:t>
            </w:r>
          </w:p>
        </w:tc>
      </w:tr>
      <w:tr>
        <w:trPr>
          <w:cantSplit/>
        </w:trPr>
        <w:tc>
          <w:tcPr>
            <w:tcW w:type="dxa" w:w="3427"/>
            <w:vAlign w:val="top"/>
          </w:tcPr>
          <w:p>
            <w:pPr>
              <w:spacing w:after="0"/>
            </w:pPr>
            <w:r>
              <w:rPr>
                <w:sz w:val="12"/>
              </w:rPr>
              <w:t>video_eeg_emu_report</w:t>
            </w:r>
          </w:p>
        </w:tc>
        <w:tc>
          <w:tcPr>
            <w:tcW w:type="dxa" w:w="3427"/>
            <w:vAlign w:val="top"/>
          </w:tcPr>
          <w:p>
            <w:pPr>
              <w:spacing w:after="0"/>
            </w:pPr>
            <w:r>
              <w:rPr>
                <w:sz w:val="12"/>
              </w:rPr>
              <w:t>AMBER</w:t>
            </w:r>
          </w:p>
        </w:tc>
        <w:tc>
          <w:tcPr>
            <w:tcW w:type="dxa" w:w="3427"/>
            <w:vAlign w:val="top"/>
          </w:tcPr>
          <w:p>
            <w:pPr>
              <w:spacing w:after="0"/>
            </w:pPr>
            <w:r>
              <w:rPr>
                <w:sz w:val="12"/>
              </w:rPr>
              <w:t>Can pilot only content explicitly supported by SCORE seizure/video-EEG framework; no canonical EMU template claim.</w:t>
            </w:r>
          </w:p>
        </w:tc>
      </w:tr>
      <w:tr>
        <w:trPr>
          <w:cantSplit/>
        </w:trPr>
        <w:tc>
          <w:tcPr>
            <w:tcW w:type="dxa" w:w="3427"/>
            <w:vAlign w:val="top"/>
          </w:tcPr>
          <w:p>
            <w:pPr>
              <w:spacing w:after="0"/>
            </w:pPr>
            <w:r>
              <w:rPr>
                <w:sz w:val="12"/>
              </w:rPr>
              <w:t>mri_radiology_report</w:t>
            </w:r>
          </w:p>
        </w:tc>
        <w:tc>
          <w:tcPr>
            <w:tcW w:type="dxa" w:w="3427"/>
            <w:vAlign w:val="top"/>
          </w:tcPr>
          <w:p>
            <w:pPr>
              <w:spacing w:after="0"/>
            </w:pPr>
            <w:r>
              <w:rPr>
                <w:sz w:val="12"/>
              </w:rPr>
              <w:t>AMBER</w:t>
            </w:r>
          </w:p>
        </w:tc>
        <w:tc>
          <w:tcPr>
            <w:tcW w:type="dxa" w:w="3427"/>
            <w:vAlign w:val="top"/>
          </w:tcPr>
          <w:p>
            <w:pPr>
              <w:spacing w:after="0"/>
            </w:pPr>
            <w:r>
              <w:rPr>
                <w:sz w:val="12"/>
              </w:rPr>
              <w:t>Can use general ACR reporting principles and Phase5 source-grounded findings; no epilepsy-specific template/lesion taxonomy.</w:t>
            </w:r>
          </w:p>
        </w:tc>
      </w:tr>
      <w:tr>
        <w:trPr>
          <w:cantSplit/>
        </w:trPr>
        <w:tc>
          <w:tcPr>
            <w:tcW w:type="dxa" w:w="3427"/>
            <w:vAlign w:val="top"/>
          </w:tcPr>
          <w:p>
            <w:pPr>
              <w:spacing w:after="0"/>
            </w:pPr>
            <w:r>
              <w:rPr>
                <w:sz w:val="12"/>
              </w:rPr>
              <w:t>neurology_progress_note</w:t>
            </w:r>
          </w:p>
        </w:tc>
        <w:tc>
          <w:tcPr>
            <w:tcW w:type="dxa" w:w="3427"/>
            <w:vAlign w:val="top"/>
          </w:tcPr>
          <w:p>
            <w:pPr>
              <w:spacing w:after="0"/>
            </w:pPr>
            <w:r>
              <w:rPr>
                <w:sz w:val="12"/>
              </w:rPr>
              <w:t>RED</w:t>
            </w:r>
          </w:p>
        </w:tc>
        <w:tc>
          <w:tcPr>
            <w:tcW w:type="dxa" w:w="3427"/>
            <w:vAlign w:val="top"/>
          </w:tcPr>
          <w:p>
            <w:pPr>
              <w:spacing w:after="0"/>
            </w:pPr>
            <w:r>
              <w:rPr>
                <w:sz w:val="12"/>
              </w:rPr>
              <w:t>Need direct published/local evidence before treating as a canonical document family.</w:t>
            </w:r>
          </w:p>
        </w:tc>
      </w:tr>
      <w:tr>
        <w:trPr>
          <w:cantSplit/>
        </w:trPr>
        <w:tc>
          <w:tcPr>
            <w:tcW w:type="dxa" w:w="3427"/>
            <w:vAlign w:val="top"/>
          </w:tcPr>
          <w:p>
            <w:pPr>
              <w:spacing w:after="0"/>
            </w:pPr>
            <w:r>
              <w:rPr>
                <w:sz w:val="12"/>
              </w:rPr>
              <w:t>epilepsy_consult_note</w:t>
            </w:r>
          </w:p>
        </w:tc>
        <w:tc>
          <w:tcPr>
            <w:tcW w:type="dxa" w:w="3427"/>
            <w:vAlign w:val="top"/>
          </w:tcPr>
          <w:p>
            <w:pPr>
              <w:spacing w:after="0"/>
            </w:pPr>
            <w:r>
              <w:rPr>
                <w:sz w:val="12"/>
              </w:rPr>
              <w:t>RED</w:t>
            </w:r>
          </w:p>
        </w:tc>
        <w:tc>
          <w:tcPr>
            <w:tcW w:type="dxa" w:w="3427"/>
            <w:vAlign w:val="top"/>
          </w:tcPr>
          <w:p>
            <w:pPr>
              <w:spacing w:after="0"/>
            </w:pPr>
            <w:r>
              <w:rPr>
                <w:sz w:val="12"/>
              </w:rPr>
              <w:t>Need direct document-format evidence; clinic-letter proxy is insufficient for a canonical template.</w:t>
            </w:r>
          </w:p>
        </w:tc>
      </w:tr>
      <w:tr>
        <w:trPr>
          <w:cantSplit/>
        </w:trPr>
        <w:tc>
          <w:tcPr>
            <w:tcW w:type="dxa" w:w="3427"/>
            <w:vAlign w:val="top"/>
          </w:tcPr>
          <w:p>
            <w:pPr>
              <w:spacing w:after="0"/>
            </w:pPr>
            <w:r>
              <w:rPr>
                <w:sz w:val="12"/>
              </w:rPr>
              <w:t>presurgical_evaluation_note</w:t>
            </w:r>
          </w:p>
        </w:tc>
        <w:tc>
          <w:tcPr>
            <w:tcW w:type="dxa" w:w="3427"/>
            <w:vAlign w:val="top"/>
          </w:tcPr>
          <w:p>
            <w:pPr>
              <w:spacing w:after="0"/>
            </w:pPr>
            <w:r>
              <w:rPr>
                <w:sz w:val="12"/>
              </w:rPr>
              <w:t>RED</w:t>
            </w:r>
          </w:p>
        </w:tc>
        <w:tc>
          <w:tcPr>
            <w:tcW w:type="dxa" w:w="3427"/>
            <w:vAlign w:val="top"/>
          </w:tcPr>
          <w:p>
            <w:pPr>
              <w:spacing w:after="0"/>
            </w:pPr>
            <w:r>
              <w:rPr>
                <w:sz w:val="12"/>
              </w:rPr>
              <w:t>Need report/note source audit beyond presurgical-process guidelines.</w:t>
            </w:r>
          </w:p>
        </w:tc>
      </w:tr>
      <w:tr>
        <w:trPr>
          <w:cantSplit/>
        </w:trPr>
        <w:tc>
          <w:tcPr>
            <w:tcW w:type="dxa" w:w="3427"/>
            <w:vAlign w:val="top"/>
          </w:tcPr>
          <w:p>
            <w:pPr>
              <w:spacing w:after="0"/>
            </w:pPr>
            <w:r>
              <w:rPr>
                <w:sz w:val="12"/>
              </w:rPr>
              <w:t>epilepsy_conference_note</w:t>
            </w:r>
          </w:p>
        </w:tc>
        <w:tc>
          <w:tcPr>
            <w:tcW w:type="dxa" w:w="3427"/>
            <w:vAlign w:val="top"/>
          </w:tcPr>
          <w:p>
            <w:pPr>
              <w:spacing w:after="0"/>
            </w:pPr>
            <w:r>
              <w:rPr>
                <w:sz w:val="12"/>
              </w:rPr>
              <w:t>RED</w:t>
            </w:r>
          </w:p>
        </w:tc>
        <w:tc>
          <w:tcPr>
            <w:tcW w:type="dxa" w:w="3427"/>
            <w:vAlign w:val="top"/>
          </w:tcPr>
          <w:p>
            <w:pPr>
              <w:spacing w:after="0"/>
            </w:pPr>
            <w:r>
              <w:rPr>
                <w:sz w:val="12"/>
              </w:rPr>
              <w:t>No frozen source.</w:t>
            </w:r>
          </w:p>
        </w:tc>
      </w:tr>
      <w:tr>
        <w:trPr>
          <w:cantSplit/>
        </w:trPr>
        <w:tc>
          <w:tcPr>
            <w:tcW w:type="dxa" w:w="3427"/>
            <w:vAlign w:val="top"/>
          </w:tcPr>
          <w:p>
            <w:pPr>
              <w:spacing w:after="0"/>
            </w:pPr>
            <w:r>
              <w:rPr>
                <w:sz w:val="12"/>
              </w:rPr>
              <w:t>discharge_summary</w:t>
            </w:r>
          </w:p>
        </w:tc>
        <w:tc>
          <w:tcPr>
            <w:tcW w:type="dxa" w:w="3427"/>
            <w:vAlign w:val="top"/>
          </w:tcPr>
          <w:p>
            <w:pPr>
              <w:spacing w:after="0"/>
            </w:pPr>
            <w:r>
              <w:rPr>
                <w:sz w:val="12"/>
              </w:rPr>
              <w:t>RED</w:t>
            </w:r>
          </w:p>
        </w:tc>
        <w:tc>
          <w:tcPr>
            <w:tcW w:type="dxa" w:w="3427"/>
            <w:vAlign w:val="top"/>
          </w:tcPr>
          <w:p>
            <w:pPr>
              <w:spacing w:after="0"/>
            </w:pPr>
            <w:r>
              <w:rPr>
                <w:sz w:val="12"/>
              </w:rPr>
              <w:t>No epilepsy-specific frozen source.</w:t>
            </w:r>
          </w:p>
        </w:tc>
      </w:tr>
      <w:tr>
        <w:trPr>
          <w:cantSplit/>
        </w:trPr>
        <w:tc>
          <w:tcPr>
            <w:tcW w:type="dxa" w:w="3427"/>
            <w:vAlign w:val="top"/>
          </w:tcPr>
          <w:p>
            <w:pPr>
              <w:spacing w:after="0"/>
            </w:pPr>
            <w:r>
              <w:rPr>
                <w:sz w:val="12"/>
              </w:rPr>
              <w:t>procedure_surgery_note</w:t>
            </w:r>
          </w:p>
        </w:tc>
        <w:tc>
          <w:tcPr>
            <w:tcW w:type="dxa" w:w="3427"/>
            <w:vAlign w:val="top"/>
          </w:tcPr>
          <w:p>
            <w:pPr>
              <w:spacing w:after="0"/>
            </w:pPr>
            <w:r>
              <w:rPr>
                <w:sz w:val="12"/>
              </w:rPr>
              <w:t>RED</w:t>
            </w:r>
          </w:p>
        </w:tc>
        <w:tc>
          <w:tcPr>
            <w:tcW w:type="dxa" w:w="3427"/>
            <w:vAlign w:val="top"/>
          </w:tcPr>
          <w:p>
            <w:pPr>
              <w:spacing w:after="0"/>
            </w:pPr>
            <w:r>
              <w:rPr>
                <w:sz w:val="12"/>
              </w:rPr>
              <w:t>No frozen source.</w:t>
            </w:r>
          </w:p>
        </w:tc>
      </w:tr>
      <w:tr>
        <w:trPr>
          <w:cantSplit/>
        </w:trPr>
        <w:tc>
          <w:tcPr>
            <w:tcW w:type="dxa" w:w="3427"/>
            <w:vAlign w:val="top"/>
          </w:tcPr>
          <w:p>
            <w:pPr>
              <w:spacing w:after="0"/>
            </w:pPr>
            <w:r>
              <w:rPr>
                <w:sz w:val="12"/>
              </w:rPr>
              <w:t>pathology_report</w:t>
            </w:r>
          </w:p>
        </w:tc>
        <w:tc>
          <w:tcPr>
            <w:tcW w:type="dxa" w:w="3427"/>
            <w:vAlign w:val="top"/>
          </w:tcPr>
          <w:p>
            <w:pPr>
              <w:spacing w:after="0"/>
            </w:pPr>
            <w:r>
              <w:rPr>
                <w:sz w:val="12"/>
              </w:rPr>
              <w:t>RED</w:t>
            </w:r>
          </w:p>
        </w:tc>
        <w:tc>
          <w:tcPr>
            <w:tcW w:type="dxa" w:w="3427"/>
            <w:vAlign w:val="top"/>
          </w:tcPr>
          <w:p>
            <w:pPr>
              <w:spacing w:after="0"/>
            </w:pPr>
            <w:r>
              <w:rPr>
                <w:sz w:val="12"/>
              </w:rPr>
              <w:t>No report-template source frozen.</w:t>
            </w:r>
          </w:p>
        </w:tc>
      </w:tr>
    </w:tbl>
    <w:p/>
    <w:tbl>
      <w:tblPr>
        <w:tblStyle w:val="TableGrid"/>
        <w:tblW w:type="auto" w:w="0"/>
        <w:tblLook w:firstColumn="1" w:firstRow="1" w:lastColumn="0" w:lastRow="0" w:noHBand="0" w:noVBand="1" w:val="04A0"/>
      </w:tblPr>
      <w:tblGrid>
        <w:gridCol w:w="10282"/>
      </w:tblGrid>
      <w:tr>
        <w:trPr>
          <w:cantSplit/>
        </w:trPr>
        <w:tc>
          <w:tcPr>
            <w:tcW w:type="dxa" w:w="10282"/>
            <w:shd w:fill="E2F0D9"/>
          </w:tcPr>
          <w:p>
            <w:r>
              <w:rPr>
                <w:b/>
                <w:color w:val="17365D"/>
              </w:rPr>
              <w:t>Core pilot set</w:t>
              <w:br/>
            </w:r>
            <w:r>
              <w:t>The most defensible initial Phase 6B corpus is: (1) epilepsy clinic letters; (2) EEG reports with SCORE constraints; and, with stricter limits, (3) MRI radiology reports using general ACR reporting principles. Other document families remain blocked until directly audited.</w:t>
            </w:r>
          </w:p>
        </w:tc>
      </w:tr>
    </w:tbl>
    <w:p/>
    <w:p>
      <w:pPr>
        <w:pStyle w:val="Heading1"/>
      </w:pPr>
      <w:r>
        <w:t>11. Provenance policy for Phase 6B</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fill="D9EAF7"/>
          </w:tcPr>
          <w:p>
            <w:r>
              <w:rPr>
                <w:b/>
                <w:sz w:val="13"/>
              </w:rPr>
              <w:t>Class</w:t>
            </w:r>
          </w:p>
        </w:tc>
        <w:tc>
          <w:tcPr>
            <w:tcW w:type="dxa" w:w="3427"/>
            <w:shd w:fill="D9EAF7"/>
          </w:tcPr>
          <w:p>
            <w:r>
              <w:rPr>
                <w:b/>
                <w:sz w:val="13"/>
              </w:rPr>
              <w:t>Meaning</w:t>
            </w:r>
          </w:p>
        </w:tc>
        <w:tc>
          <w:tcPr>
            <w:tcW w:type="dxa" w:w="3427"/>
            <w:shd w:fill="D9EAF7"/>
          </w:tcPr>
          <w:p>
            <w:r>
              <w:rPr>
                <w:b/>
                <w:sz w:val="13"/>
              </w:rPr>
              <w:t>Allowed?</w:t>
            </w:r>
          </w:p>
        </w:tc>
      </w:tr>
      <w:tr>
        <w:trPr>
          <w:cantSplit/>
        </w:trPr>
        <w:tc>
          <w:tcPr>
            <w:tcW w:type="dxa" w:w="3427"/>
            <w:vAlign w:val="top"/>
          </w:tcPr>
          <w:p>
            <w:pPr>
              <w:spacing w:after="0"/>
            </w:pPr>
            <w:r>
              <w:rPr>
                <w:sz w:val="12"/>
              </w:rPr>
              <w:t>SOURCE-BACKED</w:t>
            </w:r>
          </w:p>
        </w:tc>
        <w:tc>
          <w:tcPr>
            <w:tcW w:type="dxa" w:w="3427"/>
            <w:vAlign w:val="top"/>
          </w:tcPr>
          <w:p>
            <w:pPr>
              <w:spacing w:after="0"/>
            </w:pPr>
            <w:r>
              <w:rPr>
                <w:sz w:val="12"/>
              </w:rPr>
              <w:t>External source directly supports the claim/convention.</w:t>
            </w:r>
          </w:p>
        </w:tc>
        <w:tc>
          <w:tcPr>
            <w:tcW w:type="dxa" w:w="3427"/>
            <w:vAlign w:val="top"/>
          </w:tcPr>
          <w:p>
            <w:pPr>
              <w:spacing w:after="0"/>
            </w:pPr>
            <w:r>
              <w:rPr>
                <w:sz w:val="12"/>
              </w:rPr>
              <w:t>Yes</w:t>
            </w:r>
          </w:p>
        </w:tc>
      </w:tr>
      <w:tr>
        <w:trPr>
          <w:cantSplit/>
        </w:trPr>
        <w:tc>
          <w:tcPr>
            <w:tcW w:type="dxa" w:w="3427"/>
            <w:vAlign w:val="top"/>
          </w:tcPr>
          <w:p>
            <w:pPr>
              <w:spacing w:after="0"/>
            </w:pPr>
            <w:r>
              <w:rPr>
                <w:sz w:val="12"/>
              </w:rPr>
              <w:t>SOURCE-BACKED-GENERAL</w:t>
            </w:r>
          </w:p>
        </w:tc>
        <w:tc>
          <w:tcPr>
            <w:tcW w:type="dxa" w:w="3427"/>
            <w:vAlign w:val="top"/>
          </w:tcPr>
          <w:p>
            <w:pPr>
              <w:spacing w:after="0"/>
            </w:pPr>
            <w:r>
              <w:rPr>
                <w:sz w:val="12"/>
              </w:rPr>
              <w:t>General specialty guidance supports it, but not epilepsy-specific details.</w:t>
            </w:r>
          </w:p>
        </w:tc>
        <w:tc>
          <w:tcPr>
            <w:tcW w:type="dxa" w:w="3427"/>
            <w:vAlign w:val="top"/>
          </w:tcPr>
          <w:p>
            <w:pPr>
              <w:spacing w:after="0"/>
            </w:pPr>
            <w:r>
              <w:rPr>
                <w:sz w:val="12"/>
              </w:rPr>
              <w:t>Yes, with explicit scope limit</w:t>
            </w:r>
          </w:p>
        </w:tc>
      </w:tr>
      <w:tr>
        <w:trPr>
          <w:cantSplit/>
        </w:trPr>
        <w:tc>
          <w:tcPr>
            <w:tcW w:type="dxa" w:w="3427"/>
            <w:vAlign w:val="top"/>
          </w:tcPr>
          <w:p>
            <w:pPr>
              <w:spacing w:after="0"/>
            </w:pPr>
            <w:r>
              <w:rPr>
                <w:sz w:val="12"/>
              </w:rPr>
              <w:t>MEDAI-PROPOSED</w:t>
            </w:r>
          </w:p>
        </w:tc>
        <w:tc>
          <w:tcPr>
            <w:tcW w:type="dxa" w:w="3427"/>
            <w:vAlign w:val="top"/>
          </w:tcPr>
          <w:p>
            <w:pPr>
              <w:spacing w:after="0"/>
            </w:pPr>
            <w:r>
              <w:rPr>
                <w:sz w:val="12"/>
              </w:rPr>
              <w:t>Novel benchmark/engineering mechanism such as semantic plan, event links, validator.</w:t>
            </w:r>
          </w:p>
        </w:tc>
        <w:tc>
          <w:tcPr>
            <w:tcW w:type="dxa" w:w="3427"/>
            <w:vAlign w:val="top"/>
          </w:tcPr>
          <w:p>
            <w:pPr>
              <w:spacing w:after="0"/>
            </w:pPr>
            <w:r>
              <w:rPr>
                <w:sz w:val="12"/>
              </w:rPr>
              <w:t>Yes, if clearly labeled as our method</w:t>
            </w:r>
          </w:p>
        </w:tc>
      </w:tr>
      <w:tr>
        <w:trPr>
          <w:cantSplit/>
        </w:trPr>
        <w:tc>
          <w:tcPr>
            <w:tcW w:type="dxa" w:w="3427"/>
            <w:vAlign w:val="top"/>
          </w:tcPr>
          <w:p>
            <w:pPr>
              <w:spacing w:after="0"/>
            </w:pPr>
            <w:r>
              <w:rPr>
                <w:sz w:val="12"/>
              </w:rPr>
              <w:t>UNSUPPORTED CLINICAL ASSUMPTION</w:t>
            </w:r>
          </w:p>
        </w:tc>
        <w:tc>
          <w:tcPr>
            <w:tcW w:type="dxa" w:w="3427"/>
            <w:vAlign w:val="top"/>
          </w:tcPr>
          <w:p>
            <w:pPr>
              <w:spacing w:after="0"/>
            </w:pPr>
            <w:r>
              <w:rPr>
                <w:sz w:val="12"/>
              </w:rPr>
              <w:t>Plausible but no audited source supports it.</w:t>
            </w:r>
          </w:p>
        </w:tc>
        <w:tc>
          <w:tcPr>
            <w:tcW w:type="dxa" w:w="3427"/>
            <w:vAlign w:val="top"/>
          </w:tcPr>
          <w:p>
            <w:pPr>
              <w:spacing w:after="0"/>
            </w:pPr>
            <w:r>
              <w:rPr>
                <w:sz w:val="12"/>
              </w:rPr>
              <w:t>No; block</w:t>
            </w:r>
          </w:p>
        </w:tc>
      </w:tr>
    </w:tbl>
    <w:p/>
    <w:p>
      <w:pPr>
        <w:pStyle w:val="Heading1"/>
      </w:pPr>
      <w:r>
        <w:t>12. Consequence for document generation</w:t>
      </w:r>
    </w:p>
    <w:p>
      <w:r>
        <w:t>Phase 6B should not begin with a list of desired clinical note types. It should begin with the GREEN/AMBER gate above. Each generator profile must cite the exact evidence supporting its content domains and separately identify project-defined layout/style controls.</w:t>
      </w:r>
    </w:p>
    <w:p>
      <w:r>
        <w:t>For clinic letters, Phase 6B can use the published domains from Fonferko-Shadrach et al. For EEG, it can use SCORE-supported reporting concepts. For MRI, it can use general ACR report principles plus source-grounded latent findings. It must not infer unsupported document workflows.</w:t>
      </w:r>
    </w:p>
    <w:p>
      <w:pPr>
        <w:pStyle w:val="Heading1"/>
      </w:pPr>
      <w:r>
        <w:t>13. Phase 6A release decision</w:t>
      </w:r>
    </w:p>
    <w:tbl>
      <w:tblPr>
        <w:tblStyle w:val="TableGrid"/>
        <w:tblW w:type="auto" w:w="0"/>
        <w:tblLook w:firstColumn="1" w:firstRow="1" w:lastColumn="0" w:lastRow="0" w:noHBand="0" w:noVBand="1" w:val="04A0"/>
      </w:tblPr>
      <w:tblGrid>
        <w:gridCol w:w="10282"/>
      </w:tblGrid>
      <w:tr>
        <w:trPr>
          <w:cantSplit/>
        </w:trPr>
        <w:tc>
          <w:tcPr>
            <w:tcW w:type="dxa" w:w="10282"/>
            <w:shd w:fill="E2F0D9"/>
          </w:tcPr>
          <w:p>
            <w:r>
              <w:rPr>
                <w:b/>
                <w:color w:val="17365D"/>
              </w:rPr>
              <w:t>PASS — DOCUMENT EVIDENCE AUDIT</w:t>
              <w:br/>
            </w:r>
            <w:r>
              <w:t>The audit is sufficient to correct the preliminary Phase 6 architecture. It does not authorize full document generation. Phase 6B must now be rebuilt as an evidence-constrained specification using only GREEN/AMBER document families and preserving every RED blocker.</w:t>
            </w:r>
          </w:p>
        </w:tc>
      </w:tr>
    </w:tbl>
    <w:p/>
    <w:p>
      <w:pPr>
        <w:pStyle w:val="Heading1"/>
      </w:pPr>
      <w:r>
        <w:t>14. Deliverables</w:t>
      </w:r>
    </w:p>
    <w:p>
      <w:pPr>
        <w:pStyle w:val="ListBullet"/>
      </w:pPr>
      <w:r>
        <w:t>MedAI_Phase6A_Document_Evidence_Audit_v1.0.csv</w:t>
      </w:r>
    </w:p>
    <w:p>
      <w:pPr>
        <w:pStyle w:val="ListBullet"/>
      </w:pPr>
      <w:r>
        <w:t>MedAI_Phase6A_Source_Backed_Claims_v1.0.csv</w:t>
      </w:r>
    </w:p>
    <w:p>
      <w:pPr>
        <w:pStyle w:val="ListBullet"/>
      </w:pPr>
      <w:r>
        <w:t>MedAI_Phase6A_Unsupported_Assumptions_Register_v1.0.csv</w:t>
      </w:r>
    </w:p>
    <w:p>
      <w:pPr>
        <w:pStyle w:val="ListBullet"/>
      </w:pPr>
      <w:r>
        <w:t>MedAI_Phase6A_Document_Generation_Gate_v1.0.csv</w:t>
      </w:r>
    </w:p>
    <w:p>
      <w:pPr>
        <w:pStyle w:val="ListBullet"/>
      </w:pPr>
      <w:r>
        <w:t>MedAI_Phase6A_Source_Registry_v1.0.csv</w:t>
      </w:r>
    </w:p>
    <w:p>
      <w:pPr>
        <w:pStyle w:val="ListBullet"/>
      </w:pPr>
      <w:r>
        <w:t>MedAI_Phase6A_Document_Evidence_Audit_v1.0.json</w:t>
      </w:r>
    </w:p>
    <w:p>
      <w:pPr>
        <w:pStyle w:val="Heading1"/>
      </w:pPr>
      <w:r>
        <w:t>15. References</w:t>
      </w:r>
    </w:p>
    <w:p>
      <w:r>
        <w:t>1. Fonferko-Shadrach B, Strafford H, Jones C, et al. Annotation of epilepsy clinic letters for natural language processing. Journal of Biomedical Semantics. 2024;15:17. DOI: 10.1186/s13326-024-00316-z.</w:t>
      </w:r>
    </w:p>
    <w:p>
      <w:r>
        <w:t>2. Beniczky S, Aurlien H, Brøgger JC, et al. Standardized computer-based organized reporting of EEG: SCORE - Second version. Clinical Neurophysiology. 2017;128:2334-2346. DOI: 10.1016/j.clinph.2017.07.418.</w:t>
      </w:r>
    </w:p>
    <w:p>
      <w:r>
        <w:t>3. Beniczky S, Aurlien H, Brøgger JC, et al. Standardized computer-based organized reporting of EEG: SCORE. Epilepsia. 2013;54:1112-1124. DOI: 10.1111/epi.12135.</w:t>
      </w:r>
    </w:p>
    <w:p>
      <w:r>
        <w:t>4. American College of Radiology. ACR Practice Parameter for Communication of Diagnostic Imaging Findings. Current ACR PP&amp;TS portal.</w:t>
      </w:r>
    </w:p>
    <w:p>
      <w:r>
        <w:t>5. ACR-ASNR-SPR. Practice Parameter for the Performance and Interpretation of Magnetic Resonance Imaging (MRI) of the Brain. Revised 2024.</w:t>
      </w:r>
    </w:p>
    <w:p>
      <w:r>
        <w:t>6. International League Against Epilepsy. Epilepsy Surgery resources, including linked revised quality guidelines for presurgical epilepsy evaluation and surgical epilepsy therapy.</w:t>
      </w:r>
    </w:p>
    <w:p>
      <w:r>
        <w:t>7. MedAI Phase 3C, Phase 4, Phase 3D/4.1, and Phase 5 internal specifications (explicitly project-designed where indicated).</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