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4"/>
        </w:rPr>
        <w:t>MedAI / EpiSynth</w:t>
      </w:r>
    </w:p>
    <w:p>
      <w:pPr>
        <w:jc w:val="center"/>
      </w:pPr>
      <w:r>
        <w:rPr>
          <w:b/>
          <w:color w:val="2F5597"/>
          <w:sz w:val="37"/>
        </w:rPr>
        <w:t>Phase 6B — Evidence-Constrained Clinical Document Generation</w:t>
      </w:r>
    </w:p>
    <w:p>
      <w:pPr>
        <w:jc w:val="center"/>
      </w:pPr>
      <w:r>
        <w:rPr>
          <w:sz w:val="22"/>
        </w:rPr>
        <w:t>Version 1.0 • 25 September 2026</w:t>
        <w:br/>
        <w:t>Rebuilt from Phase 6A source audit; unsupported document assumptions remain blocked</w:t>
      </w:r>
    </w:p>
    <w:tbl>
      <w:tblPr>
        <w:tblStyle w:val="TableGrid"/>
        <w:tblW w:type="auto" w:w="0"/>
        <w:tblLook w:firstColumn="1" w:firstRow="1" w:lastColumn="0" w:lastRow="0" w:noHBand="0" w:noVBand="1" w:val="04A0"/>
      </w:tblPr>
      <w:tblGrid>
        <w:gridCol w:w="10282"/>
      </w:tblGrid>
      <w:tr>
        <w:trPr>
          <w:cantSplit/>
        </w:trPr>
        <w:tc>
          <w:tcPr>
            <w:tcW w:type="dxa" w:w="10282"/>
            <w:shd w:fill="E2F0D9"/>
          </w:tcPr>
          <w:p>
            <w:r>
              <w:rPr>
                <w:b/>
                <w:color w:val="17365D"/>
              </w:rPr>
              <w:t>Evidence rule</w:t>
              <w:br/>
            </w:r>
            <w:r>
              <w:t>Phase 6B separates clinical semantics, document precedent, reporting frameworks, and MedAI engineering controls. A plausible clinical convention is not used unless the audit supports it. Novel computational mechanisms are allowed only when explicitly labeled MEDAI-PROPOSED.</w:t>
            </w:r>
          </w:p>
        </w:tc>
      </w:tr>
    </w:tbl>
    <w:p/>
    <w:p>
      <w:r>
        <w:br w:type="page"/>
      </w:r>
    </w:p>
    <w:p>
      <w:pPr>
        <w:pStyle w:val="Heading1"/>
      </w:pPr>
      <w:r>
        <w:t>1. Status of the previous Phase 6</w:t>
      </w:r>
    </w:p>
    <w:p>
      <w:r>
        <w:t>The earlier Phase 6 document is superseded as a clinical-document specification. It remains useful only as a preliminary engineering sketch. Phase 6B is the first generation specification rebuilt from the Phase 6A evidence audit.</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What changed</w:t>
              <w:br/>
            </w:r>
            <w:r>
              <w:t>The initial desired list of note types no longer determines what EpiSynth generates. The evidence gate determines the document families. RED families remain blocked even if they would be convenient for the benchmark.</w:t>
            </w:r>
          </w:p>
        </w:tc>
      </w:tr>
    </w:tbl>
    <w:p/>
    <w:p>
      <w:pPr>
        <w:pStyle w:val="Heading1"/>
      </w:pPr>
      <w:r>
        <w:t>2. External evidence frozen for Phase 6B</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shd w:fill="D9EAF7"/>
          </w:tcPr>
          <w:p>
            <w:r>
              <w:rPr>
                <w:b/>
                <w:sz w:val="12"/>
              </w:rPr>
              <w:t>ID</w:t>
            </w:r>
          </w:p>
        </w:tc>
        <w:tc>
          <w:tcPr>
            <w:tcW w:type="dxa" w:w="3427"/>
            <w:shd w:fill="D9EAF7"/>
          </w:tcPr>
          <w:p>
            <w:r>
              <w:rPr>
                <w:b/>
                <w:sz w:val="12"/>
              </w:rPr>
              <w:t>Source</w:t>
            </w:r>
          </w:p>
        </w:tc>
        <w:tc>
          <w:tcPr>
            <w:tcW w:type="dxa" w:w="3427"/>
            <w:shd w:fill="D9EAF7"/>
          </w:tcPr>
          <w:p>
            <w:r>
              <w:rPr>
                <w:b/>
                <w:sz w:val="12"/>
              </w:rPr>
              <w:t>What it supports</w:t>
            </w:r>
          </w:p>
        </w:tc>
      </w:tr>
      <w:tr>
        <w:trPr>
          <w:cantSplit/>
        </w:trPr>
        <w:tc>
          <w:tcPr>
            <w:tcW w:type="dxa" w:w="3427"/>
            <w:vAlign w:val="top"/>
          </w:tcPr>
          <w:p>
            <w:pPr>
              <w:spacing w:after="0"/>
            </w:pPr>
            <w:r>
              <w:rPr>
                <w:sz w:val="11"/>
              </w:rPr>
              <w:t>SRC-EXECT24</w:t>
            </w:r>
          </w:p>
        </w:tc>
        <w:tc>
          <w:tcPr>
            <w:tcW w:type="dxa" w:w="3427"/>
            <w:vAlign w:val="top"/>
          </w:tcPr>
          <w:p>
            <w:pPr>
              <w:spacing w:after="0"/>
            </w:pPr>
            <w:r>
              <w:rPr>
                <w:sz w:val="11"/>
              </w:rPr>
              <w:t>Fonferko-Shadrach et al. 2024 — J Biomed Semantics 15:17</w:t>
            </w:r>
          </w:p>
        </w:tc>
        <w:tc>
          <w:tcPr>
            <w:tcW w:type="dxa" w:w="3427"/>
            <w:vAlign w:val="top"/>
          </w:tcPr>
          <w:p>
            <w:pPr>
              <w:spacing w:after="0"/>
            </w:pPr>
            <w:r>
              <w:rPr>
                <w:sz w:val="11"/>
              </w:rPr>
              <w:t>200 synthetic UK outpatient epilepsy clinic letters; content domains include medical history, seizures/frequency, test results, treatment, diagnosis; varied styles/lengths/formats; double annotation and consensus gold.</w:t>
            </w:r>
          </w:p>
        </w:tc>
      </w:tr>
      <w:tr>
        <w:trPr>
          <w:cantSplit/>
        </w:trPr>
        <w:tc>
          <w:tcPr>
            <w:tcW w:type="dxa" w:w="3427"/>
            <w:vAlign w:val="top"/>
          </w:tcPr>
          <w:p>
            <w:pPr>
              <w:spacing w:after="0"/>
            </w:pPr>
            <w:r>
              <w:rPr>
                <w:sz w:val="11"/>
              </w:rPr>
              <w:t>SRC-SCORE17</w:t>
            </w:r>
          </w:p>
        </w:tc>
        <w:tc>
          <w:tcPr>
            <w:tcW w:type="dxa" w:w="3427"/>
            <w:vAlign w:val="top"/>
          </w:tcPr>
          <w:p>
            <w:pPr>
              <w:spacing w:after="0"/>
            </w:pPr>
            <w:r>
              <w:rPr>
                <w:sz w:val="11"/>
              </w:rPr>
              <w:t>Beniczky et al. 2017 — Clin Neurophysiol 128:2334-2346</w:t>
            </w:r>
          </w:p>
        </w:tc>
        <w:tc>
          <w:tcPr>
            <w:tcW w:type="dxa" w:w="3427"/>
            <w:vAlign w:val="top"/>
          </w:tcPr>
          <w:p>
            <w:pPr>
              <w:spacing w:after="0"/>
            </w:pPr>
            <w:r>
              <w:rPr>
                <w:sz w:val="11"/>
              </w:rPr>
              <w:t>International consensus SCORE terminology; context-sensitive reporting; automatic report generation; seizure modules including semiology and ictal EEG; tested on 12,160 EEGs.</w:t>
            </w:r>
          </w:p>
        </w:tc>
      </w:tr>
      <w:tr>
        <w:trPr>
          <w:cantSplit/>
        </w:trPr>
        <w:tc>
          <w:tcPr>
            <w:tcW w:type="dxa" w:w="3427"/>
            <w:vAlign w:val="top"/>
          </w:tcPr>
          <w:p>
            <w:pPr>
              <w:spacing w:after="0"/>
            </w:pPr>
            <w:r>
              <w:rPr>
                <w:sz w:val="11"/>
              </w:rPr>
              <w:t>SRC-SCORE13</w:t>
            </w:r>
          </w:p>
        </w:tc>
        <w:tc>
          <w:tcPr>
            <w:tcW w:type="dxa" w:w="3427"/>
            <w:vAlign w:val="top"/>
          </w:tcPr>
          <w:p>
            <w:pPr>
              <w:spacing w:after="0"/>
            </w:pPr>
            <w:r>
              <w:rPr>
                <w:sz w:val="11"/>
              </w:rPr>
              <w:t>Beniczky et al. 2013 — Epilepsia 54:1112-1124</w:t>
            </w:r>
          </w:p>
        </w:tc>
        <w:tc>
          <w:tcPr>
            <w:tcW w:type="dxa" w:w="3427"/>
            <w:vAlign w:val="top"/>
          </w:tcPr>
          <w:p>
            <w:pPr>
              <w:spacing w:after="0"/>
            </w:pPr>
            <w:r>
              <w:rPr>
                <w:sz w:val="11"/>
              </w:rPr>
              <w:t>SCORE predefined elements for clinically relevant EEG features and clinical phenomena in video-EEG recordings.</w:t>
            </w:r>
          </w:p>
        </w:tc>
      </w:tr>
      <w:tr>
        <w:trPr>
          <w:cantSplit/>
        </w:trPr>
        <w:tc>
          <w:tcPr>
            <w:tcW w:type="dxa" w:w="3427"/>
            <w:vAlign w:val="top"/>
          </w:tcPr>
          <w:p>
            <w:pPr>
              <w:spacing w:after="0"/>
            </w:pPr>
            <w:r>
              <w:rPr>
                <w:sz w:val="11"/>
              </w:rPr>
              <w:t>SRC-ACR-RPT</w:t>
            </w:r>
          </w:p>
        </w:tc>
        <w:tc>
          <w:tcPr>
            <w:tcW w:type="dxa" w:w="3427"/>
            <w:vAlign w:val="top"/>
          </w:tcPr>
          <w:p>
            <w:pPr>
              <w:spacing w:after="0"/>
            </w:pPr>
            <w:r>
              <w:rPr>
                <w:sz w:val="11"/>
              </w:rPr>
              <w:t>American College of Radiology — Practice Parameter for Communication of Diagnostic Imaging Findings</w:t>
            </w:r>
          </w:p>
        </w:tc>
        <w:tc>
          <w:tcPr>
            <w:tcW w:type="dxa" w:w="3427"/>
            <w:vAlign w:val="top"/>
          </w:tcPr>
          <w:p>
            <w:pPr>
              <w:spacing w:after="0"/>
            </w:pPr>
            <w:r>
              <w:rPr>
                <w:sz w:val="11"/>
              </w:rPr>
              <w:t>General diagnostic imaging report components: identifying/study information, relevant clinical information, procedures/materials, findings, limitations when appropriate, clinical question, comparison when appropriate/available, and impression/conclusion unless report is brief.</w:t>
            </w:r>
          </w:p>
        </w:tc>
      </w:tr>
      <w:tr>
        <w:trPr>
          <w:cantSplit/>
        </w:trPr>
        <w:tc>
          <w:tcPr>
            <w:tcW w:type="dxa" w:w="3427"/>
            <w:vAlign w:val="top"/>
          </w:tcPr>
          <w:p>
            <w:pPr>
              <w:spacing w:after="0"/>
            </w:pPr>
            <w:r>
              <w:rPr>
                <w:sz w:val="11"/>
              </w:rPr>
              <w:t>SRC-ILAE25</w:t>
            </w:r>
          </w:p>
        </w:tc>
        <w:tc>
          <w:tcPr>
            <w:tcW w:type="dxa" w:w="3427"/>
            <w:vAlign w:val="top"/>
          </w:tcPr>
          <w:p>
            <w:pPr>
              <w:spacing w:after="0"/>
            </w:pPr>
            <w:r>
              <w:rPr>
                <w:sz w:val="11"/>
              </w:rPr>
              <w:t>Beniczky et al. 2025 — Epilepsia</w:t>
            </w:r>
          </w:p>
        </w:tc>
        <w:tc>
          <w:tcPr>
            <w:tcW w:type="dxa" w:w="3427"/>
            <w:vAlign w:val="top"/>
          </w:tcPr>
          <w:p>
            <w:pPr>
              <w:spacing w:after="0"/>
            </w:pPr>
            <w:r>
              <w:rPr>
                <w:sz w:val="11"/>
              </w:rPr>
              <w:t>Current seizure classification semantics; imported from earlier frozen MedAI source taxonomy.</w:t>
            </w:r>
          </w:p>
        </w:tc>
      </w:tr>
      <w:tr>
        <w:trPr>
          <w:cantSplit/>
        </w:trPr>
        <w:tc>
          <w:tcPr>
            <w:tcW w:type="dxa" w:w="3427"/>
            <w:vAlign w:val="top"/>
          </w:tcPr>
          <w:p>
            <w:pPr>
              <w:spacing w:after="0"/>
            </w:pPr>
            <w:r>
              <w:rPr>
                <w:sz w:val="11"/>
              </w:rPr>
              <w:t>SRC-ILAE17</w:t>
            </w:r>
          </w:p>
        </w:tc>
        <w:tc>
          <w:tcPr>
            <w:tcW w:type="dxa" w:w="3427"/>
            <w:vAlign w:val="top"/>
          </w:tcPr>
          <w:p>
            <w:pPr>
              <w:spacing w:after="0"/>
            </w:pPr>
            <w:r>
              <w:rPr>
                <w:sz w:val="11"/>
              </w:rPr>
              <w:t>Scheffer et al. 2017 — Epilepsia 58:512-521</w:t>
            </w:r>
          </w:p>
        </w:tc>
        <w:tc>
          <w:tcPr>
            <w:tcW w:type="dxa" w:w="3427"/>
            <w:vAlign w:val="top"/>
          </w:tcPr>
          <w:p>
            <w:pPr>
              <w:spacing w:after="0"/>
            </w:pPr>
            <w:r>
              <w:rPr>
                <w:sz w:val="11"/>
              </w:rPr>
              <w:t>Epilepsy type/etiology framework; imported from earlier frozen MedAI source taxonomy.</w:t>
            </w:r>
          </w:p>
        </w:tc>
      </w:tr>
      <w:tr>
        <w:trPr>
          <w:cantSplit/>
        </w:trPr>
        <w:tc>
          <w:tcPr>
            <w:tcW w:type="dxa" w:w="3427"/>
            <w:vAlign w:val="top"/>
          </w:tcPr>
          <w:p>
            <w:pPr>
              <w:spacing w:after="0"/>
            </w:pPr>
            <w:r>
              <w:rPr>
                <w:sz w:val="11"/>
              </w:rPr>
              <w:t>SRC-DRE10</w:t>
            </w:r>
          </w:p>
        </w:tc>
        <w:tc>
          <w:tcPr>
            <w:tcW w:type="dxa" w:w="3427"/>
            <w:vAlign w:val="top"/>
          </w:tcPr>
          <w:p>
            <w:pPr>
              <w:spacing w:after="0"/>
            </w:pPr>
            <w:r>
              <w:rPr>
                <w:sz w:val="11"/>
              </w:rPr>
              <w:t>Kwan et al. 2010 — Epilepsia 51:1069-1077</w:t>
            </w:r>
          </w:p>
        </w:tc>
        <w:tc>
          <w:tcPr>
            <w:tcW w:type="dxa" w:w="3427"/>
            <w:vAlign w:val="top"/>
          </w:tcPr>
          <w:p>
            <w:pPr>
              <w:spacing w:after="0"/>
            </w:pPr>
            <w:r>
              <w:rPr>
                <w:sz w:val="11"/>
              </w:rPr>
              <w:t>Drug-resistant epilepsy consensus definition; imported from earlier frozen MedAI source base.</w:t>
            </w:r>
          </w:p>
        </w:tc>
      </w:tr>
    </w:tbl>
    <w:p/>
    <w:p>
      <w:pPr>
        <w:pStyle w:val="Heading1"/>
      </w:pPr>
      <w:r>
        <w:t>3. Document families permitted by evidence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cantSplit/>
        </w:trPr>
        <w:tc>
          <w:tcPr>
            <w:tcW w:type="dxa" w:w="1714"/>
            <w:shd w:fill="D9EAF7"/>
          </w:tcPr>
          <w:p>
            <w:r>
              <w:rPr>
                <w:b/>
                <w:sz w:val="10"/>
              </w:rPr>
              <w:t>Document family</w:t>
            </w:r>
          </w:p>
        </w:tc>
        <w:tc>
          <w:tcPr>
            <w:tcW w:type="dxa" w:w="1714"/>
            <w:shd w:fill="D9EAF7"/>
          </w:tcPr>
          <w:p>
            <w:r>
              <w:rPr>
                <w:b/>
                <w:sz w:val="10"/>
              </w:rPr>
              <w:t>Gate</w:t>
            </w:r>
          </w:p>
        </w:tc>
        <w:tc>
          <w:tcPr>
            <w:tcW w:type="dxa" w:w="1714"/>
            <w:shd w:fill="D9EAF7"/>
          </w:tcPr>
          <w:p>
            <w:r>
              <w:rPr>
                <w:b/>
                <w:sz w:val="10"/>
              </w:rPr>
              <w:t>Sources</w:t>
            </w:r>
          </w:p>
        </w:tc>
        <w:tc>
          <w:tcPr>
            <w:tcW w:type="dxa" w:w="1714"/>
            <w:shd w:fill="D9EAF7"/>
          </w:tcPr>
          <w:p>
            <w:r>
              <w:rPr>
                <w:b/>
                <w:sz w:val="10"/>
              </w:rPr>
              <w:t>Supported content</w:t>
            </w:r>
          </w:p>
        </w:tc>
        <w:tc>
          <w:tcPr>
            <w:tcW w:type="dxa" w:w="1714"/>
            <w:shd w:fill="D9EAF7"/>
          </w:tcPr>
          <w:p>
            <w:r>
              <w:rPr>
                <w:b/>
                <w:sz w:val="10"/>
              </w:rPr>
              <w:t>Structure policy</w:t>
            </w:r>
          </w:p>
        </w:tc>
        <w:tc>
          <w:tcPr>
            <w:tcW w:type="dxa" w:w="1714"/>
            <w:shd w:fill="D9EAF7"/>
          </w:tcPr>
          <w:p>
            <w:r>
              <w:rPr>
                <w:b/>
                <w:sz w:val="10"/>
              </w:rPr>
              <w:t>Provenance</w:t>
            </w:r>
          </w:p>
        </w:tc>
      </w:tr>
      <w:tr>
        <w:trPr>
          <w:cantSplit/>
        </w:trPr>
        <w:tc>
          <w:tcPr>
            <w:tcW w:type="dxa" w:w="1714"/>
            <w:vAlign w:val="top"/>
          </w:tcPr>
          <w:p>
            <w:pPr>
              <w:spacing w:after="0"/>
            </w:pPr>
            <w:r>
              <w:rPr>
                <w:sz w:val="10"/>
              </w:rPr>
              <w:t>epilepsy_clinic_letter</w:t>
            </w:r>
          </w:p>
        </w:tc>
        <w:tc>
          <w:tcPr>
            <w:tcW w:type="dxa" w:w="1714"/>
            <w:vAlign w:val="top"/>
          </w:tcPr>
          <w:p>
            <w:pPr>
              <w:spacing w:after="0"/>
            </w:pPr>
            <w:r>
              <w:rPr>
                <w:sz w:val="10"/>
              </w:rPr>
              <w:t>GREEN</w:t>
            </w:r>
          </w:p>
        </w:tc>
        <w:tc>
          <w:tcPr>
            <w:tcW w:type="dxa" w:w="1714"/>
            <w:vAlign w:val="top"/>
          </w:tcPr>
          <w:p>
            <w:pPr>
              <w:spacing w:after="0"/>
            </w:pPr>
            <w:r>
              <w:rPr>
                <w:sz w:val="10"/>
              </w:rPr>
              <w:t>SRC-EXECT24</w:t>
            </w:r>
          </w:p>
        </w:tc>
        <w:tc>
          <w:tcPr>
            <w:tcW w:type="dxa" w:w="1714"/>
            <w:vAlign w:val="top"/>
          </w:tcPr>
          <w:p>
            <w:pPr>
              <w:spacing w:after="0"/>
            </w:pPr>
            <w:r>
              <w:rPr>
                <w:sz w:val="10"/>
              </w:rPr>
              <w:t>medical history | seizures | seizure frequency | test results | treatment | diagnosis</w:t>
            </w:r>
          </w:p>
        </w:tc>
        <w:tc>
          <w:tcPr>
            <w:tcW w:type="dxa" w:w="1714"/>
            <w:vAlign w:val="top"/>
          </w:tcPr>
          <w:p>
            <w:pPr>
              <w:spacing w:after="0"/>
            </w:pPr>
            <w:r>
              <w:rPr>
                <w:sz w:val="10"/>
              </w:rPr>
              <w:t>No canonical section order. Style/length/format may vary because source explicitly reports variation.</w:t>
            </w:r>
          </w:p>
        </w:tc>
        <w:tc>
          <w:tcPr>
            <w:tcW w:type="dxa" w:w="1714"/>
            <w:vAlign w:val="top"/>
          </w:tcPr>
          <w:p>
            <w:pPr>
              <w:spacing w:after="0"/>
            </w:pPr>
            <w:r>
              <w:rPr>
                <w:sz w:val="10"/>
              </w:rPr>
              <w:t>SOURCE-BACKED DOCUMENT PRECEDENT</w:t>
            </w:r>
          </w:p>
        </w:tc>
      </w:tr>
      <w:tr>
        <w:trPr>
          <w:cantSplit/>
        </w:trPr>
        <w:tc>
          <w:tcPr>
            <w:tcW w:type="dxa" w:w="1714"/>
            <w:vAlign w:val="top"/>
          </w:tcPr>
          <w:p>
            <w:pPr>
              <w:spacing w:after="0"/>
            </w:pPr>
            <w:r>
              <w:rPr>
                <w:sz w:val="10"/>
              </w:rPr>
              <w:t>eeg_report</w:t>
            </w:r>
          </w:p>
        </w:tc>
        <w:tc>
          <w:tcPr>
            <w:tcW w:type="dxa" w:w="1714"/>
            <w:vAlign w:val="top"/>
          </w:tcPr>
          <w:p>
            <w:pPr>
              <w:spacing w:after="0"/>
            </w:pPr>
            <w:r>
              <w:rPr>
                <w:sz w:val="10"/>
              </w:rPr>
              <w:t>GREEN_WITH_LIMITS</w:t>
            </w:r>
          </w:p>
        </w:tc>
        <w:tc>
          <w:tcPr>
            <w:tcW w:type="dxa" w:w="1714"/>
            <w:vAlign w:val="top"/>
          </w:tcPr>
          <w:p>
            <w:pPr>
              <w:spacing w:after="0"/>
            </w:pPr>
            <w:r>
              <w:rPr>
                <w:sz w:val="10"/>
              </w:rPr>
              <w:t>SRC-SCORE17;SRC-SCORE13</w:t>
            </w:r>
          </w:p>
        </w:tc>
        <w:tc>
          <w:tcPr>
            <w:tcW w:type="dxa" w:w="1714"/>
            <w:vAlign w:val="top"/>
          </w:tcPr>
          <w:p>
            <w:pPr>
              <w:spacing w:after="0"/>
            </w:pPr>
            <w:r>
              <w:rPr>
                <w:sz w:val="10"/>
              </w:rPr>
              <w:t>clinically relevant EEG features represented in frozen semantic plan | seizure/semiology/ictal EEG only when explicitly present</w:t>
            </w:r>
          </w:p>
        </w:tc>
        <w:tc>
          <w:tcPr>
            <w:tcW w:type="dxa" w:w="1714"/>
            <w:vAlign w:val="top"/>
          </w:tcPr>
          <w:p>
            <w:pPr>
              <w:spacing w:after="0"/>
            </w:pPr>
            <w:r>
              <w:rPr>
                <w:sz w:val="10"/>
              </w:rPr>
              <w:t>SCORE context-sensitive reporting is source-backed; exact local section order is not frozen.</w:t>
            </w:r>
          </w:p>
        </w:tc>
        <w:tc>
          <w:tcPr>
            <w:tcW w:type="dxa" w:w="1714"/>
            <w:vAlign w:val="top"/>
          </w:tcPr>
          <w:p>
            <w:pPr>
              <w:spacing w:after="0"/>
            </w:pPr>
            <w:r>
              <w:rPr>
                <w:sz w:val="10"/>
              </w:rPr>
              <w:t>SOURCE-BACKED REPORTING FRAMEWORK</w:t>
            </w:r>
          </w:p>
        </w:tc>
      </w:tr>
      <w:tr>
        <w:trPr>
          <w:cantSplit/>
        </w:trPr>
        <w:tc>
          <w:tcPr>
            <w:tcW w:type="dxa" w:w="1714"/>
            <w:vAlign w:val="top"/>
          </w:tcPr>
          <w:p>
            <w:pPr>
              <w:spacing w:after="0"/>
            </w:pPr>
            <w:r>
              <w:rPr>
                <w:sz w:val="10"/>
              </w:rPr>
              <w:t>video_eeg_content</w:t>
            </w:r>
          </w:p>
        </w:tc>
        <w:tc>
          <w:tcPr>
            <w:tcW w:type="dxa" w:w="1714"/>
            <w:vAlign w:val="top"/>
          </w:tcPr>
          <w:p>
            <w:pPr>
              <w:spacing w:after="0"/>
            </w:pPr>
            <w:r>
              <w:rPr>
                <w:sz w:val="10"/>
              </w:rPr>
              <w:t>AMBER</w:t>
            </w:r>
          </w:p>
        </w:tc>
        <w:tc>
          <w:tcPr>
            <w:tcW w:type="dxa" w:w="1714"/>
            <w:vAlign w:val="top"/>
          </w:tcPr>
          <w:p>
            <w:pPr>
              <w:spacing w:after="0"/>
            </w:pPr>
            <w:r>
              <w:rPr>
                <w:sz w:val="10"/>
              </w:rPr>
              <w:t>SRC-SCORE17;SRC-SCORE13</w:t>
            </w:r>
          </w:p>
        </w:tc>
        <w:tc>
          <w:tcPr>
            <w:tcW w:type="dxa" w:w="1714"/>
            <w:vAlign w:val="top"/>
          </w:tcPr>
          <w:p>
            <w:pPr>
              <w:spacing w:after="0"/>
            </w:pPr>
            <w:r>
              <w:rPr>
                <w:sz w:val="10"/>
              </w:rPr>
              <w:t>video-EEG clinical phenomena and seizure/semiology/ictal EEG content explicitly represented in plan</w:t>
            </w:r>
          </w:p>
        </w:tc>
        <w:tc>
          <w:tcPr>
            <w:tcW w:type="dxa" w:w="1714"/>
            <w:vAlign w:val="top"/>
          </w:tcPr>
          <w:p>
            <w:pPr>
              <w:spacing w:after="0"/>
            </w:pPr>
            <w:r>
              <w:rPr>
                <w:sz w:val="10"/>
              </w:rPr>
              <w:t>No universal EMU report template frozen.</w:t>
            </w:r>
          </w:p>
        </w:tc>
        <w:tc>
          <w:tcPr>
            <w:tcW w:type="dxa" w:w="1714"/>
            <w:vAlign w:val="top"/>
          </w:tcPr>
          <w:p>
            <w:pPr>
              <w:spacing w:after="0"/>
            </w:pPr>
            <w:r>
              <w:rPr>
                <w:sz w:val="10"/>
              </w:rPr>
              <w:t>SOURCE-BACKED CONTENT / TEMPLATE UNRESOLVED</w:t>
            </w:r>
          </w:p>
        </w:tc>
      </w:tr>
      <w:tr>
        <w:trPr>
          <w:cantSplit/>
        </w:trPr>
        <w:tc>
          <w:tcPr>
            <w:tcW w:type="dxa" w:w="1714"/>
            <w:vAlign w:val="top"/>
          </w:tcPr>
          <w:p>
            <w:pPr>
              <w:spacing w:after="0"/>
            </w:pPr>
            <w:r>
              <w:rPr>
                <w:sz w:val="10"/>
              </w:rPr>
              <w:t>mri_radiology_report</w:t>
            </w:r>
          </w:p>
        </w:tc>
        <w:tc>
          <w:tcPr>
            <w:tcW w:type="dxa" w:w="1714"/>
            <w:vAlign w:val="top"/>
          </w:tcPr>
          <w:p>
            <w:pPr>
              <w:spacing w:after="0"/>
            </w:pPr>
            <w:r>
              <w:rPr>
                <w:sz w:val="10"/>
              </w:rPr>
              <w:t>AMBER</w:t>
            </w:r>
          </w:p>
        </w:tc>
        <w:tc>
          <w:tcPr>
            <w:tcW w:type="dxa" w:w="1714"/>
            <w:vAlign w:val="top"/>
          </w:tcPr>
          <w:p>
            <w:pPr>
              <w:spacing w:after="0"/>
            </w:pPr>
            <w:r>
              <w:rPr>
                <w:sz w:val="10"/>
              </w:rPr>
              <w:t>SRC-ACR-RPT</w:t>
            </w:r>
          </w:p>
        </w:tc>
        <w:tc>
          <w:tcPr>
            <w:tcW w:type="dxa" w:w="1714"/>
            <w:vAlign w:val="top"/>
          </w:tcPr>
          <w:p>
            <w:pPr>
              <w:spacing w:after="0"/>
            </w:pPr>
            <w:r>
              <w:rPr>
                <w:sz w:val="10"/>
              </w:rPr>
              <w:t>study/exam metadata | relevant clinical information if provided | procedures/materials if provided | findings | limitations if provided | comparison if provided | impression/conclusion</w:t>
            </w:r>
          </w:p>
        </w:tc>
        <w:tc>
          <w:tcPr>
            <w:tcW w:type="dxa" w:w="1714"/>
            <w:vAlign w:val="top"/>
          </w:tcPr>
          <w:p>
            <w:pPr>
              <w:spacing w:after="0"/>
            </w:pPr>
            <w:r>
              <w:rPr>
                <w:sz w:val="10"/>
              </w:rPr>
              <w:t>General radiology report components are source-backed; epilepsy-specific structure is not.</w:t>
            </w:r>
          </w:p>
        </w:tc>
        <w:tc>
          <w:tcPr>
            <w:tcW w:type="dxa" w:w="1714"/>
            <w:vAlign w:val="top"/>
          </w:tcPr>
          <w:p>
            <w:pPr>
              <w:spacing w:after="0"/>
            </w:pPr>
            <w:r>
              <w:rPr>
                <w:sz w:val="10"/>
              </w:rPr>
              <w:t>GENERAL PROFESSIONAL GUIDANCE</w:t>
            </w:r>
          </w:p>
        </w:tc>
      </w:tr>
      <w:tr>
        <w:trPr>
          <w:cantSplit/>
        </w:trPr>
        <w:tc>
          <w:tcPr>
            <w:tcW w:type="dxa" w:w="1714"/>
            <w:vAlign w:val="top"/>
          </w:tcPr>
          <w:p>
            <w:pPr>
              <w:spacing w:after="0"/>
            </w:pPr>
            <w:r>
              <w:rPr>
                <w:sz w:val="10"/>
              </w:rPr>
              <w:t>neurology_progress_note</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No direct audited standard/template.</w:t>
            </w:r>
          </w:p>
        </w:tc>
        <w:tc>
          <w:tcPr>
            <w:tcW w:type="dxa" w:w="1714"/>
            <w:vAlign w:val="top"/>
          </w:tcPr>
          <w:p>
            <w:pPr>
              <w:spacing w:after="0"/>
            </w:pPr>
            <w:r>
              <w:rPr>
                <w:sz w:val="10"/>
              </w:rPr>
              <w:t>UNSUPPORTED</w:t>
            </w:r>
          </w:p>
        </w:tc>
      </w:tr>
      <w:tr>
        <w:trPr>
          <w:cantSplit/>
        </w:trPr>
        <w:tc>
          <w:tcPr>
            <w:tcW w:type="dxa" w:w="1714"/>
            <w:vAlign w:val="top"/>
          </w:tcPr>
          <w:p>
            <w:pPr>
              <w:spacing w:after="0"/>
            </w:pPr>
            <w:r>
              <w:rPr>
                <w:sz w:val="10"/>
              </w:rPr>
              <w:t>epilepsy_consult_note</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Clinic-letter precedent is not treated as equivalent to a universal consult-note template.</w:t>
            </w:r>
          </w:p>
        </w:tc>
        <w:tc>
          <w:tcPr>
            <w:tcW w:type="dxa" w:w="1714"/>
            <w:vAlign w:val="top"/>
          </w:tcPr>
          <w:p>
            <w:pPr>
              <w:spacing w:after="0"/>
            </w:pPr>
            <w:r>
              <w:rPr>
                <w:sz w:val="10"/>
              </w:rPr>
              <w:t>UNSUPPORTED</w:t>
            </w:r>
          </w:p>
        </w:tc>
      </w:tr>
      <w:tr>
        <w:trPr>
          <w:cantSplit/>
        </w:trPr>
        <w:tc>
          <w:tcPr>
            <w:tcW w:type="dxa" w:w="1714"/>
            <w:vAlign w:val="top"/>
          </w:tcPr>
          <w:p>
            <w:pPr>
              <w:spacing w:after="0"/>
            </w:pPr>
            <w:r>
              <w:rPr>
                <w:sz w:val="10"/>
              </w:rPr>
              <w:t>presurgical_evaluation_note</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Presurgical process evidence does not define note format.</w:t>
            </w:r>
          </w:p>
        </w:tc>
        <w:tc>
          <w:tcPr>
            <w:tcW w:type="dxa" w:w="1714"/>
            <w:vAlign w:val="top"/>
          </w:tcPr>
          <w:p>
            <w:pPr>
              <w:spacing w:after="0"/>
            </w:pPr>
            <w:r>
              <w:rPr>
                <w:sz w:val="10"/>
              </w:rPr>
              <w:t>UNSUPPORTED TEMPLATE</w:t>
            </w:r>
          </w:p>
        </w:tc>
      </w:tr>
      <w:tr>
        <w:trPr>
          <w:cantSplit/>
        </w:trPr>
        <w:tc>
          <w:tcPr>
            <w:tcW w:type="dxa" w:w="1714"/>
            <w:vAlign w:val="top"/>
          </w:tcPr>
          <w:p>
            <w:pPr>
              <w:spacing w:after="0"/>
            </w:pPr>
            <w:r>
              <w:rPr>
                <w:sz w:val="10"/>
              </w:rPr>
              <w:t>epilepsy_conference_note</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No authoritative template frozen.</w:t>
            </w:r>
          </w:p>
        </w:tc>
        <w:tc>
          <w:tcPr>
            <w:tcW w:type="dxa" w:w="1714"/>
            <w:vAlign w:val="top"/>
          </w:tcPr>
          <w:p>
            <w:pPr>
              <w:spacing w:after="0"/>
            </w:pPr>
            <w:r>
              <w:rPr>
                <w:sz w:val="10"/>
              </w:rPr>
              <w:t>UNSUPPORTED</w:t>
            </w:r>
          </w:p>
        </w:tc>
      </w:tr>
      <w:tr>
        <w:trPr>
          <w:cantSplit/>
        </w:trPr>
        <w:tc>
          <w:tcPr>
            <w:tcW w:type="dxa" w:w="1714"/>
            <w:vAlign w:val="top"/>
          </w:tcPr>
          <w:p>
            <w:pPr>
              <w:spacing w:after="0"/>
            </w:pPr>
            <w:r>
              <w:rPr>
                <w:sz w:val="10"/>
              </w:rPr>
              <w:t>discharge_summary</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No epilepsy-specific document source frozen.</w:t>
            </w:r>
          </w:p>
        </w:tc>
        <w:tc>
          <w:tcPr>
            <w:tcW w:type="dxa" w:w="1714"/>
            <w:vAlign w:val="top"/>
          </w:tcPr>
          <w:p>
            <w:pPr>
              <w:spacing w:after="0"/>
            </w:pPr>
            <w:r>
              <w:rPr>
                <w:sz w:val="10"/>
              </w:rPr>
              <w:t>UNSUPPORTED</w:t>
            </w:r>
          </w:p>
        </w:tc>
      </w:tr>
      <w:tr>
        <w:trPr>
          <w:cantSplit/>
        </w:trPr>
        <w:tc>
          <w:tcPr>
            <w:tcW w:type="dxa" w:w="1714"/>
            <w:vAlign w:val="top"/>
          </w:tcPr>
          <w:p>
            <w:pPr>
              <w:spacing w:after="0"/>
            </w:pPr>
            <w:r>
              <w:rPr>
                <w:sz w:val="10"/>
              </w:rPr>
              <w:t>procedure_surgery_note</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No source frozen.</w:t>
            </w:r>
          </w:p>
        </w:tc>
        <w:tc>
          <w:tcPr>
            <w:tcW w:type="dxa" w:w="1714"/>
            <w:vAlign w:val="top"/>
          </w:tcPr>
          <w:p>
            <w:pPr>
              <w:spacing w:after="0"/>
            </w:pPr>
            <w:r>
              <w:rPr>
                <w:sz w:val="10"/>
              </w:rPr>
              <w:t>UNSUPPORTED</w:t>
            </w:r>
          </w:p>
        </w:tc>
      </w:tr>
      <w:tr>
        <w:trPr>
          <w:cantSplit/>
        </w:trPr>
        <w:tc>
          <w:tcPr>
            <w:tcW w:type="dxa" w:w="1714"/>
            <w:vAlign w:val="top"/>
          </w:tcPr>
          <w:p>
            <w:pPr>
              <w:spacing w:after="0"/>
            </w:pPr>
            <w:r>
              <w:rPr>
                <w:sz w:val="10"/>
              </w:rPr>
              <w:t>pathology_report</w:t>
            </w:r>
          </w:p>
        </w:tc>
        <w:tc>
          <w:tcPr>
            <w:tcW w:type="dxa" w:w="1714"/>
            <w:vAlign w:val="top"/>
          </w:tcPr>
          <w:p>
            <w:pPr>
              <w:spacing w:after="0"/>
            </w:pPr>
            <w:r>
              <w:rPr>
                <w:sz w:val="10"/>
              </w:rPr>
              <w:t>RED</w:t>
            </w:r>
          </w:p>
        </w:tc>
        <w:tc>
          <w:tcPr>
            <w:tcW w:type="dxa" w:w="1714"/>
            <w:vAlign w:val="top"/>
          </w:tcPr>
          <w:p>
            <w:pPr>
              <w:spacing w:after="0"/>
            </w:pPr>
            <w:r>
              <w:rPr>
                <w:sz w:val="10"/>
              </w:rPr>
              <w:t>NONE</w:t>
            </w:r>
          </w:p>
        </w:tc>
        <w:tc>
          <w:tcPr>
            <w:tcW w:type="dxa" w:w="1714"/>
            <w:vAlign w:val="top"/>
          </w:tcPr>
          <w:p>
            <w:pPr>
              <w:spacing w:after="0"/>
            </w:pPr>
            <w:r>
              <w:rPr>
                <w:sz w:val="10"/>
              </w:rPr>
              <w:t>none frozen</w:t>
            </w:r>
          </w:p>
        </w:tc>
        <w:tc>
          <w:tcPr>
            <w:tcW w:type="dxa" w:w="1714"/>
            <w:vAlign w:val="top"/>
          </w:tcPr>
          <w:p>
            <w:pPr>
              <w:spacing w:after="0"/>
            </w:pPr>
            <w:r>
              <w:rPr>
                <w:sz w:val="10"/>
              </w:rPr>
              <w:t>Pathology taxonomies do not establish report template.</w:t>
            </w:r>
          </w:p>
        </w:tc>
        <w:tc>
          <w:tcPr>
            <w:tcW w:type="dxa" w:w="1714"/>
            <w:vAlign w:val="top"/>
          </w:tcPr>
          <w:p>
            <w:pPr>
              <w:spacing w:after="0"/>
            </w:pPr>
            <w:r>
              <w:rPr>
                <w:sz w:val="10"/>
              </w:rPr>
              <w:t>UNSUPPORTED</w:t>
            </w:r>
          </w:p>
        </w:tc>
      </w:tr>
    </w:tbl>
    <w:p/>
    <w:p>
      <w:pPr>
        <w:pStyle w:val="Heading1"/>
      </w:pPr>
      <w:r>
        <w:t>4. GREEN profile: epilepsy clinic letters</w:t>
      </w:r>
    </w:p>
    <w:p>
      <w:r>
        <w:t>The 2024 ExECTv2 study is direct document-level precedent. It created 200 synthetic clinic letters based on UK outpatient epilepsy consultations. The source explicitly states that clinic letters describe medical history, seizures and their frequency, test results, treatment, and diagnosis, and that they vary in style, length, and format.</w:t>
      </w:r>
    </w:p>
    <w:p>
      <w:r>
        <w:t>Therefore Phase 6B may generate a clinic-letter pilot only from those supported domains and only when the corresponding latent facts exist. It deliberately does not impose one canonical section order.</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Source boundary</w:t>
              <w:br/>
            </w:r>
            <w:r>
              <w:t>The published corpus does not prove that every epilepsy document contains every domain, nor that UK clinic-letter structure equals a US Epic progress note. Phase 6B therefore calls this family 'epilepsy clinic letter' rather than silently relabeling it.</w:t>
            </w:r>
          </w:p>
        </w:tc>
      </w:tr>
    </w:tbl>
    <w:p/>
    <w:p>
      <w:pPr>
        <w:pStyle w:val="Heading1"/>
      </w:pPr>
      <w:r>
        <w:t>5. GREEN-with-limits profile: EEG reports</w:t>
      </w:r>
    </w:p>
    <w:p>
      <w:r>
        <w:t>SCORE is an international consensus framework for standardized, context-sensitive EEG reporting. The 2017 version reports clinically relevant EEG features using standardized terms, automatically generates reports, includes seizure modules for seizure semiology and ictal EEG patterns, and was tested on 12,160 EEG recordings.</w:t>
      </w:r>
    </w:p>
    <w:p>
      <w:r>
        <w:t>This supports EEG report generation as a framework. It does not permit us to invent an unextracted SCORE node hierarchy or IDs. Phase 6B therefore restricts rendering to concepts already frozen in the semantic plan.</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No inference shortcut</w:t>
              <w:br/>
            </w:r>
            <w:r>
              <w:t>An event saying only 'EEG abnormal' cannot become 'left temporal epileptiform discharges,' an ictal onset, a seizure type, or an epilepsy diagnosis.</w:t>
            </w:r>
          </w:p>
        </w:tc>
      </w:tr>
    </w:tbl>
    <w:p/>
    <w:p>
      <w:pPr>
        <w:pStyle w:val="Heading1"/>
      </w:pPr>
      <w:r>
        <w:t>6. AMBER profile: video-EEG content</w:t>
      </w:r>
    </w:p>
    <w:p>
      <w:r>
        <w:t>SCORE explicitly includes seizure semiology and ictal EEG modules and the earlier SCORE work includes clinical phenomena in video-EEG recordings. This supports specific content categories, but Phase 6A did not establish a universal EMU report template.</w:t>
      </w:r>
    </w:p>
    <w:p>
      <w:r>
        <w:t>Accordingly, Phase 6B may test SCORE-supported video-EEG content blocks, but it must not label a project-defined section sequence as the canonical EMU report format.</w:t>
      </w:r>
    </w:p>
    <w:p>
      <w:pPr>
        <w:pStyle w:val="Heading1"/>
      </w:pPr>
      <w:r>
        <w:t>7. AMBER profile: MRI radiology reports</w:t>
      </w:r>
    </w:p>
    <w:p>
      <w:r>
        <w:t>The ACR Practice Parameter for Communication of Diagnostic Imaging Findings supports general diagnostic imaging report components. These include study/patient information, relevant clinical information, procedures/materials, findings, limitations when appropriate, addressing the clinical question, comparisons when appropriate and available, and an impression/conclusion unless the report is brief.</w:t>
      </w:r>
    </w:p>
    <w:p>
      <w:r>
        <w:t>This is general radiology guidance, not an epilepsy-specific MRI template. Phase 6B can therefore use the general reporting skeleton only when fields are actually present in latent truth. It cannot manufacture epilepsy lesion terminology, pathology subtypes, or missing study details.</w:t>
      </w:r>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Important</w:t>
              <w:br/>
            </w:r>
            <w:r>
              <w:t>A source-backed report component is not permission to fabricate its contents. If contrast, comparison study, limitation, clinical question, or other detail is absent from latent truth, the renderer cannot invent it merely because ACR recognizes that component.</w:t>
            </w:r>
          </w:p>
        </w:tc>
      </w:tr>
    </w:tbl>
    <w:p/>
    <w:p>
      <w:pPr>
        <w:pStyle w:val="Heading1"/>
      </w:pPr>
      <w:r>
        <w:t>8. RED families remain blocked</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shd w:fill="D9EAF7"/>
          </w:tcPr>
          <w:p>
            <w:r>
              <w:rPr>
                <w:b/>
                <w:sz w:val="13"/>
              </w:rPr>
              <w:t>Blocked family</w:t>
            </w:r>
          </w:p>
        </w:tc>
        <w:tc>
          <w:tcPr>
            <w:tcW w:type="dxa" w:w="5141"/>
            <w:shd w:fill="D9EAF7"/>
          </w:tcPr>
          <w:p>
            <w:r>
              <w:rPr>
                <w:b/>
                <w:sz w:val="13"/>
              </w:rPr>
              <w:t>Reason</w:t>
            </w:r>
          </w:p>
        </w:tc>
      </w:tr>
      <w:tr>
        <w:trPr>
          <w:cantSplit/>
        </w:trPr>
        <w:tc>
          <w:tcPr>
            <w:tcW w:type="dxa" w:w="5141"/>
            <w:vAlign w:val="top"/>
          </w:tcPr>
          <w:p>
            <w:pPr>
              <w:spacing w:after="0"/>
            </w:pPr>
            <w:r>
              <w:rPr>
                <w:sz w:val="12"/>
              </w:rPr>
              <w:t>neurology_progress_note</w:t>
            </w:r>
          </w:p>
        </w:tc>
        <w:tc>
          <w:tcPr>
            <w:tcW w:type="dxa" w:w="5141"/>
            <w:vAlign w:val="top"/>
          </w:tcPr>
          <w:p>
            <w:pPr>
              <w:spacing w:after="0"/>
            </w:pPr>
            <w:r>
              <w:rPr>
                <w:sz w:val="12"/>
              </w:rPr>
              <w:t>No direct audited standard/template.</w:t>
            </w:r>
          </w:p>
        </w:tc>
      </w:tr>
      <w:tr>
        <w:trPr>
          <w:cantSplit/>
        </w:trPr>
        <w:tc>
          <w:tcPr>
            <w:tcW w:type="dxa" w:w="5141"/>
            <w:vAlign w:val="top"/>
          </w:tcPr>
          <w:p>
            <w:pPr>
              <w:spacing w:after="0"/>
            </w:pPr>
            <w:r>
              <w:rPr>
                <w:sz w:val="12"/>
              </w:rPr>
              <w:t>epilepsy_consult_note</w:t>
            </w:r>
          </w:p>
        </w:tc>
        <w:tc>
          <w:tcPr>
            <w:tcW w:type="dxa" w:w="5141"/>
            <w:vAlign w:val="top"/>
          </w:tcPr>
          <w:p>
            <w:pPr>
              <w:spacing w:after="0"/>
            </w:pPr>
            <w:r>
              <w:rPr>
                <w:sz w:val="12"/>
              </w:rPr>
              <w:t>Clinic-letter precedent is not treated as equivalent to a universal consult-note template.</w:t>
            </w:r>
          </w:p>
        </w:tc>
      </w:tr>
      <w:tr>
        <w:trPr>
          <w:cantSplit/>
        </w:trPr>
        <w:tc>
          <w:tcPr>
            <w:tcW w:type="dxa" w:w="5141"/>
            <w:vAlign w:val="top"/>
          </w:tcPr>
          <w:p>
            <w:pPr>
              <w:spacing w:after="0"/>
            </w:pPr>
            <w:r>
              <w:rPr>
                <w:sz w:val="12"/>
              </w:rPr>
              <w:t>presurgical_evaluation_note</w:t>
            </w:r>
          </w:p>
        </w:tc>
        <w:tc>
          <w:tcPr>
            <w:tcW w:type="dxa" w:w="5141"/>
            <w:vAlign w:val="top"/>
          </w:tcPr>
          <w:p>
            <w:pPr>
              <w:spacing w:after="0"/>
            </w:pPr>
            <w:r>
              <w:rPr>
                <w:sz w:val="12"/>
              </w:rPr>
              <w:t>Presurgical process evidence does not define note format.</w:t>
            </w:r>
          </w:p>
        </w:tc>
      </w:tr>
      <w:tr>
        <w:trPr>
          <w:cantSplit/>
        </w:trPr>
        <w:tc>
          <w:tcPr>
            <w:tcW w:type="dxa" w:w="5141"/>
            <w:vAlign w:val="top"/>
          </w:tcPr>
          <w:p>
            <w:pPr>
              <w:spacing w:after="0"/>
            </w:pPr>
            <w:r>
              <w:rPr>
                <w:sz w:val="12"/>
              </w:rPr>
              <w:t>epilepsy_conference_note</w:t>
            </w:r>
          </w:p>
        </w:tc>
        <w:tc>
          <w:tcPr>
            <w:tcW w:type="dxa" w:w="5141"/>
            <w:vAlign w:val="top"/>
          </w:tcPr>
          <w:p>
            <w:pPr>
              <w:spacing w:after="0"/>
            </w:pPr>
            <w:r>
              <w:rPr>
                <w:sz w:val="12"/>
              </w:rPr>
              <w:t>No authoritative template frozen.</w:t>
            </w:r>
          </w:p>
        </w:tc>
      </w:tr>
      <w:tr>
        <w:trPr>
          <w:cantSplit/>
        </w:trPr>
        <w:tc>
          <w:tcPr>
            <w:tcW w:type="dxa" w:w="5141"/>
            <w:vAlign w:val="top"/>
          </w:tcPr>
          <w:p>
            <w:pPr>
              <w:spacing w:after="0"/>
            </w:pPr>
            <w:r>
              <w:rPr>
                <w:sz w:val="12"/>
              </w:rPr>
              <w:t>discharge_summary</w:t>
            </w:r>
          </w:p>
        </w:tc>
        <w:tc>
          <w:tcPr>
            <w:tcW w:type="dxa" w:w="5141"/>
            <w:vAlign w:val="top"/>
          </w:tcPr>
          <w:p>
            <w:pPr>
              <w:spacing w:after="0"/>
            </w:pPr>
            <w:r>
              <w:rPr>
                <w:sz w:val="12"/>
              </w:rPr>
              <w:t>No epilepsy-specific document source frozen.</w:t>
            </w:r>
          </w:p>
        </w:tc>
      </w:tr>
      <w:tr>
        <w:trPr>
          <w:cantSplit/>
        </w:trPr>
        <w:tc>
          <w:tcPr>
            <w:tcW w:type="dxa" w:w="5141"/>
            <w:vAlign w:val="top"/>
          </w:tcPr>
          <w:p>
            <w:pPr>
              <w:spacing w:after="0"/>
            </w:pPr>
            <w:r>
              <w:rPr>
                <w:sz w:val="12"/>
              </w:rPr>
              <w:t>procedure_surgery_note</w:t>
            </w:r>
          </w:p>
        </w:tc>
        <w:tc>
          <w:tcPr>
            <w:tcW w:type="dxa" w:w="5141"/>
            <w:vAlign w:val="top"/>
          </w:tcPr>
          <w:p>
            <w:pPr>
              <w:spacing w:after="0"/>
            </w:pPr>
            <w:r>
              <w:rPr>
                <w:sz w:val="12"/>
              </w:rPr>
              <w:t>No source frozen.</w:t>
            </w:r>
          </w:p>
        </w:tc>
      </w:tr>
      <w:tr>
        <w:trPr>
          <w:cantSplit/>
        </w:trPr>
        <w:tc>
          <w:tcPr>
            <w:tcW w:type="dxa" w:w="5141"/>
            <w:vAlign w:val="top"/>
          </w:tcPr>
          <w:p>
            <w:pPr>
              <w:spacing w:after="0"/>
            </w:pPr>
            <w:r>
              <w:rPr>
                <w:sz w:val="12"/>
              </w:rPr>
              <w:t>pathology_report</w:t>
            </w:r>
          </w:p>
        </w:tc>
        <w:tc>
          <w:tcPr>
            <w:tcW w:type="dxa" w:w="5141"/>
            <w:vAlign w:val="top"/>
          </w:tcPr>
          <w:p>
            <w:pPr>
              <w:spacing w:after="0"/>
            </w:pPr>
            <w:r>
              <w:rPr>
                <w:sz w:val="12"/>
              </w:rPr>
              <w:t>Pathology taxonomies do not establish report template.</w:t>
            </w:r>
          </w:p>
        </w:tc>
      </w:tr>
    </w:tbl>
    <w:p/>
    <w:p>
      <w:pPr>
        <w:pStyle w:val="Heading1"/>
      </w:pPr>
      <w:r>
        <w:t>9. Semantic planner contract</w:t>
      </w:r>
    </w:p>
    <w:p>
      <w:r>
        <w:t>The semantic planner is a MedAI-proposed benchmark mechanism. It is not represented as a clinical standard. Its purpose is to prevent the language renderer from becoming a source of truth.</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2570"/>
            <w:shd w:fill="D9EAF7"/>
          </w:tcPr>
          <w:p>
            <w:r>
              <w:rPr>
                <w:b/>
                <w:sz w:val="12"/>
              </w:rPr>
              <w:t>Field</w:t>
            </w:r>
          </w:p>
        </w:tc>
        <w:tc>
          <w:tcPr>
            <w:tcW w:type="dxa" w:w="2570"/>
            <w:shd w:fill="D9EAF7"/>
          </w:tcPr>
          <w:p>
            <w:r>
              <w:rPr>
                <w:b/>
                <w:sz w:val="12"/>
              </w:rPr>
              <w:t>Requirement</w:t>
            </w:r>
          </w:p>
        </w:tc>
        <w:tc>
          <w:tcPr>
            <w:tcW w:type="dxa" w:w="2570"/>
            <w:shd w:fill="D9EAF7"/>
          </w:tcPr>
          <w:p>
            <w:r>
              <w:rPr>
                <w:b/>
                <w:sz w:val="12"/>
              </w:rPr>
              <w:t>Meaning</w:t>
            </w:r>
          </w:p>
        </w:tc>
        <w:tc>
          <w:tcPr>
            <w:tcW w:type="dxa" w:w="2570"/>
            <w:shd w:fill="D9EAF7"/>
          </w:tcPr>
          <w:p>
            <w:r>
              <w:rPr>
                <w:b/>
                <w:sz w:val="12"/>
              </w:rPr>
              <w:t>Authority</w:t>
            </w:r>
          </w:p>
        </w:tc>
      </w:tr>
      <w:tr>
        <w:trPr>
          <w:cantSplit/>
        </w:trPr>
        <w:tc>
          <w:tcPr>
            <w:tcW w:type="dxa" w:w="2570"/>
            <w:vAlign w:val="top"/>
          </w:tcPr>
          <w:p>
            <w:pPr>
              <w:spacing w:after="0"/>
            </w:pPr>
            <w:r>
              <w:rPr>
                <w:sz w:val="11"/>
              </w:rPr>
              <w:t>document_id</w:t>
            </w:r>
          </w:p>
        </w:tc>
        <w:tc>
          <w:tcPr>
            <w:tcW w:type="dxa" w:w="2570"/>
            <w:vAlign w:val="top"/>
          </w:tcPr>
          <w:p>
            <w:pPr>
              <w:spacing w:after="0"/>
            </w:pPr>
            <w:r>
              <w:rPr>
                <w:sz w:val="11"/>
              </w:rPr>
              <w:t>required</w:t>
            </w:r>
          </w:p>
        </w:tc>
        <w:tc>
          <w:tcPr>
            <w:tcW w:type="dxa" w:w="2570"/>
            <w:vAlign w:val="top"/>
          </w:tcPr>
          <w:p>
            <w:pPr>
              <w:spacing w:after="0"/>
            </w:pPr>
            <w:r>
              <w:rPr>
                <w:sz w:val="11"/>
              </w:rPr>
              <w:t>Synthetic document ID</w:t>
            </w:r>
          </w:p>
        </w:tc>
        <w:tc>
          <w:tcPr>
            <w:tcW w:type="dxa" w:w="2570"/>
            <w:vAlign w:val="top"/>
          </w:tcPr>
          <w:p>
            <w:pPr>
              <w:spacing w:after="0"/>
            </w:pPr>
            <w:r>
              <w:rPr>
                <w:sz w:val="11"/>
              </w:rPr>
              <w:t>MEDAI-PROPOSED</w:t>
            </w:r>
          </w:p>
        </w:tc>
      </w:tr>
      <w:tr>
        <w:trPr>
          <w:cantSplit/>
        </w:trPr>
        <w:tc>
          <w:tcPr>
            <w:tcW w:type="dxa" w:w="2570"/>
            <w:vAlign w:val="top"/>
          </w:tcPr>
          <w:p>
            <w:pPr>
              <w:spacing w:after="0"/>
            </w:pPr>
            <w:r>
              <w:rPr>
                <w:sz w:val="11"/>
              </w:rPr>
              <w:t>document_family</w:t>
            </w:r>
          </w:p>
        </w:tc>
        <w:tc>
          <w:tcPr>
            <w:tcW w:type="dxa" w:w="2570"/>
            <w:vAlign w:val="top"/>
          </w:tcPr>
          <w:p>
            <w:pPr>
              <w:spacing w:after="0"/>
            </w:pPr>
            <w:r>
              <w:rPr>
                <w:sz w:val="11"/>
              </w:rPr>
              <w:t>required</w:t>
            </w:r>
          </w:p>
        </w:tc>
        <w:tc>
          <w:tcPr>
            <w:tcW w:type="dxa" w:w="2570"/>
            <w:vAlign w:val="top"/>
          </w:tcPr>
          <w:p>
            <w:pPr>
              <w:spacing w:after="0"/>
            </w:pPr>
            <w:r>
              <w:rPr>
                <w:sz w:val="11"/>
              </w:rPr>
              <w:t>Must be GREEN/AMBER Phase6B family</w:t>
            </w:r>
          </w:p>
        </w:tc>
        <w:tc>
          <w:tcPr>
            <w:tcW w:type="dxa" w:w="2570"/>
            <w:vAlign w:val="top"/>
          </w:tcPr>
          <w:p>
            <w:pPr>
              <w:spacing w:after="0"/>
            </w:pPr>
            <w:r>
              <w:rPr>
                <w:sz w:val="11"/>
              </w:rPr>
              <w:t>PHASE6A/6B</w:t>
            </w:r>
          </w:p>
        </w:tc>
      </w:tr>
      <w:tr>
        <w:trPr>
          <w:cantSplit/>
        </w:trPr>
        <w:tc>
          <w:tcPr>
            <w:tcW w:type="dxa" w:w="2570"/>
            <w:vAlign w:val="top"/>
          </w:tcPr>
          <w:p>
            <w:pPr>
              <w:spacing w:after="0"/>
            </w:pPr>
            <w:r>
              <w:rPr>
                <w:sz w:val="11"/>
              </w:rPr>
              <w:t>patient_id</w:t>
            </w:r>
          </w:p>
        </w:tc>
        <w:tc>
          <w:tcPr>
            <w:tcW w:type="dxa" w:w="2570"/>
            <w:vAlign w:val="top"/>
          </w:tcPr>
          <w:p>
            <w:pPr>
              <w:spacing w:after="0"/>
            </w:pPr>
            <w:r>
              <w:rPr>
                <w:sz w:val="11"/>
              </w:rPr>
              <w:t>required</w:t>
            </w:r>
          </w:p>
        </w:tc>
        <w:tc>
          <w:tcPr>
            <w:tcW w:type="dxa" w:w="2570"/>
            <w:vAlign w:val="top"/>
          </w:tcPr>
          <w:p>
            <w:pPr>
              <w:spacing w:after="0"/>
            </w:pPr>
            <w:r>
              <w:rPr>
                <w:sz w:val="11"/>
              </w:rPr>
              <w:t>Synthetic patient ID</w:t>
            </w:r>
          </w:p>
        </w:tc>
        <w:tc>
          <w:tcPr>
            <w:tcW w:type="dxa" w:w="2570"/>
            <w:vAlign w:val="top"/>
          </w:tcPr>
          <w:p>
            <w:pPr>
              <w:spacing w:after="0"/>
            </w:pPr>
            <w:r>
              <w:rPr>
                <w:sz w:val="11"/>
              </w:rPr>
              <w:t>PHASE5</w:t>
            </w:r>
          </w:p>
        </w:tc>
      </w:tr>
      <w:tr>
        <w:trPr>
          <w:cantSplit/>
        </w:trPr>
        <w:tc>
          <w:tcPr>
            <w:tcW w:type="dxa" w:w="2570"/>
            <w:vAlign w:val="top"/>
          </w:tcPr>
          <w:p>
            <w:pPr>
              <w:spacing w:after="0"/>
            </w:pPr>
            <w:r>
              <w:rPr>
                <w:sz w:val="11"/>
              </w:rPr>
              <w:t>event_ids</w:t>
            </w:r>
          </w:p>
        </w:tc>
        <w:tc>
          <w:tcPr>
            <w:tcW w:type="dxa" w:w="2570"/>
            <w:vAlign w:val="top"/>
          </w:tcPr>
          <w:p>
            <w:pPr>
              <w:spacing w:after="0"/>
            </w:pPr>
            <w:r>
              <w:rPr>
                <w:sz w:val="11"/>
              </w:rPr>
              <w:t>required</w:t>
            </w:r>
          </w:p>
        </w:tc>
        <w:tc>
          <w:tcPr>
            <w:tcW w:type="dxa" w:w="2570"/>
            <w:vAlign w:val="top"/>
          </w:tcPr>
          <w:p>
            <w:pPr>
              <w:spacing w:after="0"/>
            </w:pPr>
            <w:r>
              <w:rPr>
                <w:sz w:val="11"/>
              </w:rPr>
              <w:t>Only approved latent events</w:t>
            </w:r>
          </w:p>
        </w:tc>
        <w:tc>
          <w:tcPr>
            <w:tcW w:type="dxa" w:w="2570"/>
            <w:vAlign w:val="top"/>
          </w:tcPr>
          <w:p>
            <w:pPr>
              <w:spacing w:after="0"/>
            </w:pPr>
            <w:r>
              <w:rPr>
                <w:sz w:val="11"/>
              </w:rPr>
              <w:t>PHASE5</w:t>
            </w:r>
          </w:p>
        </w:tc>
      </w:tr>
      <w:tr>
        <w:trPr>
          <w:cantSplit/>
        </w:trPr>
        <w:tc>
          <w:tcPr>
            <w:tcW w:type="dxa" w:w="2570"/>
            <w:vAlign w:val="top"/>
          </w:tcPr>
          <w:p>
            <w:pPr>
              <w:spacing w:after="0"/>
            </w:pPr>
            <w:r>
              <w:rPr>
                <w:sz w:val="11"/>
              </w:rPr>
              <w:t>allowed_assertions</w:t>
            </w:r>
          </w:p>
        </w:tc>
        <w:tc>
          <w:tcPr>
            <w:tcW w:type="dxa" w:w="2570"/>
            <w:vAlign w:val="top"/>
          </w:tcPr>
          <w:p>
            <w:pPr>
              <w:spacing w:after="0"/>
            </w:pPr>
            <w:r>
              <w:rPr>
                <w:sz w:val="11"/>
              </w:rPr>
              <w:t>required</w:t>
            </w:r>
          </w:p>
        </w:tc>
        <w:tc>
          <w:tcPr>
            <w:tcW w:type="dxa" w:w="2570"/>
            <w:vAlign w:val="top"/>
          </w:tcPr>
          <w:p>
            <w:pPr>
              <w:spacing w:after="0"/>
            </w:pPr>
            <w:r>
              <w:rPr>
                <w:sz w:val="11"/>
              </w:rPr>
              <w:t>Exact concepts/values/polarity/temporality permitted for rendering</w:t>
            </w:r>
          </w:p>
        </w:tc>
        <w:tc>
          <w:tcPr>
            <w:tcW w:type="dxa" w:w="2570"/>
            <w:vAlign w:val="top"/>
          </w:tcPr>
          <w:p>
            <w:pPr>
              <w:spacing w:after="0"/>
            </w:pPr>
            <w:r>
              <w:rPr>
                <w:sz w:val="11"/>
              </w:rPr>
              <w:t>PHASE3C/4/5</w:t>
            </w:r>
          </w:p>
        </w:tc>
      </w:tr>
      <w:tr>
        <w:trPr>
          <w:cantSplit/>
        </w:trPr>
        <w:tc>
          <w:tcPr>
            <w:tcW w:type="dxa" w:w="2570"/>
            <w:vAlign w:val="top"/>
          </w:tcPr>
          <w:p>
            <w:pPr>
              <w:spacing w:after="0"/>
            </w:pPr>
            <w:r>
              <w:rPr>
                <w:sz w:val="11"/>
              </w:rPr>
              <w:t>source_supported_domains</w:t>
            </w:r>
          </w:p>
        </w:tc>
        <w:tc>
          <w:tcPr>
            <w:tcW w:type="dxa" w:w="2570"/>
            <w:vAlign w:val="top"/>
          </w:tcPr>
          <w:p>
            <w:pPr>
              <w:spacing w:after="0"/>
            </w:pPr>
            <w:r>
              <w:rPr>
                <w:sz w:val="11"/>
              </w:rPr>
              <w:t>required</w:t>
            </w:r>
          </w:p>
        </w:tc>
        <w:tc>
          <w:tcPr>
            <w:tcW w:type="dxa" w:w="2570"/>
            <w:vAlign w:val="top"/>
          </w:tcPr>
          <w:p>
            <w:pPr>
              <w:spacing w:after="0"/>
            </w:pPr>
            <w:r>
              <w:rPr>
                <w:sz w:val="11"/>
              </w:rPr>
              <w:t>Intersection of document profile and latent assertions</w:t>
            </w:r>
          </w:p>
        </w:tc>
        <w:tc>
          <w:tcPr>
            <w:tcW w:type="dxa" w:w="2570"/>
            <w:vAlign w:val="top"/>
          </w:tcPr>
          <w:p>
            <w:pPr>
              <w:spacing w:after="0"/>
            </w:pPr>
            <w:r>
              <w:rPr>
                <w:sz w:val="11"/>
              </w:rPr>
              <w:t>PHASE6B</w:t>
            </w:r>
          </w:p>
        </w:tc>
      </w:tr>
      <w:tr>
        <w:trPr>
          <w:cantSplit/>
        </w:trPr>
        <w:tc>
          <w:tcPr>
            <w:tcW w:type="dxa" w:w="2570"/>
            <w:vAlign w:val="top"/>
          </w:tcPr>
          <w:p>
            <w:pPr>
              <w:spacing w:after="0"/>
            </w:pPr>
            <w:r>
              <w:rPr>
                <w:sz w:val="11"/>
              </w:rPr>
              <w:t>forbidden_assertions</w:t>
            </w:r>
          </w:p>
        </w:tc>
        <w:tc>
          <w:tcPr>
            <w:tcW w:type="dxa" w:w="2570"/>
            <w:vAlign w:val="top"/>
          </w:tcPr>
          <w:p>
            <w:pPr>
              <w:spacing w:after="0"/>
            </w:pPr>
            <w:r>
              <w:rPr>
                <w:sz w:val="11"/>
              </w:rPr>
              <w:t>required</w:t>
            </w:r>
          </w:p>
        </w:tc>
        <w:tc>
          <w:tcPr>
            <w:tcW w:type="dxa" w:w="2570"/>
            <w:vAlign w:val="top"/>
          </w:tcPr>
          <w:p>
            <w:pPr>
              <w:spacing w:after="0"/>
            </w:pPr>
            <w:r>
              <w:rPr>
                <w:sz w:val="11"/>
              </w:rPr>
              <w:t>Blocked concepts/inferences for this document</w:t>
            </w:r>
          </w:p>
        </w:tc>
        <w:tc>
          <w:tcPr>
            <w:tcW w:type="dxa" w:w="2570"/>
            <w:vAlign w:val="top"/>
          </w:tcPr>
          <w:p>
            <w:pPr>
              <w:spacing w:after="0"/>
            </w:pPr>
            <w:r>
              <w:rPr>
                <w:sz w:val="11"/>
              </w:rPr>
              <w:t>PHASE3D/5/6B</w:t>
            </w:r>
          </w:p>
        </w:tc>
      </w:tr>
      <w:tr>
        <w:trPr>
          <w:cantSplit/>
        </w:trPr>
        <w:tc>
          <w:tcPr>
            <w:tcW w:type="dxa" w:w="2570"/>
            <w:vAlign w:val="top"/>
          </w:tcPr>
          <w:p>
            <w:pPr>
              <w:spacing w:after="0"/>
            </w:pPr>
            <w:r>
              <w:rPr>
                <w:sz w:val="11"/>
              </w:rPr>
              <w:t>style_controls</w:t>
            </w:r>
          </w:p>
        </w:tc>
        <w:tc>
          <w:tcPr>
            <w:tcW w:type="dxa" w:w="2570"/>
            <w:vAlign w:val="top"/>
          </w:tcPr>
          <w:p>
            <w:pPr>
              <w:spacing w:after="0"/>
            </w:pPr>
            <w:r>
              <w:rPr>
                <w:sz w:val="11"/>
              </w:rPr>
              <w:t>optional</w:t>
            </w:r>
          </w:p>
        </w:tc>
        <w:tc>
          <w:tcPr>
            <w:tcW w:type="dxa" w:w="2570"/>
            <w:vAlign w:val="top"/>
          </w:tcPr>
          <w:p>
            <w:pPr>
              <w:spacing w:after="0"/>
            </w:pPr>
            <w:r>
              <w:rPr>
                <w:sz w:val="11"/>
              </w:rPr>
              <w:t>Length/format variation only; cannot add clinical facts</w:t>
            </w:r>
          </w:p>
        </w:tc>
        <w:tc>
          <w:tcPr>
            <w:tcW w:type="dxa" w:w="2570"/>
            <w:vAlign w:val="top"/>
          </w:tcPr>
          <w:p>
            <w:pPr>
              <w:spacing w:after="0"/>
            </w:pPr>
            <w:r>
              <w:rPr>
                <w:sz w:val="11"/>
              </w:rPr>
              <w:t>MEDAI-PROPOSED</w:t>
            </w:r>
          </w:p>
        </w:tc>
      </w:tr>
      <w:tr>
        <w:trPr>
          <w:cantSplit/>
        </w:trPr>
        <w:tc>
          <w:tcPr>
            <w:tcW w:type="dxa" w:w="2570"/>
            <w:vAlign w:val="top"/>
          </w:tcPr>
          <w:p>
            <w:pPr>
              <w:spacing w:after="0"/>
            </w:pPr>
            <w:r>
              <w:rPr>
                <w:sz w:val="11"/>
              </w:rPr>
              <w:t>omission_controls</w:t>
            </w:r>
          </w:p>
        </w:tc>
        <w:tc>
          <w:tcPr>
            <w:tcW w:type="dxa" w:w="2570"/>
            <w:vAlign w:val="top"/>
          </w:tcPr>
          <w:p>
            <w:pPr>
              <w:spacing w:after="0"/>
            </w:pPr>
            <w:r>
              <w:rPr>
                <w:sz w:val="11"/>
              </w:rPr>
              <w:t>optional</w:t>
            </w:r>
          </w:p>
        </w:tc>
        <w:tc>
          <w:tcPr>
            <w:tcW w:type="dxa" w:w="2570"/>
            <w:vAlign w:val="top"/>
          </w:tcPr>
          <w:p>
            <w:pPr>
              <w:spacing w:after="0"/>
            </w:pPr>
            <w:r>
              <w:rPr>
                <w:sz w:val="11"/>
              </w:rPr>
              <w:t>Explicit allowed omissions for benchmark variation</w:t>
            </w:r>
          </w:p>
        </w:tc>
        <w:tc>
          <w:tcPr>
            <w:tcW w:type="dxa" w:w="2570"/>
            <w:vAlign w:val="top"/>
          </w:tcPr>
          <w:p>
            <w:pPr>
              <w:spacing w:after="0"/>
            </w:pPr>
            <w:r>
              <w:rPr>
                <w:sz w:val="11"/>
              </w:rPr>
              <w:t>MEDAI-PROPOSED</w:t>
            </w:r>
          </w:p>
        </w:tc>
      </w:tr>
      <w:tr>
        <w:trPr>
          <w:cantSplit/>
        </w:trPr>
        <w:tc>
          <w:tcPr>
            <w:tcW w:type="dxa" w:w="2570"/>
            <w:vAlign w:val="top"/>
          </w:tcPr>
          <w:p>
            <w:pPr>
              <w:spacing w:after="0"/>
            </w:pPr>
            <w:r>
              <w:rPr>
                <w:sz w:val="11"/>
              </w:rPr>
              <w:t>source_ids</w:t>
            </w:r>
          </w:p>
        </w:tc>
        <w:tc>
          <w:tcPr>
            <w:tcW w:type="dxa" w:w="2570"/>
            <w:vAlign w:val="top"/>
          </w:tcPr>
          <w:p>
            <w:pPr>
              <w:spacing w:after="0"/>
            </w:pPr>
            <w:r>
              <w:rPr>
                <w:sz w:val="11"/>
              </w:rPr>
              <w:t>required</w:t>
            </w:r>
          </w:p>
        </w:tc>
        <w:tc>
          <w:tcPr>
            <w:tcW w:type="dxa" w:w="2570"/>
            <w:vAlign w:val="top"/>
          </w:tcPr>
          <w:p>
            <w:pPr>
              <w:spacing w:after="0"/>
            </w:pPr>
            <w:r>
              <w:rPr>
                <w:sz w:val="11"/>
              </w:rPr>
              <w:t>Evidence sources authorizing document profile</w:t>
            </w:r>
          </w:p>
        </w:tc>
        <w:tc>
          <w:tcPr>
            <w:tcW w:type="dxa" w:w="2570"/>
            <w:vAlign w:val="top"/>
          </w:tcPr>
          <w:p>
            <w:pPr>
              <w:spacing w:after="0"/>
            </w:pPr>
            <w:r>
              <w:rPr>
                <w:sz w:val="11"/>
              </w:rPr>
              <w:t>PHASE6B</w:t>
            </w:r>
          </w:p>
        </w:tc>
      </w:tr>
      <w:tr>
        <w:trPr>
          <w:cantSplit/>
        </w:trPr>
        <w:tc>
          <w:tcPr>
            <w:tcW w:type="dxa" w:w="2570"/>
            <w:vAlign w:val="top"/>
          </w:tcPr>
          <w:p>
            <w:pPr>
              <w:spacing w:after="0"/>
            </w:pPr>
            <w:r>
              <w:rPr>
                <w:sz w:val="11"/>
              </w:rPr>
              <w:t>renderer_id</w:t>
            </w:r>
          </w:p>
        </w:tc>
        <w:tc>
          <w:tcPr>
            <w:tcW w:type="dxa" w:w="2570"/>
            <w:vAlign w:val="top"/>
          </w:tcPr>
          <w:p>
            <w:pPr>
              <w:spacing w:after="0"/>
            </w:pPr>
            <w:r>
              <w:rPr>
                <w:sz w:val="11"/>
              </w:rPr>
              <w:t>required</w:t>
            </w:r>
          </w:p>
        </w:tc>
        <w:tc>
          <w:tcPr>
            <w:tcW w:type="dxa" w:w="2570"/>
            <w:vAlign w:val="top"/>
          </w:tcPr>
          <w:p>
            <w:pPr>
              <w:spacing w:after="0"/>
            </w:pPr>
            <w:r>
              <w:rPr>
                <w:sz w:val="11"/>
              </w:rPr>
              <w:t>Template/model identity</w:t>
            </w:r>
          </w:p>
        </w:tc>
        <w:tc>
          <w:tcPr>
            <w:tcW w:type="dxa" w:w="2570"/>
            <w:vAlign w:val="top"/>
          </w:tcPr>
          <w:p>
            <w:pPr>
              <w:spacing w:after="0"/>
            </w:pPr>
            <w:r>
              <w:rPr>
                <w:sz w:val="11"/>
              </w:rPr>
              <w:t>MEDAI-PROPOSED</w:t>
            </w:r>
          </w:p>
        </w:tc>
      </w:tr>
      <w:tr>
        <w:trPr>
          <w:cantSplit/>
        </w:trPr>
        <w:tc>
          <w:tcPr>
            <w:tcW w:type="dxa" w:w="2570"/>
            <w:vAlign w:val="top"/>
          </w:tcPr>
          <w:p>
            <w:pPr>
              <w:spacing w:after="0"/>
            </w:pPr>
            <w:r>
              <w:rPr>
                <w:sz w:val="11"/>
              </w:rPr>
              <w:t>renderer_version</w:t>
            </w:r>
          </w:p>
        </w:tc>
        <w:tc>
          <w:tcPr>
            <w:tcW w:type="dxa" w:w="2570"/>
            <w:vAlign w:val="top"/>
          </w:tcPr>
          <w:p>
            <w:pPr>
              <w:spacing w:after="0"/>
            </w:pPr>
            <w:r>
              <w:rPr>
                <w:sz w:val="11"/>
              </w:rPr>
              <w:t>required</w:t>
            </w:r>
          </w:p>
        </w:tc>
        <w:tc>
          <w:tcPr>
            <w:tcW w:type="dxa" w:w="2570"/>
            <w:vAlign w:val="top"/>
          </w:tcPr>
          <w:p>
            <w:pPr>
              <w:spacing w:after="0"/>
            </w:pPr>
            <w:r>
              <w:rPr>
                <w:sz w:val="11"/>
              </w:rPr>
              <w:t>Version</w:t>
            </w:r>
          </w:p>
        </w:tc>
        <w:tc>
          <w:tcPr>
            <w:tcW w:type="dxa" w:w="2570"/>
            <w:vAlign w:val="top"/>
          </w:tcPr>
          <w:p>
            <w:pPr>
              <w:spacing w:after="0"/>
            </w:pPr>
            <w:r>
              <w:rPr>
                <w:sz w:val="11"/>
              </w:rPr>
              <w:t>MEDAI-PROPOSED</w:t>
            </w:r>
          </w:p>
        </w:tc>
      </w:tr>
      <w:tr>
        <w:trPr>
          <w:cantSplit/>
        </w:trPr>
        <w:tc>
          <w:tcPr>
            <w:tcW w:type="dxa" w:w="2570"/>
            <w:vAlign w:val="top"/>
          </w:tcPr>
          <w:p>
            <w:pPr>
              <w:spacing w:after="0"/>
            </w:pPr>
            <w:r>
              <w:rPr>
                <w:sz w:val="11"/>
              </w:rPr>
              <w:t>plan_version</w:t>
            </w:r>
          </w:p>
        </w:tc>
        <w:tc>
          <w:tcPr>
            <w:tcW w:type="dxa" w:w="2570"/>
            <w:vAlign w:val="top"/>
          </w:tcPr>
          <w:p>
            <w:pPr>
              <w:spacing w:after="0"/>
            </w:pPr>
            <w:r>
              <w:rPr>
                <w:sz w:val="11"/>
              </w:rPr>
              <w:t>required</w:t>
            </w:r>
          </w:p>
        </w:tc>
        <w:tc>
          <w:tcPr>
            <w:tcW w:type="dxa" w:w="2570"/>
            <w:vAlign w:val="top"/>
          </w:tcPr>
          <w:p>
            <w:pPr>
              <w:spacing w:after="0"/>
            </w:pPr>
            <w:r>
              <w:rPr>
                <w:sz w:val="11"/>
              </w:rPr>
              <w:t>Semantic plan schema version</w:t>
            </w:r>
          </w:p>
        </w:tc>
        <w:tc>
          <w:tcPr>
            <w:tcW w:type="dxa" w:w="2570"/>
            <w:vAlign w:val="top"/>
          </w:tcPr>
          <w:p>
            <w:pPr>
              <w:spacing w:after="0"/>
            </w:pPr>
            <w:r>
              <w:rPr>
                <w:sz w:val="11"/>
              </w:rPr>
              <w:t>MEDAI-PROPOSED</w:t>
            </w:r>
          </w:p>
        </w:tc>
      </w:tr>
    </w:tbl>
    <w:p/>
    <w:tbl>
      <w:tblPr>
        <w:tblStyle w:val="TableGrid"/>
        <w:tblW w:type="auto" w:w="0"/>
        <w:tblLook w:firstColumn="1" w:firstRow="1" w:lastColumn="0" w:lastRow="0" w:noHBand="0" w:noVBand="1" w:val="04A0"/>
      </w:tblPr>
      <w:tblGrid>
        <w:gridCol w:w="10282"/>
      </w:tblGrid>
      <w:tr>
        <w:trPr>
          <w:cantSplit/>
        </w:trPr>
        <w:tc>
          <w:tcPr>
            <w:tcW w:type="dxa" w:w="10282"/>
            <w:shd w:fill="EEF4FB"/>
          </w:tcPr>
          <w:p>
            <w:r>
              <w:rPr>
                <w:b/>
                <w:color w:val="17365D"/>
              </w:rPr>
              <w:t>Renderer contract</w:t>
              <w:br/>
            </w:r>
            <w:r>
              <w:t>The renderer receives the approved semantic plan, not the entire patient record. It may choose wording and allowed style variation, but it may not add a new clinical assertion.</w:t>
            </w:r>
          </w:p>
        </w:tc>
      </w:tr>
    </w:tbl>
    <w:p/>
    <w:p>
      <w:pPr>
        <w:pStyle w:val="Heading1"/>
      </w:pPr>
      <w:r>
        <w:t>10. Source-to-generation rules</w:t>
      </w:r>
    </w:p>
    <w:p>
      <w:r>
        <w:t>6B-R01 — Clinical fact authorization [MEDAI-PROPOSED METHOD]: Every clinical fact rendered must map to an approved Phase5 latent event/assertion.</w:t>
      </w:r>
    </w:p>
    <w:p>
      <w:r>
        <w:t>6B-R02 — Document family gate [MEDAI-PROPOSED METHOD]: Only GREEN or AMBER Phase6A families may enter pilot rendering.</w:t>
      </w:r>
    </w:p>
    <w:p>
      <w:r>
        <w:t>6B-R03 — Clinic-letter domains [SRC-EXECT24]: Clinic-letter rendering is limited to source-supported domains: history, seizures/frequency, test results, treatment, diagnosis.</w:t>
      </w:r>
    </w:p>
    <w:p>
      <w:r>
        <w:t>6B-R04 — Clinic-letter structure [SRC-EXECT24]: Do not freeze one canonical section order; allow controlled style/length/format variation.</w:t>
      </w:r>
    </w:p>
    <w:p>
      <w:r>
        <w:t>6B-R05 — Clinic-letter privacy [SRC-EXECT24 + MEDAI stricter rule]: Use synthetic patient/clinician information only; do not copy real patient or clinician information.</w:t>
      </w:r>
    </w:p>
    <w:p>
      <w:r>
        <w:t>6B-R06 — EEG terminology [SRC-SCORE17;SRC-SCORE13]: Use only frozen SCORE-supported concepts present in semantic plan; detailed unverified SCORE terms/codes are prohibited.</w:t>
      </w:r>
    </w:p>
    <w:p>
      <w:r>
        <w:t>6B-R07 — EEG inference [MEDAI SAFETY/SEMANTIC RULE]: Do not turn generic abnormal EEG into IED, ictal onset, seizure type, or epilepsy diagnosis.</w:t>
      </w:r>
    </w:p>
    <w:p>
      <w:r>
        <w:t>6B-R08 — Video-EEG scope [SRC-SCORE17]: Seizure semiology/ictal EEG may be rendered only if explicit in the approved plan.</w:t>
      </w:r>
    </w:p>
    <w:p>
      <w:r>
        <w:t>6B-R09 — MRI report components [SRC-ACR-RPT]: For MRI pilot, use only ACR-supported general report components that are actually populated by latent data.</w:t>
      </w:r>
    </w:p>
    <w:p>
      <w:r>
        <w:t>6B-R10 — MRI specificity [MEDAI SAFETY/SEMANTIC RULE]: Do not invent lesion, pathology subtype, laterality, or certainty not present in latent truth.</w:t>
      </w:r>
    </w:p>
    <w:p>
      <w:r>
        <w:t>6B-R11 — MRI impression [SRC-ACR-RPT + MEDAI truth rule]: An impression/conclusion may summarize approved MRI findings; it may not introduce a new unsupported diagnosis.</w:t>
      </w:r>
    </w:p>
    <w:p>
      <w:r>
        <w:t>6B-R12 — Seizure semantics [SRC-ILAE25]: Rendered seizure terminology cannot be more specific than the frozen ILAE25 latent concept.</w:t>
      </w:r>
    </w:p>
    <w:p>
      <w:r>
        <w:t>6B-R13 — DRE [SRC-DRE10]: Do not infer DRE from medication count; render direct DRE only if authorized by latent direct-statement target.</w:t>
      </w:r>
    </w:p>
    <w:p>
      <w:r>
        <w:t>6B-R14 — Omission [MEDAI-PROPOSED METHOD]: A renderer may omit an allowed fact only under an explicit benchmark style/omission control; omission does not alter latent truth.</w:t>
      </w:r>
    </w:p>
    <w:p>
      <w:r>
        <w:t>6B-R15 — Hedging [MEDAI-PROPOSED METHOD]: A renderer may not add/remove uncertainty or negation relative to the approved assertion plan.</w:t>
      </w:r>
    </w:p>
    <w:p>
      <w:r>
        <w:t>6B-R16 — Evidence offsets [MEDAI-PROPOSED METHOD]: After final text freeze, every target assertion gets exact character offsets and source-event links.</w:t>
      </w:r>
    </w:p>
    <w:p>
      <w:r>
        <w:t>6B-R17 — Realism claims [MEDAI-PROPOSED CLAIM BOUNDARY]: Generated text is labeled synthetic/unvalidated until clinician review.</w:t>
      </w:r>
    </w:p>
    <w:p>
      <w:r>
        <w:t>6B-R18 — No prevalence claim [MEDAI-PROPOSED CLAIM BOUNDARY]: Sampling/style frequencies are benchmark design unless separately sourced.</w:t>
      </w:r>
    </w:p>
    <w:p>
      <w:pPr>
        <w:pStyle w:val="Heading1"/>
        <w:pageBreakBefore/>
      </w:pPr>
      <w:r>
        <w:t>11. Evidence-span generation</w:t>
      </w:r>
    </w:p>
    <w:p>
      <w:r>
        <w:t>Phase 6B does not ask the renderer to invent gold labels after the fact. Target assertions are already known from the semantic plan. Once the final text is frozen, a deterministic post-processing step records the exact character span(s) expressing each target assertion and links them back to the latent source event(s).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shd w:fill="D9EAF7"/>
          </w:tcPr>
          <w:p>
            <w:r>
              <w:rPr>
                <w:b/>
                <w:sz w:val="13"/>
              </w:rPr>
              <w:t>Required provenance</w:t>
            </w:r>
          </w:p>
        </w:tc>
        <w:tc>
          <w:tcPr>
            <w:tcW w:type="dxa" w:w="5141"/>
            <w:shd w:fill="D9EAF7"/>
          </w:tcPr>
          <w:p>
            <w:r>
              <w:rPr>
                <w:b/>
                <w:sz w:val="13"/>
              </w:rPr>
              <w:t>Purpose</w:t>
            </w:r>
          </w:p>
        </w:tc>
      </w:tr>
      <w:tr>
        <w:trPr>
          <w:cantSplit/>
        </w:trPr>
        <w:tc>
          <w:tcPr>
            <w:tcW w:type="dxa" w:w="5141"/>
            <w:vAlign w:val="top"/>
          </w:tcPr>
          <w:p>
            <w:pPr>
              <w:spacing w:after="0"/>
            </w:pPr>
            <w:r>
              <w:rPr>
                <w:sz w:val="12"/>
              </w:rPr>
              <w:t>document_id / patient_id</w:t>
            </w:r>
          </w:p>
        </w:tc>
        <w:tc>
          <w:tcPr>
            <w:tcW w:type="dxa" w:w="5141"/>
            <w:vAlign w:val="top"/>
          </w:tcPr>
          <w:p>
            <w:pPr>
              <w:spacing w:after="0"/>
            </w:pPr>
            <w:r>
              <w:rPr>
                <w:sz w:val="12"/>
              </w:rPr>
              <w:t>Connect document to synthetic case.</w:t>
            </w:r>
          </w:p>
        </w:tc>
      </w:tr>
      <w:tr>
        <w:trPr>
          <w:cantSplit/>
        </w:trPr>
        <w:tc>
          <w:tcPr>
            <w:tcW w:type="dxa" w:w="5141"/>
            <w:vAlign w:val="top"/>
          </w:tcPr>
          <w:p>
            <w:pPr>
              <w:spacing w:after="0"/>
            </w:pPr>
            <w:r>
              <w:rPr>
                <w:sz w:val="12"/>
              </w:rPr>
              <w:t>assertion_id</w:t>
            </w:r>
          </w:p>
        </w:tc>
        <w:tc>
          <w:tcPr>
            <w:tcW w:type="dxa" w:w="5141"/>
            <w:vAlign w:val="top"/>
          </w:tcPr>
          <w:p>
            <w:pPr>
              <w:spacing w:after="0"/>
            </w:pPr>
            <w:r>
              <w:rPr>
                <w:sz w:val="12"/>
              </w:rPr>
              <w:t>Stable gold assertion identifier.</w:t>
            </w:r>
          </w:p>
        </w:tc>
      </w:tr>
      <w:tr>
        <w:trPr>
          <w:cantSplit/>
        </w:trPr>
        <w:tc>
          <w:tcPr>
            <w:tcW w:type="dxa" w:w="5141"/>
            <w:vAlign w:val="top"/>
          </w:tcPr>
          <w:p>
            <w:pPr>
              <w:spacing w:after="0"/>
            </w:pPr>
            <w:r>
              <w:rPr>
                <w:sz w:val="12"/>
              </w:rPr>
              <w:t>source_event_id(s)</w:t>
            </w:r>
          </w:p>
        </w:tc>
        <w:tc>
          <w:tcPr>
            <w:tcW w:type="dxa" w:w="5141"/>
            <w:vAlign w:val="top"/>
          </w:tcPr>
          <w:p>
            <w:pPr>
              <w:spacing w:after="0"/>
            </w:pPr>
            <w:r>
              <w:rPr>
                <w:sz w:val="12"/>
              </w:rPr>
              <w:t>Trace generated claim to latent truth.</w:t>
            </w:r>
          </w:p>
        </w:tc>
      </w:tr>
      <w:tr>
        <w:trPr>
          <w:cantSplit/>
        </w:trPr>
        <w:tc>
          <w:tcPr>
            <w:tcW w:type="dxa" w:w="5141"/>
            <w:vAlign w:val="top"/>
          </w:tcPr>
          <w:p>
            <w:pPr>
              <w:spacing w:after="0"/>
            </w:pPr>
            <w:r>
              <w:rPr>
                <w:sz w:val="12"/>
              </w:rPr>
              <w:t>source concept/value</w:t>
            </w:r>
          </w:p>
        </w:tc>
        <w:tc>
          <w:tcPr>
            <w:tcW w:type="dxa" w:w="5141"/>
            <w:vAlign w:val="top"/>
          </w:tcPr>
          <w:p>
            <w:pPr>
              <w:spacing w:after="0"/>
            </w:pPr>
            <w:r>
              <w:rPr>
                <w:sz w:val="12"/>
              </w:rPr>
              <w:t>Trace normalized semantics to frozen profile where available.</w:t>
            </w:r>
          </w:p>
        </w:tc>
      </w:tr>
      <w:tr>
        <w:trPr>
          <w:cantSplit/>
        </w:trPr>
        <w:tc>
          <w:tcPr>
            <w:tcW w:type="dxa" w:w="5141"/>
            <w:vAlign w:val="top"/>
          </w:tcPr>
          <w:p>
            <w:pPr>
              <w:spacing w:after="0"/>
            </w:pPr>
            <w:r>
              <w:rPr>
                <w:sz w:val="12"/>
              </w:rPr>
              <w:t>start_offset / end_offset</w:t>
            </w:r>
          </w:p>
        </w:tc>
        <w:tc>
          <w:tcPr>
            <w:tcW w:type="dxa" w:w="5141"/>
            <w:vAlign w:val="top"/>
          </w:tcPr>
          <w:p>
            <w:pPr>
              <w:spacing w:after="0"/>
            </w:pPr>
            <w:r>
              <w:rPr>
                <w:sz w:val="12"/>
              </w:rPr>
              <w:t>Exact final-text evidence location.</w:t>
            </w:r>
          </w:p>
        </w:tc>
      </w:tr>
      <w:tr>
        <w:trPr>
          <w:cantSplit/>
        </w:trPr>
        <w:tc>
          <w:tcPr>
            <w:tcW w:type="dxa" w:w="5141"/>
            <w:vAlign w:val="top"/>
          </w:tcPr>
          <w:p>
            <w:pPr>
              <w:spacing w:after="0"/>
            </w:pPr>
            <w:r>
              <w:rPr>
                <w:sz w:val="12"/>
              </w:rPr>
              <w:t>evidence_text</w:t>
            </w:r>
          </w:p>
        </w:tc>
        <w:tc>
          <w:tcPr>
            <w:tcW w:type="dxa" w:w="5141"/>
            <w:vAlign w:val="top"/>
          </w:tcPr>
          <w:p>
            <w:pPr>
              <w:spacing w:after="0"/>
            </w:pPr>
            <w:r>
              <w:rPr>
                <w:sz w:val="12"/>
              </w:rPr>
              <w:t>Exact substring used for evaluation.</w:t>
            </w:r>
          </w:p>
        </w:tc>
      </w:tr>
      <w:tr>
        <w:trPr>
          <w:cantSplit/>
        </w:trPr>
        <w:tc>
          <w:tcPr>
            <w:tcW w:type="dxa" w:w="5141"/>
            <w:vAlign w:val="top"/>
          </w:tcPr>
          <w:p>
            <w:pPr>
              <w:spacing w:after="0"/>
            </w:pPr>
            <w:r>
              <w:rPr>
                <w:sz w:val="12"/>
              </w:rPr>
              <w:t>renderer/version</w:t>
            </w:r>
          </w:p>
        </w:tc>
        <w:tc>
          <w:tcPr>
            <w:tcW w:type="dxa" w:w="5141"/>
            <w:vAlign w:val="top"/>
          </w:tcPr>
          <w:p>
            <w:pPr>
              <w:spacing w:after="0"/>
            </w:pPr>
            <w:r>
              <w:rPr>
                <w:sz w:val="12"/>
              </w:rPr>
              <w:t>Generation provenance.</w:t>
            </w:r>
          </w:p>
        </w:tc>
      </w:tr>
      <w:tr>
        <w:trPr>
          <w:cantSplit/>
        </w:trPr>
        <w:tc>
          <w:tcPr>
            <w:tcW w:type="dxa" w:w="5141"/>
            <w:vAlign w:val="top"/>
          </w:tcPr>
          <w:p>
            <w:pPr>
              <w:spacing w:after="0"/>
            </w:pPr>
            <w:r>
              <w:rPr>
                <w:sz w:val="12"/>
              </w:rPr>
              <w:t>source_ids</w:t>
            </w:r>
          </w:p>
        </w:tc>
        <w:tc>
          <w:tcPr>
            <w:tcW w:type="dxa" w:w="5141"/>
            <w:vAlign w:val="top"/>
          </w:tcPr>
          <w:p>
            <w:pPr>
              <w:spacing w:after="0"/>
            </w:pPr>
            <w:r>
              <w:rPr>
                <w:sz w:val="12"/>
              </w:rPr>
              <w:t>Document-profile evidence provenance.</w:t>
            </w:r>
          </w:p>
        </w:tc>
      </w:tr>
      <w:tr>
        <w:trPr>
          <w:cantSplit/>
        </w:trPr>
        <w:tc>
          <w:tcPr>
            <w:tcW w:type="dxa" w:w="5141"/>
            <w:vAlign w:val="top"/>
          </w:tcPr>
          <w:p>
            <w:pPr>
              <w:spacing w:after="0"/>
            </w:pPr>
            <w:r>
              <w:rPr>
                <w:sz w:val="12"/>
              </w:rPr>
              <w:t>review status</w:t>
            </w:r>
          </w:p>
        </w:tc>
        <w:tc>
          <w:tcPr>
            <w:tcW w:type="dxa" w:w="5141"/>
            <w:vAlign w:val="top"/>
          </w:tcPr>
          <w:p>
            <w:pPr>
              <w:spacing w:after="0"/>
            </w:pPr>
            <w:r>
              <w:rPr>
                <w:sz w:val="12"/>
              </w:rPr>
              <w:t>Distinguish unreviewed synthetic text from clinician-reviewed text.</w:t>
            </w:r>
          </w:p>
        </w:tc>
      </w:tr>
    </w:tbl>
    <w:p/>
    <w:p>
      <w:pPr>
        <w:pStyle w:val="Heading1"/>
      </w:pPr>
      <w:r>
        <w:t>12. Controlled variation without invented medicine</w:t>
      </w:r>
    </w:p>
    <w:p>
      <w:r>
        <w:t>The ExECTv2 source explicitly supports variation in clinic-letter style, length, and format. Phase 6B can therefore vary those properties. The variation mechanism itself is a MedAI benchmark design choice. It cannot alter clinical facts.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shd w:fill="D9EAF7"/>
          </w:tcPr>
          <w:p>
            <w:r>
              <w:rPr>
                <w:b/>
                <w:sz w:val="13"/>
              </w:rPr>
              <w:t>May vary</w:t>
            </w:r>
          </w:p>
        </w:tc>
        <w:tc>
          <w:tcPr>
            <w:tcW w:type="dxa" w:w="5141"/>
            <w:shd w:fill="D9EAF7"/>
          </w:tcPr>
          <w:p>
            <w:r>
              <w:rPr>
                <w:b/>
                <w:sz w:val="13"/>
              </w:rPr>
              <w:t>May not vary without latent support</w:t>
            </w:r>
          </w:p>
        </w:tc>
      </w:tr>
      <w:tr>
        <w:trPr>
          <w:cantSplit/>
        </w:trPr>
        <w:tc>
          <w:tcPr>
            <w:tcW w:type="dxa" w:w="5141"/>
            <w:vAlign w:val="top"/>
          </w:tcPr>
          <w:p>
            <w:pPr>
              <w:spacing w:after="0"/>
            </w:pPr>
            <w:r>
              <w:rPr>
                <w:sz w:val="12"/>
              </w:rPr>
              <w:t>wording/paraphrase</w:t>
            </w:r>
          </w:p>
        </w:tc>
        <w:tc>
          <w:tcPr>
            <w:tcW w:type="dxa" w:w="5141"/>
            <w:vAlign w:val="top"/>
          </w:tcPr>
          <w:p>
            <w:pPr>
              <w:spacing w:after="0"/>
            </w:pPr>
            <w:r>
              <w:rPr>
                <w:sz w:val="12"/>
              </w:rPr>
              <w:t>diagnosis</w:t>
            </w:r>
          </w:p>
        </w:tc>
      </w:tr>
      <w:tr>
        <w:trPr>
          <w:cantSplit/>
        </w:trPr>
        <w:tc>
          <w:tcPr>
            <w:tcW w:type="dxa" w:w="5141"/>
            <w:vAlign w:val="top"/>
          </w:tcPr>
          <w:p>
            <w:pPr>
              <w:spacing w:after="0"/>
            </w:pPr>
            <w:r>
              <w:rPr>
                <w:sz w:val="12"/>
              </w:rPr>
              <w:t>length</w:t>
            </w:r>
          </w:p>
        </w:tc>
        <w:tc>
          <w:tcPr>
            <w:tcW w:type="dxa" w:w="5141"/>
            <w:vAlign w:val="top"/>
          </w:tcPr>
          <w:p>
            <w:pPr>
              <w:spacing w:after="0"/>
            </w:pPr>
            <w:r>
              <w:rPr>
                <w:sz w:val="12"/>
              </w:rPr>
              <w:t>seizure class/type</w:t>
            </w:r>
          </w:p>
        </w:tc>
      </w:tr>
      <w:tr>
        <w:trPr>
          <w:cantSplit/>
        </w:trPr>
        <w:tc>
          <w:tcPr>
            <w:tcW w:type="dxa" w:w="5141"/>
            <w:vAlign w:val="top"/>
          </w:tcPr>
          <w:p>
            <w:pPr>
              <w:spacing w:after="0"/>
            </w:pPr>
            <w:r>
              <w:rPr>
                <w:sz w:val="12"/>
              </w:rPr>
              <w:t>ordering of source-supported clinic-letter domains</w:t>
            </w:r>
          </w:p>
        </w:tc>
        <w:tc>
          <w:tcPr>
            <w:tcW w:type="dxa" w:w="5141"/>
            <w:vAlign w:val="top"/>
          </w:tcPr>
          <w:p>
            <w:pPr>
              <w:spacing w:after="0"/>
            </w:pPr>
            <w:r>
              <w:rPr>
                <w:sz w:val="12"/>
              </w:rPr>
              <w:t>laterality</w:t>
            </w:r>
          </w:p>
        </w:tc>
      </w:tr>
      <w:tr>
        <w:trPr>
          <w:cantSplit/>
        </w:trPr>
        <w:tc>
          <w:tcPr>
            <w:tcW w:type="dxa" w:w="5141"/>
            <w:vAlign w:val="top"/>
          </w:tcPr>
          <w:p>
            <w:pPr>
              <w:spacing w:after="0"/>
            </w:pPr>
            <w:r>
              <w:rPr>
                <w:sz w:val="12"/>
              </w:rPr>
              <w:t>presence/absence of an allowed optional fact under explicit omission control</w:t>
            </w:r>
          </w:p>
        </w:tc>
        <w:tc>
          <w:tcPr>
            <w:tcW w:type="dxa" w:w="5141"/>
            <w:vAlign w:val="top"/>
          </w:tcPr>
          <w:p>
            <w:pPr>
              <w:spacing w:after="0"/>
            </w:pPr>
            <w:r>
              <w:rPr>
                <w:sz w:val="12"/>
              </w:rPr>
              <w:t>medication dose/frequency</w:t>
            </w:r>
          </w:p>
        </w:tc>
      </w:tr>
      <w:tr>
        <w:trPr>
          <w:cantSplit/>
        </w:trPr>
        <w:tc>
          <w:tcPr>
            <w:tcW w:type="dxa" w:w="5141"/>
            <w:vAlign w:val="top"/>
          </w:tcPr>
          <w:p>
            <w:pPr>
              <w:spacing w:after="0"/>
            </w:pPr>
            <w:r>
              <w:rPr>
                <w:sz w:val="12"/>
              </w:rPr>
              <w:t>surface formatting</w:t>
            </w:r>
          </w:p>
        </w:tc>
        <w:tc>
          <w:tcPr>
            <w:tcW w:type="dxa" w:w="5141"/>
            <w:vAlign w:val="top"/>
          </w:tcPr>
          <w:p>
            <w:pPr>
              <w:spacing w:after="0"/>
            </w:pPr>
            <w:r>
              <w:rPr>
                <w:sz w:val="12"/>
              </w:rPr>
              <w:t>EEG finding</w:t>
            </w:r>
          </w:p>
        </w:tc>
      </w:tr>
      <w:tr>
        <w:trPr>
          <w:cantSplit/>
        </w:trPr>
        <w:tc>
          <w:tcPr>
            <w:tcW w:type="dxa" w:w="5141"/>
            <w:vAlign w:val="top"/>
          </w:tcPr>
          <w:p>
            <w:pPr>
              <w:spacing w:after="0"/>
            </w:pPr>
            <w:r>
              <w:rPr>
                <w:sz w:val="12"/>
              </w:rPr>
              <w:t>nonclinical connective language</w:t>
            </w:r>
          </w:p>
        </w:tc>
        <w:tc>
          <w:tcPr>
            <w:tcW w:type="dxa" w:w="5141"/>
            <w:vAlign w:val="top"/>
          </w:tcPr>
          <w:p>
            <w:pPr>
              <w:spacing w:after="0"/>
            </w:pPr>
            <w:r>
              <w:rPr>
                <w:sz w:val="12"/>
              </w:rPr>
              <w:t>MRI finding</w:t>
            </w:r>
          </w:p>
        </w:tc>
      </w:tr>
      <w:tr>
        <w:trPr>
          <w:cantSplit/>
        </w:trPr>
        <w:tc>
          <w:tcPr>
            <w:tcW w:type="dxa" w:w="5141"/>
            <w:vAlign w:val="top"/>
          </w:tcPr>
          <w:p>
            <w:pPr>
              <w:spacing w:after="0"/>
            </w:pPr>
            <w:r>
              <w:rPr>
                <w:sz w:val="12"/>
              </w:rPr>
              <w:t>style profile</w:t>
            </w:r>
          </w:p>
        </w:tc>
        <w:tc>
          <w:tcPr>
            <w:tcW w:type="dxa" w:w="5141"/>
            <w:vAlign w:val="top"/>
          </w:tcPr>
          <w:p>
            <w:pPr>
              <w:spacing w:after="0"/>
            </w:pPr>
            <w:r>
              <w:rPr>
                <w:sz w:val="12"/>
              </w:rPr>
              <w:t>DRE status / syndrome / pathology subtype</w:t>
            </w:r>
          </w:p>
        </w:tc>
      </w:tr>
    </w:tbl>
    <w:p/>
    <w:p>
      <w:pPr>
        <w:pStyle w:val="Heading1"/>
      </w:pPr>
      <w:r>
        <w:t>13. Blocked content and assumptions</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2570"/>
            <w:shd w:fill="D9EAF7"/>
          </w:tcPr>
          <w:p>
            <w:r>
              <w:rPr>
                <w:b/>
                <w:sz w:val="12"/>
              </w:rPr>
              <w:t>ID</w:t>
            </w:r>
          </w:p>
        </w:tc>
        <w:tc>
          <w:tcPr>
            <w:tcW w:type="dxa" w:w="2570"/>
            <w:shd w:fill="D9EAF7"/>
          </w:tcPr>
          <w:p>
            <w:r>
              <w:rPr>
                <w:b/>
                <w:sz w:val="12"/>
              </w:rPr>
              <w:t>Item</w:t>
            </w:r>
          </w:p>
        </w:tc>
        <w:tc>
          <w:tcPr>
            <w:tcW w:type="dxa" w:w="2570"/>
            <w:shd w:fill="D9EAF7"/>
          </w:tcPr>
          <w:p>
            <w:r>
              <w:rPr>
                <w:b/>
                <w:sz w:val="12"/>
              </w:rPr>
              <w:t>Reason</w:t>
            </w:r>
          </w:p>
        </w:tc>
        <w:tc>
          <w:tcPr>
            <w:tcW w:type="dxa" w:w="2570"/>
            <w:shd w:fill="D9EAF7"/>
          </w:tcPr>
          <w:p>
            <w:r>
              <w:rPr>
                <w:b/>
                <w:sz w:val="12"/>
              </w:rPr>
              <w:t>Action</w:t>
            </w:r>
          </w:p>
        </w:tc>
      </w:tr>
      <w:tr>
        <w:trPr>
          <w:cantSplit/>
        </w:trPr>
        <w:tc>
          <w:tcPr>
            <w:tcW w:type="dxa" w:w="2570"/>
            <w:vAlign w:val="top"/>
          </w:tcPr>
          <w:p>
            <w:pPr>
              <w:spacing w:after="0"/>
            </w:pPr>
            <w:r>
              <w:rPr>
                <w:sz w:val="11"/>
              </w:rPr>
              <w:t>B6B-01</w:t>
            </w:r>
          </w:p>
        </w:tc>
        <w:tc>
          <w:tcPr>
            <w:tcW w:type="dxa" w:w="2570"/>
            <w:vAlign w:val="top"/>
          </w:tcPr>
          <w:p>
            <w:pPr>
              <w:spacing w:after="0"/>
            </w:pPr>
            <w:r>
              <w:rPr>
                <w:sz w:val="11"/>
              </w:rPr>
              <w:t>Canonical neurology progress-note template</w:t>
            </w:r>
          </w:p>
        </w:tc>
        <w:tc>
          <w:tcPr>
            <w:tcW w:type="dxa" w:w="2570"/>
            <w:vAlign w:val="top"/>
          </w:tcPr>
          <w:p>
            <w:pPr>
              <w:spacing w:after="0"/>
            </w:pPr>
            <w:r>
              <w:rPr>
                <w:sz w:val="11"/>
              </w:rPr>
              <w:t>No direct audited source.</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B6B-02</w:t>
            </w:r>
          </w:p>
        </w:tc>
        <w:tc>
          <w:tcPr>
            <w:tcW w:type="dxa" w:w="2570"/>
            <w:vAlign w:val="top"/>
          </w:tcPr>
          <w:p>
            <w:pPr>
              <w:spacing w:after="0"/>
            </w:pPr>
            <w:r>
              <w:rPr>
                <w:sz w:val="11"/>
              </w:rPr>
              <w:t>Canonical epilepsy consult-note template</w:t>
            </w:r>
          </w:p>
        </w:tc>
        <w:tc>
          <w:tcPr>
            <w:tcW w:type="dxa" w:w="2570"/>
            <w:vAlign w:val="top"/>
          </w:tcPr>
          <w:p>
            <w:pPr>
              <w:spacing w:after="0"/>
            </w:pPr>
            <w:r>
              <w:rPr>
                <w:sz w:val="11"/>
              </w:rPr>
              <w:t>Clinic letters are not assumed equivalent.</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B6B-03</w:t>
            </w:r>
          </w:p>
        </w:tc>
        <w:tc>
          <w:tcPr>
            <w:tcW w:type="dxa" w:w="2570"/>
            <w:vAlign w:val="top"/>
          </w:tcPr>
          <w:p>
            <w:pPr>
              <w:spacing w:after="0"/>
            </w:pPr>
            <w:r>
              <w:rPr>
                <w:sz w:val="11"/>
              </w:rPr>
              <w:t>Canonical EMU report section order</w:t>
            </w:r>
          </w:p>
        </w:tc>
        <w:tc>
          <w:tcPr>
            <w:tcW w:type="dxa" w:w="2570"/>
            <w:vAlign w:val="top"/>
          </w:tcPr>
          <w:p>
            <w:pPr>
              <w:spacing w:after="0"/>
            </w:pPr>
            <w:r>
              <w:rPr>
                <w:sz w:val="11"/>
              </w:rPr>
              <w:t>SCORE supports content/terminology, not a universal local template.</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B6B-04</w:t>
            </w:r>
          </w:p>
        </w:tc>
        <w:tc>
          <w:tcPr>
            <w:tcW w:type="dxa" w:w="2570"/>
            <w:vAlign w:val="top"/>
          </w:tcPr>
          <w:p>
            <w:pPr>
              <w:spacing w:after="0"/>
            </w:pPr>
            <w:r>
              <w:rPr>
                <w:sz w:val="11"/>
              </w:rPr>
              <w:t>Epilepsy-specific MRI report template</w:t>
            </w:r>
          </w:p>
        </w:tc>
        <w:tc>
          <w:tcPr>
            <w:tcW w:type="dxa" w:w="2570"/>
            <w:vAlign w:val="top"/>
          </w:tcPr>
          <w:p>
            <w:pPr>
              <w:spacing w:after="0"/>
            </w:pPr>
            <w:r>
              <w:rPr>
                <w:sz w:val="11"/>
              </w:rPr>
              <w:t>Only general ACR report guidance frozen.</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B6B-05</w:t>
            </w:r>
          </w:p>
        </w:tc>
        <w:tc>
          <w:tcPr>
            <w:tcW w:type="dxa" w:w="2570"/>
            <w:vAlign w:val="top"/>
          </w:tcPr>
          <w:p>
            <w:pPr>
              <w:spacing w:after="0"/>
            </w:pPr>
            <w:r>
              <w:rPr>
                <w:sz w:val="11"/>
              </w:rPr>
              <w:t>Canonical epilepsy MRI lesion ontology</w:t>
            </w:r>
          </w:p>
        </w:tc>
        <w:tc>
          <w:tcPr>
            <w:tcW w:type="dxa" w:w="2570"/>
            <w:vAlign w:val="top"/>
          </w:tcPr>
          <w:p>
            <w:pPr>
              <w:spacing w:after="0"/>
            </w:pPr>
            <w:r>
              <w:rPr>
                <w:sz w:val="11"/>
              </w:rPr>
              <w:t>Not frozen.</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B6B-06</w:t>
            </w:r>
          </w:p>
        </w:tc>
        <w:tc>
          <w:tcPr>
            <w:tcW w:type="dxa" w:w="2570"/>
            <w:vAlign w:val="top"/>
          </w:tcPr>
          <w:p>
            <w:pPr>
              <w:spacing w:after="0"/>
            </w:pPr>
            <w:r>
              <w:rPr>
                <w:sz w:val="11"/>
              </w:rPr>
              <w:t>Presurgical evaluation note template</w:t>
            </w:r>
          </w:p>
        </w:tc>
        <w:tc>
          <w:tcPr>
            <w:tcW w:type="dxa" w:w="2570"/>
            <w:vAlign w:val="top"/>
          </w:tcPr>
          <w:p>
            <w:pPr>
              <w:spacing w:after="0"/>
            </w:pPr>
            <w:r>
              <w:rPr>
                <w:sz w:val="11"/>
              </w:rPr>
              <w:t>Process guidance is insufficient.</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B6B-07</w:t>
            </w:r>
          </w:p>
        </w:tc>
        <w:tc>
          <w:tcPr>
            <w:tcW w:type="dxa" w:w="2570"/>
            <w:vAlign w:val="top"/>
          </w:tcPr>
          <w:p>
            <w:pPr>
              <w:spacing w:after="0"/>
            </w:pPr>
            <w:r>
              <w:rPr>
                <w:sz w:val="11"/>
              </w:rPr>
              <w:t>Epilepsy conference-note template</w:t>
            </w:r>
          </w:p>
        </w:tc>
        <w:tc>
          <w:tcPr>
            <w:tcW w:type="dxa" w:w="2570"/>
            <w:vAlign w:val="top"/>
          </w:tcPr>
          <w:p>
            <w:pPr>
              <w:spacing w:after="0"/>
            </w:pPr>
            <w:r>
              <w:rPr>
                <w:sz w:val="11"/>
              </w:rPr>
              <w:t>No source frozen.</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B6B-08</w:t>
            </w:r>
          </w:p>
        </w:tc>
        <w:tc>
          <w:tcPr>
            <w:tcW w:type="dxa" w:w="2570"/>
            <w:vAlign w:val="top"/>
          </w:tcPr>
          <w:p>
            <w:pPr>
              <w:spacing w:after="0"/>
            </w:pPr>
            <w:r>
              <w:rPr>
                <w:sz w:val="11"/>
              </w:rPr>
              <w:t>Discharge/procedure/pathology document generation</w:t>
            </w:r>
          </w:p>
        </w:tc>
        <w:tc>
          <w:tcPr>
            <w:tcW w:type="dxa" w:w="2570"/>
            <w:vAlign w:val="top"/>
          </w:tcPr>
          <w:p>
            <w:pPr>
              <w:spacing w:after="0"/>
            </w:pPr>
            <w:r>
              <w:rPr>
                <w:sz w:val="11"/>
              </w:rPr>
              <w:t>No suitable document source frozen.</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B6B-09</w:t>
            </w:r>
          </w:p>
        </w:tc>
        <w:tc>
          <w:tcPr>
            <w:tcW w:type="dxa" w:w="2570"/>
            <w:vAlign w:val="top"/>
          </w:tcPr>
          <w:p>
            <w:pPr>
              <w:spacing w:after="0"/>
            </w:pPr>
            <w:r>
              <w:rPr>
                <w:sz w:val="11"/>
              </w:rPr>
              <w:t>Detailed unverified SCORE term IDs</w:t>
            </w:r>
          </w:p>
        </w:tc>
        <w:tc>
          <w:tcPr>
            <w:tcW w:type="dxa" w:w="2570"/>
            <w:vAlign w:val="top"/>
          </w:tcPr>
          <w:p>
            <w:pPr>
              <w:spacing w:after="0"/>
            </w:pPr>
            <w:r>
              <w:rPr>
                <w:sz w:val="11"/>
              </w:rPr>
              <w:t>Exact subset not extracted.</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B6B-10</w:t>
            </w:r>
          </w:p>
        </w:tc>
        <w:tc>
          <w:tcPr>
            <w:tcW w:type="dxa" w:w="2570"/>
            <w:vAlign w:val="top"/>
          </w:tcPr>
          <w:p>
            <w:pPr>
              <w:spacing w:after="0"/>
            </w:pPr>
            <w:r>
              <w:rPr>
                <w:sz w:val="11"/>
              </w:rPr>
              <w:t>Guessed RxNorm/EpSO/NINDS/RadLex IDs</w:t>
            </w:r>
          </w:p>
        </w:tc>
        <w:tc>
          <w:tcPr>
            <w:tcW w:type="dxa" w:w="2570"/>
            <w:vAlign w:val="top"/>
          </w:tcPr>
          <w:p>
            <w:pPr>
              <w:spacing w:after="0"/>
            </w:pPr>
            <w:r>
              <w:rPr>
                <w:sz w:val="11"/>
              </w:rPr>
              <w:t>Not resolved from pinned source artifacts.</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B6B-11</w:t>
            </w:r>
          </w:p>
        </w:tc>
        <w:tc>
          <w:tcPr>
            <w:tcW w:type="dxa" w:w="2570"/>
            <w:vAlign w:val="top"/>
          </w:tcPr>
          <w:p>
            <w:pPr>
              <w:spacing w:after="0"/>
            </w:pPr>
            <w:r>
              <w:rPr>
                <w:sz w:val="11"/>
              </w:rPr>
              <w:t>Criteria-derived DRE</w:t>
            </w:r>
          </w:p>
        </w:tc>
        <w:tc>
          <w:tcPr>
            <w:tcW w:type="dxa" w:w="2570"/>
            <w:vAlign w:val="top"/>
          </w:tcPr>
          <w:p>
            <w:pPr>
              <w:spacing w:after="0"/>
            </w:pPr>
            <w:r>
              <w:rPr>
                <w:sz w:val="11"/>
              </w:rPr>
              <w:t>Computational derivation remains unresolved.</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B6B-12</w:t>
            </w:r>
          </w:p>
        </w:tc>
        <w:tc>
          <w:tcPr>
            <w:tcW w:type="dxa" w:w="2570"/>
            <w:vAlign w:val="top"/>
          </w:tcPr>
          <w:p>
            <w:pPr>
              <w:spacing w:after="0"/>
            </w:pPr>
            <w:r>
              <w:rPr>
                <w:sz w:val="11"/>
              </w:rPr>
              <w:t>Multimodal concordance/localization endpoint</w:t>
            </w:r>
          </w:p>
        </w:tc>
        <w:tc>
          <w:tcPr>
            <w:tcW w:type="dxa" w:w="2570"/>
            <w:vAlign w:val="top"/>
          </w:tcPr>
          <w:p>
            <w:pPr>
              <w:spacing w:after="0"/>
            </w:pPr>
            <w:r>
              <w:rPr>
                <w:sz w:val="11"/>
              </w:rPr>
              <w:t>No frozen external definition/value set.</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B6B-13</w:t>
            </w:r>
          </w:p>
        </w:tc>
        <w:tc>
          <w:tcPr>
            <w:tcW w:type="dxa" w:w="2570"/>
            <w:vAlign w:val="top"/>
          </w:tcPr>
          <w:p>
            <w:pPr>
              <w:spacing w:after="0"/>
            </w:pPr>
            <w:r>
              <w:rPr>
                <w:sz w:val="11"/>
              </w:rPr>
              <w:t>Claims of clinical realism or representativeness</w:t>
            </w:r>
          </w:p>
        </w:tc>
        <w:tc>
          <w:tcPr>
            <w:tcW w:type="dxa" w:w="2570"/>
            <w:vAlign w:val="top"/>
          </w:tcPr>
          <w:p>
            <w:pPr>
              <w:spacing w:after="0"/>
            </w:pPr>
            <w:r>
              <w:rPr>
                <w:sz w:val="11"/>
              </w:rPr>
              <w:t>Requires empirical clinician validation.</w:t>
            </w:r>
          </w:p>
        </w:tc>
        <w:tc>
          <w:tcPr>
            <w:tcW w:type="dxa" w:w="2570"/>
            <w:vAlign w:val="top"/>
          </w:tcPr>
          <w:p>
            <w:pPr>
              <w:spacing w:after="0"/>
            </w:pPr>
            <w:r>
              <w:rPr>
                <w:sz w:val="11"/>
              </w:rPr>
              <w:t>BLOCK</w:t>
            </w:r>
          </w:p>
        </w:tc>
      </w:tr>
      <w:tr>
        <w:trPr>
          <w:cantSplit/>
        </w:trPr>
        <w:tc>
          <w:tcPr>
            <w:tcW w:type="dxa" w:w="2570"/>
            <w:vAlign w:val="top"/>
          </w:tcPr>
          <w:p>
            <w:pPr>
              <w:spacing w:after="0"/>
            </w:pPr>
            <w:r>
              <w:rPr>
                <w:sz w:val="11"/>
              </w:rPr>
              <w:t>B6B-14</w:t>
            </w:r>
          </w:p>
        </w:tc>
        <w:tc>
          <w:tcPr>
            <w:tcW w:type="dxa" w:w="2570"/>
            <w:vAlign w:val="top"/>
          </w:tcPr>
          <w:p>
            <w:pPr>
              <w:spacing w:after="0"/>
            </w:pPr>
            <w:r>
              <w:rPr>
                <w:sz w:val="11"/>
              </w:rPr>
              <w:t>Claims that sampling distributions reflect prevalence</w:t>
            </w:r>
          </w:p>
        </w:tc>
        <w:tc>
          <w:tcPr>
            <w:tcW w:type="dxa" w:w="2570"/>
            <w:vAlign w:val="top"/>
          </w:tcPr>
          <w:p>
            <w:pPr>
              <w:spacing w:after="0"/>
            </w:pPr>
            <w:r>
              <w:rPr>
                <w:sz w:val="11"/>
              </w:rPr>
              <w:t>No epidemiologic source frozen.</w:t>
            </w:r>
          </w:p>
        </w:tc>
        <w:tc>
          <w:tcPr>
            <w:tcW w:type="dxa" w:w="2570"/>
            <w:vAlign w:val="top"/>
          </w:tcPr>
          <w:p>
            <w:pPr>
              <w:spacing w:after="0"/>
            </w:pPr>
            <w:r>
              <w:rPr>
                <w:sz w:val="11"/>
              </w:rPr>
              <w:t>BLOCK</w:t>
            </w:r>
          </w:p>
        </w:tc>
      </w:tr>
    </w:tbl>
    <w:p/>
    <w:p>
      <w:pPr>
        <w:pStyle w:val="Heading1"/>
      </w:pPr>
      <w:r>
        <w:t>14. QA and release gates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shd w:fill="D9EAF7"/>
          </w:tcPr>
          <w:p>
            <w:r>
              <w:rPr>
                <w:b/>
                <w:sz w:val="12"/>
              </w:rPr>
              <w:t>QA</w:t>
            </w:r>
          </w:p>
        </w:tc>
        <w:tc>
          <w:tcPr>
            <w:tcW w:type="dxa" w:w="3427"/>
            <w:shd w:fill="D9EAF7"/>
          </w:tcPr>
          <w:p>
            <w:r>
              <w:rPr>
                <w:b/>
                <w:sz w:val="12"/>
              </w:rPr>
              <w:t>Check</w:t>
            </w:r>
          </w:p>
        </w:tc>
        <w:tc>
          <w:tcPr>
            <w:tcW w:type="dxa" w:w="3427"/>
            <w:shd w:fill="D9EAF7"/>
          </w:tcPr>
          <w:p>
            <w:r>
              <w:rPr>
                <w:b/>
                <w:sz w:val="12"/>
              </w:rPr>
              <w:t>Action</w:t>
            </w:r>
          </w:p>
        </w:tc>
      </w:tr>
      <w:tr>
        <w:trPr>
          <w:cantSplit/>
        </w:trPr>
        <w:tc>
          <w:tcPr>
            <w:tcW w:type="dxa" w:w="3427"/>
            <w:vAlign w:val="top"/>
          </w:tcPr>
          <w:p>
            <w:pPr>
              <w:spacing w:after="0"/>
            </w:pPr>
            <w:r>
              <w:rPr>
                <w:sz w:val="11"/>
              </w:rPr>
              <w:t>QA6B-01</w:t>
            </w:r>
          </w:p>
        </w:tc>
        <w:tc>
          <w:tcPr>
            <w:tcW w:type="dxa" w:w="3427"/>
            <w:vAlign w:val="top"/>
          </w:tcPr>
          <w:p>
            <w:pPr>
              <w:spacing w:after="0"/>
            </w:pPr>
            <w:r>
              <w:rPr>
                <w:sz w:val="11"/>
              </w:rPr>
              <w:t>Document family is GREEN/AMBER in Phase6B profile.</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QA6B-02</w:t>
            </w:r>
          </w:p>
        </w:tc>
        <w:tc>
          <w:tcPr>
            <w:tcW w:type="dxa" w:w="3427"/>
            <w:vAlign w:val="top"/>
          </w:tcPr>
          <w:p>
            <w:pPr>
              <w:spacing w:after="0"/>
            </w:pPr>
            <w:r>
              <w:rPr>
                <w:sz w:val="11"/>
              </w:rPr>
              <w:t>Every clinical assertion is authorized by approved latent event(s).</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QA6B-03</w:t>
            </w:r>
          </w:p>
        </w:tc>
        <w:tc>
          <w:tcPr>
            <w:tcW w:type="dxa" w:w="3427"/>
            <w:vAlign w:val="top"/>
          </w:tcPr>
          <w:p>
            <w:pPr>
              <w:spacing w:after="0"/>
            </w:pPr>
            <w:r>
              <w:rPr>
                <w:sz w:val="11"/>
              </w:rPr>
              <w:t>Every assertion belongs to a source-supported content domain for that document family.</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QA6B-04</w:t>
            </w:r>
          </w:p>
        </w:tc>
        <w:tc>
          <w:tcPr>
            <w:tcW w:type="dxa" w:w="3427"/>
            <w:vAlign w:val="top"/>
          </w:tcPr>
          <w:p>
            <w:pPr>
              <w:spacing w:after="0"/>
            </w:pPr>
            <w:r>
              <w:rPr>
                <w:sz w:val="11"/>
              </w:rPr>
              <w:t>No RED document family is rendered.</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QA6B-05</w:t>
            </w:r>
          </w:p>
        </w:tc>
        <w:tc>
          <w:tcPr>
            <w:tcW w:type="dxa" w:w="3427"/>
            <w:vAlign w:val="top"/>
          </w:tcPr>
          <w:p>
            <w:pPr>
              <w:spacing w:after="0"/>
            </w:pPr>
            <w:r>
              <w:rPr>
                <w:sz w:val="11"/>
              </w:rPr>
              <w:t>No blocked clinical taxonomy/code/derivation appears.</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QA6B-06</w:t>
            </w:r>
          </w:p>
        </w:tc>
        <w:tc>
          <w:tcPr>
            <w:tcW w:type="dxa" w:w="3427"/>
            <w:vAlign w:val="top"/>
          </w:tcPr>
          <w:p>
            <w:pPr>
              <w:spacing w:after="0"/>
            </w:pPr>
            <w:r>
              <w:rPr>
                <w:sz w:val="11"/>
              </w:rPr>
              <w:t>Clinic letter does not claim a canonical section order.</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QA6B-07</w:t>
            </w:r>
          </w:p>
        </w:tc>
        <w:tc>
          <w:tcPr>
            <w:tcW w:type="dxa" w:w="3427"/>
            <w:vAlign w:val="top"/>
          </w:tcPr>
          <w:p>
            <w:pPr>
              <w:spacing w:after="0"/>
            </w:pPr>
            <w:r>
              <w:rPr>
                <w:sz w:val="11"/>
              </w:rPr>
              <w:t>EEG text contains no unsupported SCORE term/code or abnormal-&gt;IED inference.</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QA6B-08</w:t>
            </w:r>
          </w:p>
        </w:tc>
        <w:tc>
          <w:tcPr>
            <w:tcW w:type="dxa" w:w="3427"/>
            <w:vAlign w:val="top"/>
          </w:tcPr>
          <w:p>
            <w:pPr>
              <w:spacing w:after="0"/>
            </w:pPr>
            <w:r>
              <w:rPr>
                <w:sz w:val="11"/>
              </w:rPr>
              <w:t>MRI text contains no invented epilepsy lesion/pathology concept.</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QA6B-09</w:t>
            </w:r>
          </w:p>
        </w:tc>
        <w:tc>
          <w:tcPr>
            <w:tcW w:type="dxa" w:w="3427"/>
            <w:vAlign w:val="top"/>
          </w:tcPr>
          <w:p>
            <w:pPr>
              <w:spacing w:after="0"/>
            </w:pPr>
            <w:r>
              <w:rPr>
                <w:sz w:val="11"/>
              </w:rPr>
              <w:t>Polarity, certainty, temporality, laterality and medication details do not exceed latent truth.</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QA6B-10</w:t>
            </w:r>
          </w:p>
        </w:tc>
        <w:tc>
          <w:tcPr>
            <w:tcW w:type="dxa" w:w="3427"/>
            <w:vAlign w:val="top"/>
          </w:tcPr>
          <w:p>
            <w:pPr>
              <w:spacing w:after="0"/>
            </w:pPr>
            <w:r>
              <w:rPr>
                <w:sz w:val="11"/>
              </w:rPr>
              <w:t>DRE is not inferred from medication count.</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QA6B-11</w:t>
            </w:r>
          </w:p>
        </w:tc>
        <w:tc>
          <w:tcPr>
            <w:tcW w:type="dxa" w:w="3427"/>
            <w:vAlign w:val="top"/>
          </w:tcPr>
          <w:p>
            <w:pPr>
              <w:spacing w:after="0"/>
            </w:pPr>
            <w:r>
              <w:rPr>
                <w:sz w:val="11"/>
              </w:rPr>
              <w:t>Evidence offsets reproduce exact final text.</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QA6B-12</w:t>
            </w:r>
          </w:p>
        </w:tc>
        <w:tc>
          <w:tcPr>
            <w:tcW w:type="dxa" w:w="3427"/>
            <w:vAlign w:val="top"/>
          </w:tcPr>
          <w:p>
            <w:pPr>
              <w:spacing w:after="0"/>
            </w:pPr>
            <w:r>
              <w:rPr>
                <w:sz w:val="11"/>
              </w:rPr>
              <w:t>Source IDs and renderer metadata are recorded.</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QA6B-13</w:t>
            </w:r>
          </w:p>
        </w:tc>
        <w:tc>
          <w:tcPr>
            <w:tcW w:type="dxa" w:w="3427"/>
            <w:vAlign w:val="top"/>
          </w:tcPr>
          <w:p>
            <w:pPr>
              <w:spacing w:after="0"/>
            </w:pPr>
            <w:r>
              <w:rPr>
                <w:sz w:val="11"/>
              </w:rPr>
              <w:t>Document is labeled synthetic and not clinician-validated unless review exists.</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QA6B-14</w:t>
            </w:r>
          </w:p>
        </w:tc>
        <w:tc>
          <w:tcPr>
            <w:tcW w:type="dxa" w:w="3427"/>
            <w:vAlign w:val="top"/>
          </w:tcPr>
          <w:p>
            <w:pPr>
              <w:spacing w:after="0"/>
            </w:pPr>
            <w:r>
              <w:rPr>
                <w:sz w:val="11"/>
              </w:rPr>
              <w:t>Sampling/style controls are labeled benchmark-design choices.</w:t>
            </w:r>
          </w:p>
        </w:tc>
        <w:tc>
          <w:tcPr>
            <w:tcW w:type="dxa" w:w="3427"/>
            <w:vAlign w:val="top"/>
          </w:tcPr>
          <w:p>
            <w:pPr>
              <w:spacing w:after="0"/>
            </w:pPr>
            <w:r>
              <w:rPr>
                <w:sz w:val="11"/>
              </w:rPr>
              <w:t>FAIL</w:t>
            </w:r>
          </w:p>
        </w:tc>
      </w:tr>
      <w:tr>
        <w:trPr>
          <w:cantSplit/>
        </w:trPr>
        <w:tc>
          <w:tcPr>
            <w:tcW w:type="dxa" w:w="3427"/>
            <w:vAlign w:val="top"/>
          </w:tcPr>
          <w:p>
            <w:pPr>
              <w:spacing w:after="0"/>
            </w:pPr>
            <w:r>
              <w:rPr>
                <w:sz w:val="11"/>
              </w:rPr>
              <w:t>QA6B-15</w:t>
            </w:r>
          </w:p>
        </w:tc>
        <w:tc>
          <w:tcPr>
            <w:tcW w:type="dxa" w:w="3427"/>
            <w:vAlign w:val="top"/>
          </w:tcPr>
          <w:p>
            <w:pPr>
              <w:spacing w:after="0"/>
            </w:pPr>
            <w:r>
              <w:rPr>
                <w:sz w:val="11"/>
              </w:rPr>
              <w:t>Clinician review is required before a document profile can be called realistic.</w:t>
            </w:r>
          </w:p>
        </w:tc>
        <w:tc>
          <w:tcPr>
            <w:tcW w:type="dxa" w:w="3427"/>
            <w:vAlign w:val="top"/>
          </w:tcPr>
          <w:p>
            <w:pPr>
              <w:spacing w:after="0"/>
            </w:pPr>
            <w:r>
              <w:rPr>
                <w:sz w:val="11"/>
              </w:rPr>
              <w:t>REVIEW GATE</w:t>
            </w:r>
          </w:p>
        </w:tc>
      </w:tr>
    </w:tbl>
    <w:p/>
    <w:p>
      <w:pPr>
        <w:pStyle w:val="Heading1"/>
      </w:pPr>
      <w:r>
        <w:t>15. What Phase 6B does NOT claim</w:t>
      </w:r>
    </w:p>
    <w:p>
      <w:pPr>
        <w:pStyle w:val="ListBullet"/>
      </w:pPr>
      <w:r>
        <w:t>That generated documents are clinically realistic before clinician review.</w:t>
      </w:r>
    </w:p>
    <w:p>
      <w:pPr>
        <w:pStyle w:val="ListBullet"/>
      </w:pPr>
      <w:r>
        <w:t>That the synthetic distribution reflects epilepsy prevalence or real-site documentation frequencies.</w:t>
      </w:r>
    </w:p>
    <w:p>
      <w:pPr>
        <w:pStyle w:val="ListBullet"/>
      </w:pPr>
      <w:r>
        <w:t>That UK epilepsy clinic letters are equivalent to URMC/Epic neurology progress notes.</w:t>
      </w:r>
    </w:p>
    <w:p>
      <w:pPr>
        <w:pStyle w:val="ListBullet"/>
      </w:pPr>
      <w:r>
        <w:t>That SCORE has been fully encoded in MedAI.</w:t>
      </w:r>
    </w:p>
    <w:p>
      <w:pPr>
        <w:pStyle w:val="ListBullet"/>
      </w:pPr>
      <w:r>
        <w:t>That ACR provides an epilepsy-specific MRI lesion ontology.</w:t>
      </w:r>
    </w:p>
    <w:p>
      <w:pPr>
        <w:pStyle w:val="ListBullet"/>
      </w:pPr>
      <w:r>
        <w:t>That every clinical workflow or note type has a universal structure.</w:t>
      </w:r>
    </w:p>
    <w:p>
      <w:pPr>
        <w:pStyle w:val="ListBullet"/>
      </w:pPr>
      <w:r>
        <w:t>That a language model can resolve missing clinical truth.</w:t>
      </w:r>
    </w:p>
    <w:p>
      <w:pPr>
        <w:pStyle w:val="Heading1"/>
      </w:pPr>
      <w:r>
        <w:t>16. Pilot corpus authorized by Phase 6B</w:t>
      </w:r>
    </w:p>
    <w:p>
      <w:r>
        <w:t>The evidence-backed pilot should be intentionally small and narrow:</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shd w:fill="D9EAF7"/>
          </w:tcPr>
          <w:p>
            <w:r>
              <w:rPr>
                <w:b/>
                <w:sz w:val="13"/>
              </w:rPr>
              <w:t>Pilot component</w:t>
            </w:r>
          </w:p>
        </w:tc>
        <w:tc>
          <w:tcPr>
            <w:tcW w:type="dxa" w:w="5141"/>
            <w:shd w:fill="D9EAF7"/>
          </w:tcPr>
          <w:p>
            <w:r>
              <w:rPr>
                <w:b/>
                <w:sz w:val="13"/>
              </w:rPr>
              <w:t>Authorization</w:t>
            </w:r>
          </w:p>
        </w:tc>
      </w:tr>
      <w:tr>
        <w:trPr>
          <w:cantSplit/>
        </w:trPr>
        <w:tc>
          <w:tcPr>
            <w:tcW w:type="dxa" w:w="5141"/>
            <w:vAlign w:val="top"/>
          </w:tcPr>
          <w:p>
            <w:pPr>
              <w:spacing w:after="0"/>
            </w:pPr>
            <w:r>
              <w:rPr>
                <w:sz w:val="13"/>
              </w:rPr>
              <w:t>Synthetic epilepsy clinic letters</w:t>
            </w:r>
          </w:p>
        </w:tc>
        <w:tc>
          <w:tcPr>
            <w:tcW w:type="dxa" w:w="5141"/>
            <w:vAlign w:val="top"/>
          </w:tcPr>
          <w:p>
            <w:pPr>
              <w:spacing w:after="0"/>
            </w:pPr>
            <w:r>
              <w:rPr>
                <w:sz w:val="13"/>
              </w:rPr>
              <w:t>YES — direct published document precedent.</w:t>
            </w:r>
          </w:p>
        </w:tc>
      </w:tr>
      <w:tr>
        <w:trPr>
          <w:cantSplit/>
        </w:trPr>
        <w:tc>
          <w:tcPr>
            <w:tcW w:type="dxa" w:w="5141"/>
            <w:vAlign w:val="top"/>
          </w:tcPr>
          <w:p>
            <w:pPr>
              <w:spacing w:after="0"/>
            </w:pPr>
            <w:r>
              <w:rPr>
                <w:sz w:val="13"/>
              </w:rPr>
              <w:t>Synthetic EEG reports</w:t>
            </w:r>
          </w:p>
        </w:tc>
        <w:tc>
          <w:tcPr>
            <w:tcW w:type="dxa" w:w="5141"/>
            <w:vAlign w:val="top"/>
          </w:tcPr>
          <w:p>
            <w:pPr>
              <w:spacing w:after="0"/>
            </w:pPr>
            <w:r>
              <w:rPr>
                <w:sz w:val="13"/>
              </w:rPr>
              <w:t>YES, WITH LIMITS — SCORE reporting framework; frozen concepts only.</w:t>
            </w:r>
          </w:p>
        </w:tc>
      </w:tr>
      <w:tr>
        <w:trPr>
          <w:cantSplit/>
        </w:trPr>
        <w:tc>
          <w:tcPr>
            <w:tcW w:type="dxa" w:w="5141"/>
            <w:vAlign w:val="top"/>
          </w:tcPr>
          <w:p>
            <w:pPr>
              <w:spacing w:after="0"/>
            </w:pPr>
            <w:r>
              <w:rPr>
                <w:sz w:val="13"/>
              </w:rPr>
              <w:t>Synthetic video-EEG content blocks</w:t>
            </w:r>
          </w:p>
        </w:tc>
        <w:tc>
          <w:tcPr>
            <w:tcW w:type="dxa" w:w="5141"/>
            <w:vAlign w:val="top"/>
          </w:tcPr>
          <w:p>
            <w:pPr>
              <w:spacing w:after="0"/>
            </w:pPr>
            <w:r>
              <w:rPr>
                <w:sz w:val="13"/>
              </w:rPr>
              <w:t>LIMITED — SCORE-supported content, not canonical EMU template.</w:t>
            </w:r>
          </w:p>
        </w:tc>
      </w:tr>
      <w:tr>
        <w:trPr>
          <w:cantSplit/>
        </w:trPr>
        <w:tc>
          <w:tcPr>
            <w:tcW w:type="dxa" w:w="5141"/>
            <w:vAlign w:val="top"/>
          </w:tcPr>
          <w:p>
            <w:pPr>
              <w:spacing w:after="0"/>
            </w:pPr>
            <w:r>
              <w:rPr>
                <w:sz w:val="13"/>
              </w:rPr>
              <w:t>Synthetic MRI radiology reports</w:t>
            </w:r>
          </w:p>
        </w:tc>
        <w:tc>
          <w:tcPr>
            <w:tcW w:type="dxa" w:w="5141"/>
            <w:vAlign w:val="top"/>
          </w:tcPr>
          <w:p>
            <w:pPr>
              <w:spacing w:after="0"/>
            </w:pPr>
            <w:r>
              <w:rPr>
                <w:sz w:val="13"/>
              </w:rPr>
              <w:t>LIMITED — general ACR report principles + source-grounded MRI truth.</w:t>
            </w:r>
          </w:p>
        </w:tc>
      </w:tr>
      <w:tr>
        <w:trPr>
          <w:cantSplit/>
        </w:trPr>
        <w:tc>
          <w:tcPr>
            <w:tcW w:type="dxa" w:w="5141"/>
            <w:vAlign w:val="top"/>
          </w:tcPr>
          <w:p>
            <w:pPr>
              <w:spacing w:after="0"/>
            </w:pPr>
            <w:r>
              <w:rPr>
                <w:sz w:val="13"/>
              </w:rPr>
              <w:t>All RED document families</w:t>
            </w:r>
          </w:p>
        </w:tc>
        <w:tc>
          <w:tcPr>
            <w:tcW w:type="dxa" w:w="5141"/>
            <w:vAlign w:val="top"/>
          </w:tcPr>
          <w:p>
            <w:pPr>
              <w:spacing w:after="0"/>
            </w:pPr>
            <w:r>
              <w:rPr>
                <w:sz w:val="13"/>
              </w:rPr>
              <w:t>NO — remain blocked.</w:t>
            </w:r>
          </w:p>
        </w:tc>
      </w:tr>
    </w:tbl>
    <w:p/>
    <w:tbl>
      <w:tblPr>
        <w:tblStyle w:val="TableGrid"/>
        <w:tblW w:type="auto" w:w="0"/>
        <w:tblLook w:firstColumn="1" w:firstRow="1" w:lastColumn="0" w:lastRow="0" w:noHBand="0" w:noVBand="1" w:val="04A0"/>
      </w:tblPr>
      <w:tblGrid>
        <w:gridCol w:w="10282"/>
      </w:tblGrid>
      <w:tr>
        <w:trPr>
          <w:cantSplit/>
        </w:trPr>
        <w:tc>
          <w:tcPr>
            <w:tcW w:type="dxa" w:w="10282"/>
            <w:shd w:fill="E2F0D9"/>
          </w:tcPr>
          <w:p>
            <w:r>
              <w:rPr>
                <w:b/>
                <w:color w:val="17365D"/>
              </w:rPr>
              <w:t>Release decision</w:t>
              <w:br/>
            </w:r>
            <w:r>
              <w:t>PASS — EVIDENCE-CONSTRAINED GENERATION SPECIFICATION. Authorized for a small pilot renderer implementation only. Not yet a benchmark release and not yet clinician-validated.</w:t>
            </w:r>
          </w:p>
        </w:tc>
      </w:tr>
    </w:tbl>
    <w:p/>
    <w:p>
      <w:pPr>
        <w:pStyle w:val="Heading1"/>
      </w:pPr>
      <w:r>
        <w:t>17. Next phase</w:t>
      </w:r>
    </w:p>
    <w:p>
      <w:r>
        <w:t>The next phase should be Phase 6C — Pilot Rendering &amp; Truth-Preservation Validation, not full Phase 7 packaging. Phase 6C should generate a small set from each authorized document family, run every automatic truth-preservation gate, and then obtain clinician review of realism/coherence. Only after those results should the document profiles be promoted into Phase 7 benchmark construction.</w:t>
      </w:r>
    </w:p>
    <w:p>
      <w:pPr>
        <w:pStyle w:val="Heading1"/>
      </w:pPr>
      <w:r>
        <w:t>18. Deliverables</w:t>
      </w:r>
    </w:p>
    <w:p>
      <w:pPr>
        <w:pStyle w:val="ListBullet"/>
      </w:pPr>
      <w:r>
        <w:t>MedAI_Phase6B_Evidence_Constrained_Document_Profiles_v1.0.csv</w:t>
      </w:r>
    </w:p>
    <w:p>
      <w:pPr>
        <w:pStyle w:val="ListBullet"/>
      </w:pPr>
      <w:r>
        <w:t>MedAI_Phase6B_Source_to_Generation_Rules_v1.0.csv</w:t>
      </w:r>
    </w:p>
    <w:p>
      <w:pPr>
        <w:pStyle w:val="ListBullet"/>
      </w:pPr>
      <w:r>
        <w:t>MedAI_Phase6B_Semantic_Planner_Contract_v1.0.csv</w:t>
      </w:r>
    </w:p>
    <w:p>
      <w:pPr>
        <w:pStyle w:val="ListBullet"/>
      </w:pPr>
      <w:r>
        <w:t>MedAI_Phase6B_QA_and_Release_Gates_v1.0.csv</w:t>
      </w:r>
    </w:p>
    <w:p>
      <w:pPr>
        <w:pStyle w:val="ListBullet"/>
      </w:pPr>
      <w:r>
        <w:t>MedAI_Phase6B_Blocked_Content_and_Assumptions_v1.0.csv</w:t>
      </w:r>
    </w:p>
    <w:p>
      <w:pPr>
        <w:pStyle w:val="ListBullet"/>
      </w:pPr>
      <w:r>
        <w:t>MedAI_Phase6B_Source_Registry_v1.0.csv</w:t>
      </w:r>
    </w:p>
    <w:p>
      <w:pPr>
        <w:pStyle w:val="ListBullet"/>
      </w:pPr>
      <w:r>
        <w:t>MedAI_Phase6B_Generation_Profile_v1.0.json</w:t>
      </w:r>
    </w:p>
    <w:p>
      <w:pPr>
        <w:pStyle w:val="Heading1"/>
      </w:pPr>
      <w:r>
        <w:t>19. References</w:t>
      </w:r>
    </w:p>
    <w:p>
      <w:r>
        <w:t>1. Fonferko-Shadrach B, Strafford H, Jones C, et al. Annotation of epilepsy clinic letters for natural language processing. J Biomed Semantics. 2024;15:17. DOI 10.1186/s13326-024-00316-z.</w:t>
      </w:r>
    </w:p>
    <w:p>
      <w:r>
        <w:t>2. Beniczky S, Aurlien H, Brøgger JC, et al. Standardized computer-based organized reporting of EEG: SCORE - Second version. Clin Neurophysiol. 2017;128:2334-2346. DOI 10.1016/j.clinph.2017.07.418.</w:t>
      </w:r>
    </w:p>
    <w:p>
      <w:r>
        <w:t>3. Beniczky S, Aurlien H, Brøgger JC, et al. Standardized computer-based organized reporting of EEG: SCORE. Epilepsia. 2013;54:1112-1124. DOI 10.1111/epi.12135.</w:t>
      </w:r>
    </w:p>
    <w:p>
      <w:r>
        <w:t>4. American College of Radiology. ACR Practice Parameter for Communication of Diagnostic Imaging Findings. ACR document 74.</w:t>
      </w:r>
    </w:p>
    <w:p>
      <w:r>
        <w:t>5. Beniczky S, Trinka E, Wirrell E, et al. Updated classification of epileptic seizures. Epilepsia. 2025. DOI 10.1111/epi.18338.</w:t>
      </w:r>
    </w:p>
    <w:p>
      <w:r>
        <w:t>6. Scheffer IE, Berkovic S, Capovilla G, et al. ILAE classification of the epilepsies. Epilepsia. 2017;58:512-521. DOI 10.1111/epi.13709.</w:t>
      </w:r>
    </w:p>
    <w:p>
      <w:r>
        <w:t>7. Kwan P, Arzimanoglou A, Berg AT, et al. Definition of drug resistant epilepsy. Epilepsia. 2010;51:1069-1077. DOI 10.1111/j.1528-1167.2009.02397.x.</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