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7365D"/>
          <w:sz w:val="64"/>
        </w:rPr>
        <w:t>MedAI / EpiSynth</w:t>
      </w:r>
    </w:p>
    <w:p>
      <w:pPr>
        <w:jc w:val="center"/>
      </w:pPr>
      <w:r>
        <w:rPr>
          <w:b/>
          <w:color w:val="2F5597"/>
          <w:sz w:val="37"/>
        </w:rPr>
        <w:t>Phase 6C — Methodological Provenance &amp; Validation Audit</w:t>
      </w:r>
    </w:p>
    <w:p>
      <w:pPr>
        <w:jc w:val="center"/>
      </w:pPr>
      <w:r>
        <w:rPr>
          <w:sz w:val="22"/>
        </w:rPr>
        <w:t>Version 1.0 • 25 September 2026</w:t>
        <w:br/>
        <w:t>Audit of every MedAI-proposed method before pilot document rendering</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Core rule</w:t>
              <w:br/>
            </w:r>
            <w:r>
              <w:t>A MedAI-proposed method is not accepted merely because it sounds reasonable. It must either be traceably adapted from established methodology or be explicitly labeled experimental and assigned a prospective validation study. Unsupported clinical assumptions remain prohibited.</w:t>
            </w:r>
          </w:p>
        </w:tc>
      </w:tr>
    </w:tbl>
    <w:p/>
    <w:p>
      <w:r>
        <w:br w:type="page"/>
      </w:r>
    </w:p>
    <w:p>
      <w:pPr>
        <w:pStyle w:val="Heading1"/>
      </w:pPr>
      <w:r>
        <w:t>1. Purpose</w:t>
      </w:r>
    </w:p>
    <w:p>
      <w:r>
        <w:t>Phase 6C answers a different question from the clinical source audits: what makes the computational methods introduced by MedAI scientifically defensible? Clinical categories require clinical authority. Novel engineering and benchmark mechanisms require methodological precedent, explicit definitions, reproducibility, and—where they make performance or validity claims—empirical validation.</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No circular validation</w:t>
              <w:br/>
            </w:r>
            <w:r>
              <w:t>The existence of a MedAI field or rule is not evidence that it is valid. This audit separates the definition of a method from the evidence required to support claims about that method.</w:t>
            </w:r>
          </w:p>
        </w:tc>
      </w:tr>
    </w:tbl>
    <w:p/>
    <w:p>
      <w:pPr>
        <w:pStyle w:val="Heading1"/>
      </w:pPr>
      <w:r>
        <w:t>2. Revised provenance classes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Class</w:t>
            </w:r>
          </w:p>
        </w:tc>
        <w:tc>
          <w:tcPr>
            <w:tcW w:type="dxa" w:w="3427"/>
            <w:shd w:fill="D9EAF7"/>
          </w:tcPr>
          <w:p>
            <w:r>
              <w:rPr>
                <w:b/>
                <w:sz w:val="12"/>
              </w:rPr>
              <w:t>Meaning</w:t>
            </w:r>
          </w:p>
        </w:tc>
        <w:tc>
          <w:tcPr>
            <w:tcW w:type="dxa" w:w="3427"/>
            <w:shd w:fill="D9EAF7"/>
          </w:tcPr>
          <w:p>
            <w:r>
              <w:rPr>
                <w:b/>
                <w:sz w:val="12"/>
              </w:rPr>
              <w:t>Release treatment</w:t>
            </w:r>
          </w:p>
        </w:tc>
      </w:tr>
      <w:tr>
        <w:tc>
          <w:tcPr>
            <w:tcW w:type="dxa" w:w="3427"/>
            <w:vAlign w:val="top"/>
          </w:tcPr>
          <w:p>
            <w:pPr>
              <w:spacing w:after="0"/>
            </w:pPr>
            <w:r>
              <w:rPr>
                <w:sz w:val="12"/>
              </w:rPr>
              <w:t>SOURCE-DEFINED</w:t>
            </w:r>
          </w:p>
        </w:tc>
        <w:tc>
          <w:tcPr>
            <w:tcW w:type="dxa" w:w="3427"/>
            <w:vAlign w:val="top"/>
          </w:tcPr>
          <w:p>
            <w:pPr>
              <w:spacing w:after="0"/>
            </w:pPr>
            <w:r>
              <w:rPr>
                <w:sz w:val="12"/>
              </w:rPr>
              <w:t>External source directly defines the concept.</w:t>
            </w:r>
          </w:p>
        </w:tc>
        <w:tc>
          <w:tcPr>
            <w:tcW w:type="dxa" w:w="3427"/>
            <w:vAlign w:val="top"/>
          </w:tcPr>
          <w:p>
            <w:pPr>
              <w:spacing w:after="0"/>
            </w:pPr>
            <w:r>
              <w:rPr>
                <w:sz w:val="12"/>
              </w:rPr>
              <w:t>Use within source scope.</w:t>
            </w:r>
          </w:p>
        </w:tc>
      </w:tr>
      <w:tr>
        <w:tc>
          <w:tcPr>
            <w:tcW w:type="dxa" w:w="3427"/>
            <w:vAlign w:val="top"/>
          </w:tcPr>
          <w:p>
            <w:pPr>
              <w:spacing w:after="0"/>
            </w:pPr>
            <w:r>
              <w:rPr>
                <w:sz w:val="12"/>
              </w:rPr>
              <w:t>SOURCE-MAPPED</w:t>
            </w:r>
          </w:p>
        </w:tc>
        <w:tc>
          <w:tcPr>
            <w:tcW w:type="dxa" w:w="3427"/>
            <w:vAlign w:val="top"/>
          </w:tcPr>
          <w:p>
            <w:pPr>
              <w:spacing w:after="0"/>
            </w:pPr>
            <w:r>
              <w:rPr>
                <w:sz w:val="12"/>
              </w:rPr>
              <w:t>Source concept represented computationally by MedAI.</w:t>
            </w:r>
          </w:p>
        </w:tc>
        <w:tc>
          <w:tcPr>
            <w:tcW w:type="dxa" w:w="3427"/>
            <w:vAlign w:val="top"/>
          </w:tcPr>
          <w:p>
            <w:pPr>
              <w:spacing w:after="0"/>
            </w:pPr>
            <w:r>
              <w:rPr>
                <w:sz w:val="12"/>
              </w:rPr>
              <w:t>Use with mapping provenance.</w:t>
            </w:r>
          </w:p>
        </w:tc>
      </w:tr>
      <w:tr>
        <w:tc>
          <w:tcPr>
            <w:tcW w:type="dxa" w:w="3427"/>
            <w:vAlign w:val="top"/>
          </w:tcPr>
          <w:p>
            <w:pPr>
              <w:spacing w:after="0"/>
            </w:pPr>
            <w:r>
              <w:rPr>
                <w:sz w:val="12"/>
              </w:rPr>
              <w:t>LITERATURE-ADAPTED</w:t>
            </w:r>
          </w:p>
        </w:tc>
        <w:tc>
          <w:tcPr>
            <w:tcW w:type="dxa" w:w="3427"/>
            <w:vAlign w:val="top"/>
          </w:tcPr>
          <w:p>
            <w:pPr>
              <w:spacing w:after="0"/>
            </w:pPr>
            <w:r>
              <w:rPr>
                <w:sz w:val="12"/>
              </w:rPr>
              <w:t>Published methodological practice exists; MedAI adapts it.</w:t>
            </w:r>
          </w:p>
        </w:tc>
        <w:tc>
          <w:tcPr>
            <w:tcW w:type="dxa" w:w="3427"/>
            <w:vAlign w:val="top"/>
          </w:tcPr>
          <w:p>
            <w:pPr>
              <w:spacing w:after="0"/>
            </w:pPr>
            <w:r>
              <w:rPr>
                <w:sz w:val="12"/>
              </w:rPr>
              <w:t>Use while naming the adaptation.</w:t>
            </w:r>
          </w:p>
        </w:tc>
      </w:tr>
      <w:tr>
        <w:tc>
          <w:tcPr>
            <w:tcW w:type="dxa" w:w="3427"/>
            <w:vAlign w:val="top"/>
          </w:tcPr>
          <w:p>
            <w:pPr>
              <w:spacing w:after="0"/>
            </w:pPr>
            <w:r>
              <w:rPr>
                <w:sz w:val="12"/>
              </w:rPr>
              <w:t>MEDAI-PROPOSED-BACKED</w:t>
            </w:r>
          </w:p>
        </w:tc>
        <w:tc>
          <w:tcPr>
            <w:tcW w:type="dxa" w:w="3427"/>
            <w:vAlign w:val="top"/>
          </w:tcPr>
          <w:p>
            <w:pPr>
              <w:spacing w:after="0"/>
            </w:pPr>
            <w:r>
              <w:rPr>
                <w:sz w:val="12"/>
              </w:rPr>
              <w:t>Exact implementation is new, but established principles directly motivate it.</w:t>
            </w:r>
          </w:p>
        </w:tc>
        <w:tc>
          <w:tcPr>
            <w:tcW w:type="dxa" w:w="3427"/>
            <w:vAlign w:val="top"/>
          </w:tcPr>
          <w:p>
            <w:pPr>
              <w:spacing w:after="0"/>
            </w:pPr>
            <w:r>
              <w:rPr>
                <w:sz w:val="12"/>
              </w:rPr>
              <w:t>Use with deterministic tests; do not overclaim external standardization.</w:t>
            </w:r>
          </w:p>
        </w:tc>
      </w:tr>
      <w:tr>
        <w:tc>
          <w:tcPr>
            <w:tcW w:type="dxa" w:w="3427"/>
            <w:vAlign w:val="top"/>
          </w:tcPr>
          <w:p>
            <w:pPr>
              <w:spacing w:after="0"/>
            </w:pPr>
            <w:r>
              <w:rPr>
                <w:sz w:val="12"/>
              </w:rPr>
              <w:t>MEDAI-PROPOSED-EXPERIMENTAL</w:t>
            </w:r>
          </w:p>
        </w:tc>
        <w:tc>
          <w:tcPr>
            <w:tcW w:type="dxa" w:w="3427"/>
            <w:vAlign w:val="top"/>
          </w:tcPr>
          <w:p>
            <w:pPr>
              <w:spacing w:after="0"/>
            </w:pPr>
            <w:r>
              <w:rPr>
                <w:sz w:val="12"/>
              </w:rPr>
              <w:t>Novel method/hypothesis whose effectiveness is unknown.</w:t>
            </w:r>
          </w:p>
        </w:tc>
        <w:tc>
          <w:tcPr>
            <w:tcW w:type="dxa" w:w="3427"/>
            <w:vAlign w:val="top"/>
          </w:tcPr>
          <w:p>
            <w:pPr>
              <w:spacing w:after="0"/>
            </w:pPr>
            <w:r>
              <w:rPr>
                <w:sz w:val="12"/>
              </w:rPr>
              <w:t>Use only in experiments until validated.</w:t>
            </w:r>
          </w:p>
        </w:tc>
      </w:tr>
      <w:tr>
        <w:tc>
          <w:tcPr>
            <w:tcW w:type="dxa" w:w="3427"/>
            <w:vAlign w:val="top"/>
          </w:tcPr>
          <w:p>
            <w:pPr>
              <w:spacing w:after="0"/>
            </w:pPr>
            <w:r>
              <w:rPr>
                <w:sz w:val="12"/>
              </w:rPr>
              <w:t>UNSUPPORTED-CLINICAL</w:t>
            </w:r>
          </w:p>
        </w:tc>
        <w:tc>
          <w:tcPr>
            <w:tcW w:type="dxa" w:w="3427"/>
            <w:vAlign w:val="top"/>
          </w:tcPr>
          <w:p>
            <w:pPr>
              <w:spacing w:after="0"/>
            </w:pPr>
            <w:r>
              <w:rPr>
                <w:sz w:val="12"/>
              </w:rPr>
              <w:t>Clinical/workflow assumption without adequate source.</w:t>
            </w:r>
          </w:p>
        </w:tc>
        <w:tc>
          <w:tcPr>
            <w:tcW w:type="dxa" w:w="3427"/>
            <w:vAlign w:val="top"/>
          </w:tcPr>
          <w:p>
            <w:pPr>
              <w:spacing w:after="0"/>
            </w:pPr>
            <w:r>
              <w:rPr>
                <w:sz w:val="12"/>
              </w:rPr>
              <w:t>Prohibited.</w:t>
            </w:r>
          </w:p>
        </w:tc>
      </w:tr>
      <w:tr>
        <w:tc>
          <w:tcPr>
            <w:tcW w:type="dxa" w:w="3427"/>
            <w:vAlign w:val="top"/>
          </w:tcPr>
          <w:p>
            <w:pPr>
              <w:spacing w:after="0"/>
            </w:pPr>
            <w:r>
              <w:rPr>
                <w:sz w:val="12"/>
              </w:rPr>
              <w:t>BLOCKED</w:t>
            </w:r>
          </w:p>
        </w:tc>
        <w:tc>
          <w:tcPr>
            <w:tcW w:type="dxa" w:w="3427"/>
            <w:vAlign w:val="top"/>
          </w:tcPr>
          <w:p>
            <w:pPr>
              <w:spacing w:after="0"/>
            </w:pPr>
            <w:r>
              <w:rPr>
                <w:sz w:val="12"/>
              </w:rPr>
              <w:t>Claim requires evidence not yet obtained.</w:t>
            </w:r>
          </w:p>
        </w:tc>
        <w:tc>
          <w:tcPr>
            <w:tcW w:type="dxa" w:w="3427"/>
            <w:vAlign w:val="top"/>
          </w:tcPr>
          <w:p>
            <w:pPr>
              <w:spacing w:after="0"/>
            </w:pPr>
            <w:r>
              <w:rPr>
                <w:sz w:val="12"/>
              </w:rPr>
              <w:t>Do not assert/release.</w:t>
            </w:r>
          </w:p>
        </w:tc>
      </w:tr>
    </w:tbl>
    <w:p/>
    <w:p>
      <w:pPr>
        <w:pStyle w:val="Heading1"/>
      </w:pPr>
      <w:r>
        <w:t>3. Methodological sources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ID</w:t>
            </w:r>
          </w:p>
        </w:tc>
        <w:tc>
          <w:tcPr>
            <w:tcW w:type="dxa" w:w="3427"/>
            <w:shd w:fill="D9EAF7"/>
          </w:tcPr>
          <w:p>
            <w:r>
              <w:rPr>
                <w:b/>
                <w:sz w:val="12"/>
              </w:rPr>
              <w:t>Source</w:t>
            </w:r>
          </w:p>
        </w:tc>
        <w:tc>
          <w:tcPr>
            <w:tcW w:type="dxa" w:w="3427"/>
            <w:shd w:fill="D9EAF7"/>
          </w:tcPr>
          <w:p>
            <w:r>
              <w:rPr>
                <w:b/>
                <w:sz w:val="12"/>
              </w:rPr>
              <w:t>What it actually supports</w:t>
            </w:r>
          </w:p>
        </w:tc>
      </w:tr>
      <w:tr>
        <w:tc>
          <w:tcPr>
            <w:tcW w:type="dxa" w:w="3427"/>
            <w:vAlign w:val="top"/>
          </w:tcPr>
          <w:p>
            <w:pPr>
              <w:spacing w:after="0"/>
            </w:pPr>
            <w:r>
              <w:rPr>
                <w:sz w:val="11"/>
              </w:rPr>
              <w:t>MP-01</w:t>
            </w:r>
          </w:p>
        </w:tc>
        <w:tc>
          <w:tcPr>
            <w:tcW w:type="dxa" w:w="3427"/>
            <w:vAlign w:val="top"/>
          </w:tcPr>
          <w:p>
            <w:pPr>
              <w:spacing w:after="0"/>
            </w:pPr>
            <w:r>
              <w:rPr>
                <w:sz w:val="11"/>
              </w:rPr>
              <w:t>W3C PROV-DM</w:t>
            </w:r>
          </w:p>
        </w:tc>
        <w:tc>
          <w:tcPr>
            <w:tcW w:type="dxa" w:w="3427"/>
            <w:vAlign w:val="top"/>
          </w:tcPr>
          <w:p>
            <w:pPr>
              <w:spacing w:after="0"/>
            </w:pPr>
            <w:r>
              <w:rPr>
                <w:sz w:val="11"/>
              </w:rPr>
              <w:t>Provenance model: entities, activities, agents, derivation, time, responsibility.</w:t>
            </w:r>
          </w:p>
        </w:tc>
      </w:tr>
      <w:tr>
        <w:tc>
          <w:tcPr>
            <w:tcW w:type="dxa" w:w="3427"/>
            <w:vAlign w:val="top"/>
          </w:tcPr>
          <w:p>
            <w:pPr>
              <w:spacing w:after="0"/>
            </w:pPr>
            <w:r>
              <w:rPr>
                <w:sz w:val="11"/>
              </w:rPr>
              <w:t>MP-02</w:t>
            </w:r>
          </w:p>
        </w:tc>
        <w:tc>
          <w:tcPr>
            <w:tcW w:type="dxa" w:w="3427"/>
            <w:vAlign w:val="top"/>
          </w:tcPr>
          <w:p>
            <w:pPr>
              <w:spacing w:after="0"/>
            </w:pPr>
            <w:r>
              <w:rPr>
                <w:sz w:val="11"/>
              </w:rPr>
              <w:t>Gebru et al. 2021, Datasheets for Datasets</w:t>
            </w:r>
          </w:p>
        </w:tc>
        <w:tc>
          <w:tcPr>
            <w:tcW w:type="dxa" w:w="3427"/>
            <w:vAlign w:val="top"/>
          </w:tcPr>
          <w:p>
            <w:pPr>
              <w:spacing w:after="0"/>
            </w:pPr>
            <w:r>
              <w:rPr>
                <w:sz w:val="11"/>
              </w:rPr>
              <w:t>Dataset documentation: motivation, composition, collection process, recommended uses; transparency/accountability.</w:t>
            </w:r>
          </w:p>
        </w:tc>
      </w:tr>
      <w:tr>
        <w:tc>
          <w:tcPr>
            <w:tcW w:type="dxa" w:w="3427"/>
            <w:vAlign w:val="top"/>
          </w:tcPr>
          <w:p>
            <w:pPr>
              <w:spacing w:after="0"/>
            </w:pPr>
            <w:r>
              <w:rPr>
                <w:sz w:val="11"/>
              </w:rPr>
              <w:t>MP-03</w:t>
            </w:r>
          </w:p>
        </w:tc>
        <w:tc>
          <w:tcPr>
            <w:tcW w:type="dxa" w:w="3427"/>
            <w:vAlign w:val="top"/>
          </w:tcPr>
          <w:p>
            <w:pPr>
              <w:spacing w:after="0"/>
            </w:pPr>
            <w:r>
              <w:rPr>
                <w:sz w:val="11"/>
              </w:rPr>
              <w:t>Bender &amp; Friedman 2018, Data Statements for NLP</w:t>
            </w:r>
          </w:p>
        </w:tc>
        <w:tc>
          <w:tcPr>
            <w:tcW w:type="dxa" w:w="3427"/>
            <w:vAlign w:val="top"/>
          </w:tcPr>
          <w:p>
            <w:pPr>
              <w:spacing w:after="0"/>
            </w:pPr>
            <w:r>
              <w:rPr>
                <w:sz w:val="11"/>
              </w:rPr>
              <w:t>NLP dataset documentation to improve precision of generalization claims and address bias/exclusion.</w:t>
            </w:r>
          </w:p>
        </w:tc>
      </w:tr>
      <w:tr>
        <w:tc>
          <w:tcPr>
            <w:tcW w:type="dxa" w:w="3427"/>
            <w:vAlign w:val="top"/>
          </w:tcPr>
          <w:p>
            <w:pPr>
              <w:spacing w:after="0"/>
            </w:pPr>
            <w:r>
              <w:rPr>
                <w:sz w:val="11"/>
              </w:rPr>
              <w:t>MP-04</w:t>
            </w:r>
          </w:p>
        </w:tc>
        <w:tc>
          <w:tcPr>
            <w:tcW w:type="dxa" w:w="3427"/>
            <w:vAlign w:val="top"/>
          </w:tcPr>
          <w:p>
            <w:pPr>
              <w:spacing w:after="0"/>
            </w:pPr>
            <w:r>
              <w:rPr>
                <w:sz w:val="11"/>
              </w:rPr>
              <w:t>Mitchell et al. 2019, Model Cards for Model Reporting</w:t>
            </w:r>
          </w:p>
        </w:tc>
        <w:tc>
          <w:tcPr>
            <w:tcW w:type="dxa" w:w="3427"/>
            <w:vAlign w:val="top"/>
          </w:tcPr>
          <w:p>
            <w:pPr>
              <w:spacing w:after="0"/>
            </w:pPr>
            <w:r>
              <w:rPr>
                <w:sz w:val="11"/>
              </w:rPr>
              <w:t>Document intended use, evaluation procedures, performance characteristics and relevant groups/contexts.</w:t>
            </w:r>
          </w:p>
        </w:tc>
      </w:tr>
      <w:tr>
        <w:tc>
          <w:tcPr>
            <w:tcW w:type="dxa" w:w="3427"/>
            <w:vAlign w:val="top"/>
          </w:tcPr>
          <w:p>
            <w:pPr>
              <w:spacing w:after="0"/>
            </w:pPr>
            <w:r>
              <w:rPr>
                <w:sz w:val="11"/>
              </w:rPr>
              <w:t>MP-05</w:t>
            </w:r>
          </w:p>
        </w:tc>
        <w:tc>
          <w:tcPr>
            <w:tcW w:type="dxa" w:w="3427"/>
            <w:vAlign w:val="top"/>
          </w:tcPr>
          <w:p>
            <w:pPr>
              <w:spacing w:after="0"/>
            </w:pPr>
            <w:r>
              <w:rPr>
                <w:sz w:val="11"/>
              </w:rPr>
              <w:t>Collins et al. 2024, TRIPOD+AI</w:t>
            </w:r>
          </w:p>
        </w:tc>
        <w:tc>
          <w:tcPr>
            <w:tcW w:type="dxa" w:w="3427"/>
            <w:vAlign w:val="top"/>
          </w:tcPr>
          <w:p>
            <w:pPr>
              <w:spacing w:after="0"/>
            </w:pPr>
            <w:r>
              <w:rPr>
                <w:sz w:val="11"/>
              </w:rPr>
              <w:t>Transparent, complete reporting of prediction-model studies; explicitly a reporting guideline, not a method-development prescription.</w:t>
            </w:r>
          </w:p>
        </w:tc>
      </w:tr>
      <w:tr>
        <w:tc>
          <w:tcPr>
            <w:tcW w:type="dxa" w:w="3427"/>
            <w:vAlign w:val="top"/>
          </w:tcPr>
          <w:p>
            <w:pPr>
              <w:spacing w:after="0"/>
            </w:pPr>
            <w:r>
              <w:rPr>
                <w:sz w:val="11"/>
              </w:rPr>
              <w:t>MP-06</w:t>
            </w:r>
          </w:p>
        </w:tc>
        <w:tc>
          <w:tcPr>
            <w:tcW w:type="dxa" w:w="3427"/>
            <w:vAlign w:val="top"/>
          </w:tcPr>
          <w:p>
            <w:pPr>
              <w:spacing w:after="0"/>
            </w:pPr>
            <w:r>
              <w:rPr>
                <w:sz w:val="11"/>
              </w:rPr>
              <w:t>Liu et al. 2020, CONSORT-AI</w:t>
            </w:r>
          </w:p>
        </w:tc>
        <w:tc>
          <w:tcPr>
            <w:tcW w:type="dxa" w:w="3427"/>
            <w:vAlign w:val="top"/>
          </w:tcPr>
          <w:p>
            <w:pPr>
              <w:spacing w:after="0"/>
            </w:pPr>
            <w:r>
              <w:rPr>
                <w:sz w:val="11"/>
              </w:rPr>
              <w:t>AI intervention reporting: intended use, input/output handling, algorithm version, human-AI interaction, error-case analysis.</w:t>
            </w:r>
          </w:p>
        </w:tc>
      </w:tr>
      <w:tr>
        <w:tc>
          <w:tcPr>
            <w:tcW w:type="dxa" w:w="3427"/>
            <w:vAlign w:val="top"/>
          </w:tcPr>
          <w:p>
            <w:pPr>
              <w:spacing w:after="0"/>
            </w:pPr>
            <w:r>
              <w:rPr>
                <w:sz w:val="11"/>
              </w:rPr>
              <w:t>MP-07</w:t>
            </w:r>
          </w:p>
        </w:tc>
        <w:tc>
          <w:tcPr>
            <w:tcW w:type="dxa" w:w="3427"/>
            <w:vAlign w:val="top"/>
          </w:tcPr>
          <w:p>
            <w:pPr>
              <w:spacing w:after="0"/>
            </w:pPr>
            <w:r>
              <w:rPr>
                <w:sz w:val="11"/>
              </w:rPr>
              <w:t>Kaabachi et al. 2025</w:t>
            </w:r>
          </w:p>
        </w:tc>
        <w:tc>
          <w:tcPr>
            <w:tcW w:type="dxa" w:w="3427"/>
            <w:vAlign w:val="top"/>
          </w:tcPr>
          <w:p>
            <w:pPr>
              <w:spacing w:after="0"/>
            </w:pPr>
            <w:r>
              <w:rPr>
                <w:sz w:val="11"/>
              </w:rPr>
              <w:t>Synthetic health data evaluation review: no consensus standard; utility and privacy require empirical evaluation; privacy often under-evaluated.</w:t>
            </w:r>
          </w:p>
        </w:tc>
      </w:tr>
      <w:tr>
        <w:tc>
          <w:tcPr>
            <w:tcW w:type="dxa" w:w="3427"/>
            <w:vAlign w:val="top"/>
          </w:tcPr>
          <w:p>
            <w:pPr>
              <w:spacing w:after="0"/>
            </w:pPr>
            <w:r>
              <w:rPr>
                <w:sz w:val="11"/>
              </w:rPr>
              <w:t>MP-08</w:t>
            </w:r>
          </w:p>
        </w:tc>
        <w:tc>
          <w:tcPr>
            <w:tcW w:type="dxa" w:w="3427"/>
            <w:vAlign w:val="top"/>
          </w:tcPr>
          <w:p>
            <w:pPr>
              <w:spacing w:after="0"/>
            </w:pPr>
            <w:r>
              <w:rPr>
                <w:sz w:val="11"/>
              </w:rPr>
              <w:t>Fonferko-Shadrach et al. 2024</w:t>
            </w:r>
          </w:p>
        </w:tc>
        <w:tc>
          <w:tcPr>
            <w:tcW w:type="dxa" w:w="3427"/>
            <w:vAlign w:val="top"/>
          </w:tcPr>
          <w:p>
            <w:pPr>
              <w:spacing w:after="0"/>
            </w:pPr>
            <w:r>
              <w:rPr>
                <w:sz w:val="11"/>
              </w:rPr>
              <w:t>Epilepsy-specific synthetic clinic-letter precedent; double annotation and consensus gold.</w:t>
            </w:r>
          </w:p>
        </w:tc>
      </w:tr>
      <w:tr>
        <w:tc>
          <w:tcPr>
            <w:tcW w:type="dxa" w:w="3427"/>
            <w:vAlign w:val="top"/>
          </w:tcPr>
          <w:p>
            <w:pPr>
              <w:spacing w:after="0"/>
            </w:pPr>
            <w:r>
              <w:rPr>
                <w:sz w:val="11"/>
              </w:rPr>
              <w:t>MP-09</w:t>
            </w:r>
          </w:p>
        </w:tc>
        <w:tc>
          <w:tcPr>
            <w:tcW w:type="dxa" w:w="3427"/>
            <w:vAlign w:val="top"/>
          </w:tcPr>
          <w:p>
            <w:pPr>
              <w:spacing w:after="0"/>
            </w:pPr>
            <w:r>
              <w:rPr>
                <w:sz w:val="11"/>
              </w:rPr>
              <w:t>MedAI Phases 3C/4/5/6A/6B</w:t>
            </w:r>
          </w:p>
        </w:tc>
        <w:tc>
          <w:tcPr>
            <w:tcW w:type="dxa" w:w="3427"/>
            <w:vAlign w:val="top"/>
          </w:tcPr>
          <w:p>
            <w:pPr>
              <w:spacing w:after="0"/>
            </w:pPr>
            <w:r>
              <w:rPr>
                <w:sz w:val="11"/>
              </w:rPr>
              <w:t>Project-specific assertion, provenance, latent-event, source-audit and evidence-constrained generation constructs.</w:t>
            </w:r>
          </w:p>
        </w:tc>
      </w:tr>
    </w:tbl>
    <w:p/>
    <w:p>
      <w:pPr>
        <w:pStyle w:val="Heading1"/>
      </w:pPr>
      <w:r>
        <w:t>4. Why these sources are relevant—and their limits</w:t>
      </w:r>
    </w:p>
    <w:p>
      <w:r>
        <w:t>W3C PROV-DM provides a formal provenance model involving entities, activities, agents and derivations. It supports the general idea that generated artifacts should retain derivation/provenance, but MedAI has not implemented or tested full W3C PROV conformance.</w:t>
      </w:r>
    </w:p>
    <w:p>
      <w:r>
        <w:t>Datasheets for Datasets, Data Statements, and Model Cards support explicit documentation of dataset/model origins, intended uses, evaluation and limitations. They justify documentation practices, not MedAI clinical semantics.</w:t>
      </w:r>
    </w:p>
    <w:p>
      <w:r>
        <w:t>TRIPOD+AI and CONSORT-AI support transparent reporting principles. TRIPOD+AI explicitly states that it is a reporting guideline rather than a prescription for model development/evaluation. CONSORT-AI is scoped to clinical trials of AI interventions. MedAI therefore adapts transparency/version/error-analysis principles without claiming compliance.</w:t>
      </w:r>
    </w:p>
    <w:p>
      <w:r>
        <w:t>The 2025 synthetic-health-data review found no consensus standardized evaluation approach and warned that privacy is frequently not empirically evaluated. That evidence argues against inventing universal quality thresholds or claiming that synthetic data is inherently private.</w:t>
      </w:r>
    </w:p>
    <w:p>
      <w:pPr>
        <w:pStyle w:val="Heading1"/>
      </w:pPr>
      <w:r>
        <w:t>5. Full MedAI-proposed construct audit</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tcPr>
          <w:p>
            <w:r>
              <w:rPr>
                <w:b/>
                <w:sz w:val="11"/>
              </w:rPr>
              <w:t>Construct</w:t>
            </w:r>
          </w:p>
        </w:tc>
        <w:tc>
          <w:tcPr>
            <w:tcW w:type="dxa" w:w="2056"/>
            <w:shd w:fill="D9EAF7"/>
          </w:tcPr>
          <w:p>
            <w:r>
              <w:rPr>
                <w:b/>
                <w:sz w:val="11"/>
              </w:rPr>
              <w:t>Classification</w:t>
            </w:r>
          </w:p>
        </w:tc>
        <w:tc>
          <w:tcPr>
            <w:tcW w:type="dxa" w:w="2056"/>
            <w:shd w:fill="D9EAF7"/>
          </w:tcPr>
          <w:p>
            <w:r>
              <w:rPr>
                <w:b/>
                <w:sz w:val="11"/>
              </w:rPr>
              <w:t>Backing</w:t>
            </w:r>
          </w:p>
        </w:tc>
        <w:tc>
          <w:tcPr>
            <w:tcW w:type="dxa" w:w="2056"/>
            <w:shd w:fill="D9EAF7"/>
          </w:tcPr>
          <w:p>
            <w:r>
              <w:rPr>
                <w:b/>
                <w:sz w:val="11"/>
              </w:rPr>
              <w:t>Validation / action</w:t>
            </w:r>
          </w:p>
        </w:tc>
        <w:tc>
          <w:tcPr>
            <w:tcW w:type="dxa" w:w="2056"/>
            <w:shd w:fill="D9EAF7"/>
          </w:tcPr>
          <w:p>
            <w:r>
              <w:rPr>
                <w:b/>
                <w:sz w:val="11"/>
              </w:rPr>
              <w:t>Gate</w:t>
            </w:r>
          </w:p>
        </w:tc>
      </w:tr>
      <w:tr>
        <w:tc>
          <w:tcPr>
            <w:tcW w:type="dxa" w:w="2056"/>
            <w:vAlign w:val="top"/>
          </w:tcPr>
          <w:p>
            <w:pPr>
              <w:spacing w:after="0"/>
            </w:pPr>
            <w:r>
              <w:rPr>
                <w:sz w:val="10"/>
              </w:rPr>
              <w:t>patient_id</w:t>
            </w:r>
          </w:p>
        </w:tc>
        <w:tc>
          <w:tcPr>
            <w:tcW w:type="dxa" w:w="2056"/>
            <w:vAlign w:val="top"/>
          </w:tcPr>
          <w:p>
            <w:pPr>
              <w:spacing w:after="0"/>
            </w:pPr>
            <w:r>
              <w:rPr>
                <w:sz w:val="10"/>
              </w:rPr>
              <w:t>MEDAI-PROPOSED-BACKED</w:t>
            </w:r>
          </w:p>
        </w:tc>
        <w:tc>
          <w:tcPr>
            <w:tcW w:type="dxa" w:w="2056"/>
            <w:vAlign w:val="top"/>
          </w:tcPr>
          <w:p>
            <w:pPr>
              <w:spacing w:after="0"/>
            </w:pPr>
            <w:r>
              <w:rPr>
                <w:sz w:val="10"/>
              </w:rPr>
              <w:t>MP-02;MP-09</w:t>
            </w:r>
          </w:p>
        </w:tc>
        <w:tc>
          <w:tcPr>
            <w:tcW w:type="dxa" w:w="2056"/>
            <w:vAlign w:val="top"/>
          </w:tcPr>
          <w:p>
            <w:pPr>
              <w:spacing w:after="0"/>
            </w:pPr>
            <w:r>
              <w:rPr>
                <w:sz w:val="10"/>
              </w:rPr>
              <w:t>Structural integrity tests</w:t>
            </w:r>
          </w:p>
        </w:tc>
        <w:tc>
          <w:tcPr>
            <w:tcW w:type="dxa" w:w="2056"/>
            <w:vAlign w:val="top"/>
          </w:tcPr>
          <w:p>
            <w:pPr>
              <w:spacing w:after="0"/>
            </w:pPr>
            <w:r>
              <w:rPr>
                <w:sz w:val="10"/>
              </w:rPr>
              <w:t>ACCEPT</w:t>
            </w:r>
          </w:p>
        </w:tc>
      </w:tr>
      <w:tr>
        <w:tc>
          <w:tcPr>
            <w:tcW w:type="dxa" w:w="2056"/>
            <w:vAlign w:val="top"/>
          </w:tcPr>
          <w:p>
            <w:pPr>
              <w:spacing w:after="0"/>
            </w:pPr>
            <w:r>
              <w:rPr>
                <w:sz w:val="10"/>
              </w:rPr>
              <w:t>event_id</w:t>
            </w:r>
          </w:p>
        </w:tc>
        <w:tc>
          <w:tcPr>
            <w:tcW w:type="dxa" w:w="2056"/>
            <w:vAlign w:val="top"/>
          </w:tcPr>
          <w:p>
            <w:pPr>
              <w:spacing w:after="0"/>
            </w:pPr>
            <w:r>
              <w:rPr>
                <w:sz w:val="10"/>
              </w:rPr>
              <w:t>MEDAI-PROPOSED-BACKED</w:t>
            </w:r>
          </w:p>
        </w:tc>
        <w:tc>
          <w:tcPr>
            <w:tcW w:type="dxa" w:w="2056"/>
            <w:vAlign w:val="top"/>
          </w:tcPr>
          <w:p>
            <w:pPr>
              <w:spacing w:after="0"/>
            </w:pPr>
            <w:r>
              <w:rPr>
                <w:sz w:val="10"/>
              </w:rPr>
              <w:t>MP-01;MP-09</w:t>
            </w:r>
          </w:p>
        </w:tc>
        <w:tc>
          <w:tcPr>
            <w:tcW w:type="dxa" w:w="2056"/>
            <w:vAlign w:val="top"/>
          </w:tcPr>
          <w:p>
            <w:pPr>
              <w:spacing w:after="0"/>
            </w:pPr>
            <w:r>
              <w:rPr>
                <w:sz w:val="10"/>
              </w:rPr>
              <w:t>Referential-integrity tests</w:t>
            </w:r>
          </w:p>
        </w:tc>
        <w:tc>
          <w:tcPr>
            <w:tcW w:type="dxa" w:w="2056"/>
            <w:vAlign w:val="top"/>
          </w:tcPr>
          <w:p>
            <w:pPr>
              <w:spacing w:after="0"/>
            </w:pPr>
            <w:r>
              <w:rPr>
                <w:sz w:val="10"/>
              </w:rPr>
              <w:t>ACCEPT</w:t>
            </w:r>
          </w:p>
        </w:tc>
      </w:tr>
      <w:tr>
        <w:tc>
          <w:tcPr>
            <w:tcW w:type="dxa" w:w="2056"/>
            <w:vAlign w:val="top"/>
          </w:tcPr>
          <w:p>
            <w:pPr>
              <w:spacing w:after="0"/>
            </w:pPr>
            <w:r>
              <w:rPr>
                <w:sz w:val="10"/>
              </w:rPr>
              <w:t>assertion_id</w:t>
            </w:r>
          </w:p>
        </w:tc>
        <w:tc>
          <w:tcPr>
            <w:tcW w:type="dxa" w:w="2056"/>
            <w:vAlign w:val="top"/>
          </w:tcPr>
          <w:p>
            <w:pPr>
              <w:spacing w:after="0"/>
            </w:pPr>
            <w:r>
              <w:rPr>
                <w:sz w:val="10"/>
              </w:rPr>
              <w:t>MEDAI-PROPOSED-BACKED</w:t>
            </w:r>
          </w:p>
        </w:tc>
        <w:tc>
          <w:tcPr>
            <w:tcW w:type="dxa" w:w="2056"/>
            <w:vAlign w:val="top"/>
          </w:tcPr>
          <w:p>
            <w:pPr>
              <w:spacing w:after="0"/>
            </w:pPr>
            <w:r>
              <w:rPr>
                <w:sz w:val="10"/>
              </w:rPr>
              <w:t>MP-01;MP-08;MP-09</w:t>
            </w:r>
          </w:p>
        </w:tc>
        <w:tc>
          <w:tcPr>
            <w:tcW w:type="dxa" w:w="2056"/>
            <w:vAlign w:val="top"/>
          </w:tcPr>
          <w:p>
            <w:pPr>
              <w:spacing w:after="0"/>
            </w:pPr>
            <w:r>
              <w:rPr>
                <w:sz w:val="10"/>
              </w:rPr>
              <w:t>Uniqueness/referential integrity</w:t>
            </w:r>
          </w:p>
        </w:tc>
        <w:tc>
          <w:tcPr>
            <w:tcW w:type="dxa" w:w="2056"/>
            <w:vAlign w:val="top"/>
          </w:tcPr>
          <w:p>
            <w:pPr>
              <w:spacing w:after="0"/>
            </w:pPr>
            <w:r>
              <w:rPr>
                <w:sz w:val="10"/>
              </w:rPr>
              <w:t>ACCEPT</w:t>
            </w:r>
          </w:p>
        </w:tc>
      </w:tr>
      <w:tr>
        <w:tc>
          <w:tcPr>
            <w:tcW w:type="dxa" w:w="2056"/>
            <w:vAlign w:val="top"/>
          </w:tcPr>
          <w:p>
            <w:pPr>
              <w:spacing w:after="0"/>
            </w:pPr>
            <w:r>
              <w:rPr>
                <w:sz w:val="10"/>
              </w:rPr>
              <w:t>source_event_ids</w:t>
            </w:r>
          </w:p>
        </w:tc>
        <w:tc>
          <w:tcPr>
            <w:tcW w:type="dxa" w:w="2056"/>
            <w:vAlign w:val="top"/>
          </w:tcPr>
          <w:p>
            <w:pPr>
              <w:spacing w:after="0"/>
            </w:pPr>
            <w:r>
              <w:rPr>
                <w:sz w:val="10"/>
              </w:rPr>
              <w:t>MEDAI-PROPOSED-BACKED</w:t>
            </w:r>
          </w:p>
        </w:tc>
        <w:tc>
          <w:tcPr>
            <w:tcW w:type="dxa" w:w="2056"/>
            <w:vAlign w:val="top"/>
          </w:tcPr>
          <w:p>
            <w:pPr>
              <w:spacing w:after="0"/>
            </w:pPr>
            <w:r>
              <w:rPr>
                <w:sz w:val="10"/>
              </w:rPr>
              <w:t>MP-01;MP-09</w:t>
            </w:r>
          </w:p>
        </w:tc>
        <w:tc>
          <w:tcPr>
            <w:tcW w:type="dxa" w:w="2056"/>
            <w:vAlign w:val="top"/>
          </w:tcPr>
          <w:p>
            <w:pPr>
              <w:spacing w:after="0"/>
            </w:pPr>
            <w:r>
              <w:rPr>
                <w:sz w:val="10"/>
              </w:rPr>
              <w:t>100% traceability required in pilot</w:t>
            </w:r>
          </w:p>
        </w:tc>
        <w:tc>
          <w:tcPr>
            <w:tcW w:type="dxa" w:w="2056"/>
            <w:vAlign w:val="top"/>
          </w:tcPr>
          <w:p>
            <w:pPr>
              <w:spacing w:after="0"/>
            </w:pPr>
            <w:r>
              <w:rPr>
                <w:sz w:val="10"/>
              </w:rPr>
              <w:t>ACCEPT</w:t>
            </w:r>
          </w:p>
        </w:tc>
      </w:tr>
      <w:tr>
        <w:tc>
          <w:tcPr>
            <w:tcW w:type="dxa" w:w="2056"/>
            <w:vAlign w:val="top"/>
          </w:tcPr>
          <w:p>
            <w:pPr>
              <w:spacing w:after="0"/>
            </w:pPr>
            <w:r>
              <w:rPr>
                <w:sz w:val="10"/>
              </w:rPr>
              <w:t>evidence_span_offsets</w:t>
            </w:r>
          </w:p>
        </w:tc>
        <w:tc>
          <w:tcPr>
            <w:tcW w:type="dxa" w:w="2056"/>
            <w:vAlign w:val="top"/>
          </w:tcPr>
          <w:p>
            <w:pPr>
              <w:spacing w:after="0"/>
            </w:pPr>
            <w:r>
              <w:rPr>
                <w:sz w:val="10"/>
              </w:rPr>
              <w:t>LITERATURE-ADAPTED</w:t>
            </w:r>
          </w:p>
        </w:tc>
        <w:tc>
          <w:tcPr>
            <w:tcW w:type="dxa" w:w="2056"/>
            <w:vAlign w:val="top"/>
          </w:tcPr>
          <w:p>
            <w:pPr>
              <w:spacing w:after="0"/>
            </w:pPr>
            <w:r>
              <w:rPr>
                <w:sz w:val="10"/>
              </w:rPr>
              <w:t>MP-08;MP-09</w:t>
            </w:r>
          </w:p>
        </w:tc>
        <w:tc>
          <w:tcPr>
            <w:tcW w:type="dxa" w:w="2056"/>
            <w:vAlign w:val="top"/>
          </w:tcPr>
          <w:p>
            <w:pPr>
              <w:spacing w:after="0"/>
            </w:pPr>
            <w:r>
              <w:rPr>
                <w:sz w:val="10"/>
              </w:rPr>
              <w:t>Exact substring equality + annotator review</w:t>
            </w:r>
          </w:p>
        </w:tc>
        <w:tc>
          <w:tcPr>
            <w:tcW w:type="dxa" w:w="2056"/>
            <w:vAlign w:val="top"/>
          </w:tcPr>
          <w:p>
            <w:pPr>
              <w:spacing w:after="0"/>
            </w:pPr>
            <w:r>
              <w:rPr>
                <w:sz w:val="10"/>
              </w:rPr>
              <w:t>ACCEPT</w:t>
            </w:r>
          </w:p>
        </w:tc>
      </w:tr>
      <w:tr>
        <w:tc>
          <w:tcPr>
            <w:tcW w:type="dxa" w:w="2056"/>
            <w:vAlign w:val="top"/>
          </w:tcPr>
          <w:p>
            <w:pPr>
              <w:spacing w:after="0"/>
            </w:pPr>
            <w:r>
              <w:rPr>
                <w:sz w:val="10"/>
              </w:rPr>
              <w:t>provenance_status</w:t>
            </w:r>
          </w:p>
        </w:tc>
        <w:tc>
          <w:tcPr>
            <w:tcW w:type="dxa" w:w="2056"/>
            <w:vAlign w:val="top"/>
          </w:tcPr>
          <w:p>
            <w:pPr>
              <w:spacing w:after="0"/>
            </w:pPr>
            <w:r>
              <w:rPr>
                <w:sz w:val="10"/>
              </w:rPr>
              <w:t>MEDAI-PROPOSED-BACKED</w:t>
            </w:r>
          </w:p>
        </w:tc>
        <w:tc>
          <w:tcPr>
            <w:tcW w:type="dxa" w:w="2056"/>
            <w:vAlign w:val="top"/>
          </w:tcPr>
          <w:p>
            <w:pPr>
              <w:spacing w:after="0"/>
            </w:pPr>
            <w:r>
              <w:rPr>
                <w:sz w:val="10"/>
              </w:rPr>
              <w:t>MP-01;MP-09</w:t>
            </w:r>
          </w:p>
        </w:tc>
        <w:tc>
          <w:tcPr>
            <w:tcW w:type="dxa" w:w="2056"/>
            <w:vAlign w:val="top"/>
          </w:tcPr>
          <w:p>
            <w:pPr>
              <w:spacing w:after="0"/>
            </w:pPr>
            <w:r>
              <w:rPr>
                <w:sz w:val="10"/>
              </w:rPr>
              <w:t>Schema tests + audit sample</w:t>
            </w:r>
          </w:p>
        </w:tc>
        <w:tc>
          <w:tcPr>
            <w:tcW w:type="dxa" w:w="2056"/>
            <w:vAlign w:val="top"/>
          </w:tcPr>
          <w:p>
            <w:pPr>
              <w:spacing w:after="0"/>
            </w:pPr>
            <w:r>
              <w:rPr>
                <w:sz w:val="10"/>
              </w:rPr>
              <w:t>ACCEPT</w:t>
            </w:r>
          </w:p>
        </w:tc>
      </w:tr>
      <w:tr>
        <w:tc>
          <w:tcPr>
            <w:tcW w:type="dxa" w:w="2056"/>
            <w:vAlign w:val="top"/>
          </w:tcPr>
          <w:p>
            <w:pPr>
              <w:spacing w:after="0"/>
            </w:pPr>
            <w:r>
              <w:rPr>
                <w:sz w:val="10"/>
              </w:rPr>
              <w:t>generation_source_registry</w:t>
            </w:r>
          </w:p>
        </w:tc>
        <w:tc>
          <w:tcPr>
            <w:tcW w:type="dxa" w:w="2056"/>
            <w:vAlign w:val="top"/>
          </w:tcPr>
          <w:p>
            <w:pPr>
              <w:spacing w:after="0"/>
            </w:pPr>
            <w:r>
              <w:rPr>
                <w:sz w:val="10"/>
              </w:rPr>
              <w:t>MEDAI-PROPOSED-BACKED</w:t>
            </w:r>
          </w:p>
        </w:tc>
        <w:tc>
          <w:tcPr>
            <w:tcW w:type="dxa" w:w="2056"/>
            <w:vAlign w:val="top"/>
          </w:tcPr>
          <w:p>
            <w:pPr>
              <w:spacing w:after="0"/>
            </w:pPr>
            <w:r>
              <w:rPr>
                <w:sz w:val="10"/>
              </w:rPr>
              <w:t>MP-02;MP-03;MP-09</w:t>
            </w:r>
          </w:p>
        </w:tc>
        <w:tc>
          <w:tcPr>
            <w:tcW w:type="dxa" w:w="2056"/>
            <w:vAlign w:val="top"/>
          </w:tcPr>
          <w:p>
            <w:pPr>
              <w:spacing w:after="0"/>
            </w:pPr>
            <w:r>
              <w:rPr>
                <w:sz w:val="10"/>
              </w:rPr>
              <w:t>Completeness audit</w:t>
            </w:r>
          </w:p>
        </w:tc>
        <w:tc>
          <w:tcPr>
            <w:tcW w:type="dxa" w:w="2056"/>
            <w:vAlign w:val="top"/>
          </w:tcPr>
          <w:p>
            <w:pPr>
              <w:spacing w:after="0"/>
            </w:pPr>
            <w:r>
              <w:rPr>
                <w:sz w:val="10"/>
              </w:rPr>
              <w:t>ACCEPT</w:t>
            </w:r>
          </w:p>
        </w:tc>
      </w:tr>
      <w:tr>
        <w:tc>
          <w:tcPr>
            <w:tcW w:type="dxa" w:w="2056"/>
            <w:vAlign w:val="top"/>
          </w:tcPr>
          <w:p>
            <w:pPr>
              <w:spacing w:after="0"/>
            </w:pPr>
            <w:r>
              <w:rPr>
                <w:sz w:val="10"/>
              </w:rPr>
              <w:t>renderer_id_version</w:t>
            </w:r>
          </w:p>
        </w:tc>
        <w:tc>
          <w:tcPr>
            <w:tcW w:type="dxa" w:w="2056"/>
            <w:vAlign w:val="top"/>
          </w:tcPr>
          <w:p>
            <w:pPr>
              <w:spacing w:after="0"/>
            </w:pPr>
            <w:r>
              <w:rPr>
                <w:sz w:val="10"/>
              </w:rPr>
              <w:t>LITERATURE-ADAPTED</w:t>
            </w:r>
          </w:p>
        </w:tc>
        <w:tc>
          <w:tcPr>
            <w:tcW w:type="dxa" w:w="2056"/>
            <w:vAlign w:val="top"/>
          </w:tcPr>
          <w:p>
            <w:pPr>
              <w:spacing w:after="0"/>
            </w:pPr>
            <w:r>
              <w:rPr>
                <w:sz w:val="10"/>
              </w:rPr>
              <w:t>MP-04;MP-06</w:t>
            </w:r>
          </w:p>
        </w:tc>
        <w:tc>
          <w:tcPr>
            <w:tcW w:type="dxa" w:w="2056"/>
            <w:vAlign w:val="top"/>
          </w:tcPr>
          <w:p>
            <w:pPr>
              <w:spacing w:after="0"/>
            </w:pPr>
            <w:r>
              <w:rPr>
                <w:sz w:val="10"/>
              </w:rPr>
              <w:t>Metadata completeness</w:t>
            </w:r>
          </w:p>
        </w:tc>
        <w:tc>
          <w:tcPr>
            <w:tcW w:type="dxa" w:w="2056"/>
            <w:vAlign w:val="top"/>
          </w:tcPr>
          <w:p>
            <w:pPr>
              <w:spacing w:after="0"/>
            </w:pPr>
            <w:r>
              <w:rPr>
                <w:sz w:val="10"/>
              </w:rPr>
              <w:t>ACCEPT</w:t>
            </w:r>
          </w:p>
        </w:tc>
      </w:tr>
      <w:tr>
        <w:tc>
          <w:tcPr>
            <w:tcW w:type="dxa" w:w="2056"/>
            <w:vAlign w:val="top"/>
          </w:tcPr>
          <w:p>
            <w:pPr>
              <w:spacing w:after="0"/>
            </w:pPr>
            <w:r>
              <w:rPr>
                <w:sz w:val="10"/>
              </w:rPr>
              <w:t>intended_use_and_limits</w:t>
            </w:r>
          </w:p>
        </w:tc>
        <w:tc>
          <w:tcPr>
            <w:tcW w:type="dxa" w:w="2056"/>
            <w:vAlign w:val="top"/>
          </w:tcPr>
          <w:p>
            <w:pPr>
              <w:spacing w:after="0"/>
            </w:pPr>
            <w:r>
              <w:rPr>
                <w:sz w:val="10"/>
              </w:rPr>
              <w:t>LITERATURE-ADAPTED</w:t>
            </w:r>
          </w:p>
        </w:tc>
        <w:tc>
          <w:tcPr>
            <w:tcW w:type="dxa" w:w="2056"/>
            <w:vAlign w:val="top"/>
          </w:tcPr>
          <w:p>
            <w:pPr>
              <w:spacing w:after="0"/>
            </w:pPr>
            <w:r>
              <w:rPr>
                <w:sz w:val="10"/>
              </w:rPr>
              <w:t>MP-02;MP-04;MP-05</w:t>
            </w:r>
          </w:p>
        </w:tc>
        <w:tc>
          <w:tcPr>
            <w:tcW w:type="dxa" w:w="2056"/>
            <w:vAlign w:val="top"/>
          </w:tcPr>
          <w:p>
            <w:pPr>
              <w:spacing w:after="0"/>
            </w:pPr>
            <w:r>
              <w:rPr>
                <w:sz w:val="10"/>
              </w:rPr>
              <w:t>Documentation review</w:t>
            </w:r>
          </w:p>
        </w:tc>
        <w:tc>
          <w:tcPr>
            <w:tcW w:type="dxa" w:w="2056"/>
            <w:vAlign w:val="top"/>
          </w:tcPr>
          <w:p>
            <w:pPr>
              <w:spacing w:after="0"/>
            </w:pPr>
            <w:r>
              <w:rPr>
                <w:sz w:val="10"/>
              </w:rPr>
              <w:t>ACCEPT</w:t>
            </w:r>
          </w:p>
        </w:tc>
      </w:tr>
      <w:tr>
        <w:tc>
          <w:tcPr>
            <w:tcW w:type="dxa" w:w="2056"/>
            <w:vAlign w:val="top"/>
          </w:tcPr>
          <w:p>
            <w:pPr>
              <w:spacing w:after="0"/>
            </w:pPr>
            <w:r>
              <w:rPr>
                <w:sz w:val="10"/>
              </w:rPr>
              <w:t>semantic_planner</w:t>
            </w:r>
          </w:p>
        </w:tc>
        <w:tc>
          <w:tcPr>
            <w:tcW w:type="dxa" w:w="2056"/>
            <w:vAlign w:val="top"/>
          </w:tcPr>
          <w:p>
            <w:pPr>
              <w:spacing w:after="0"/>
            </w:pPr>
            <w:r>
              <w:rPr>
                <w:sz w:val="10"/>
              </w:rPr>
              <w:t>MEDAI-PROPOSED-EXPERIMENTAL</w:t>
            </w:r>
          </w:p>
        </w:tc>
        <w:tc>
          <w:tcPr>
            <w:tcW w:type="dxa" w:w="2056"/>
            <w:vAlign w:val="top"/>
          </w:tcPr>
          <w:p>
            <w:pPr>
              <w:spacing w:after="0"/>
            </w:pPr>
            <w:r>
              <w:rPr>
                <w:sz w:val="10"/>
              </w:rPr>
              <w:t>MP-01;MP-09</w:t>
            </w:r>
          </w:p>
        </w:tc>
        <w:tc>
          <w:tcPr>
            <w:tcW w:type="dxa" w:w="2056"/>
            <w:vAlign w:val="top"/>
          </w:tcPr>
          <w:p>
            <w:pPr>
              <w:spacing w:after="0"/>
            </w:pPr>
            <w:r>
              <w:rPr>
                <w:sz w:val="10"/>
              </w:rPr>
              <w:t>Compare free-form vs constrained generation on unsupported-claim rate, semantic preservation, omissions</w:t>
            </w:r>
          </w:p>
        </w:tc>
        <w:tc>
          <w:tcPr>
            <w:tcW w:type="dxa" w:w="2056"/>
            <w:vAlign w:val="top"/>
          </w:tcPr>
          <w:p>
            <w:pPr>
              <w:spacing w:after="0"/>
            </w:pPr>
            <w:r>
              <w:rPr>
                <w:sz w:val="10"/>
              </w:rPr>
              <w:t>VALIDATE</w:t>
            </w:r>
          </w:p>
        </w:tc>
      </w:tr>
      <w:tr>
        <w:tc>
          <w:tcPr>
            <w:tcW w:type="dxa" w:w="2056"/>
            <w:vAlign w:val="top"/>
          </w:tcPr>
          <w:p>
            <w:pPr>
              <w:spacing w:after="0"/>
            </w:pPr>
            <w:r>
              <w:rPr>
                <w:sz w:val="10"/>
              </w:rPr>
              <w:t>allowed_source_event_ids</w:t>
            </w:r>
          </w:p>
        </w:tc>
        <w:tc>
          <w:tcPr>
            <w:tcW w:type="dxa" w:w="2056"/>
            <w:vAlign w:val="top"/>
          </w:tcPr>
          <w:p>
            <w:pPr>
              <w:spacing w:after="0"/>
            </w:pPr>
            <w:r>
              <w:rPr>
                <w:sz w:val="10"/>
              </w:rPr>
              <w:t>MEDAI-PROPOSED-BACKED</w:t>
            </w:r>
          </w:p>
        </w:tc>
        <w:tc>
          <w:tcPr>
            <w:tcW w:type="dxa" w:w="2056"/>
            <w:vAlign w:val="top"/>
          </w:tcPr>
          <w:p>
            <w:pPr>
              <w:spacing w:after="0"/>
            </w:pPr>
            <w:r>
              <w:rPr>
                <w:sz w:val="10"/>
              </w:rPr>
              <w:t>MP-01;MP-09</w:t>
            </w:r>
          </w:p>
        </w:tc>
        <w:tc>
          <w:tcPr>
            <w:tcW w:type="dxa" w:w="2056"/>
            <w:vAlign w:val="top"/>
          </w:tcPr>
          <w:p>
            <w:pPr>
              <w:spacing w:after="0"/>
            </w:pPr>
            <w:r>
              <w:rPr>
                <w:sz w:val="10"/>
              </w:rPr>
              <w:t>Verify renderer never uses excluded events</w:t>
            </w:r>
          </w:p>
        </w:tc>
        <w:tc>
          <w:tcPr>
            <w:tcW w:type="dxa" w:w="2056"/>
            <w:vAlign w:val="top"/>
          </w:tcPr>
          <w:p>
            <w:pPr>
              <w:spacing w:after="0"/>
            </w:pPr>
            <w:r>
              <w:rPr>
                <w:sz w:val="10"/>
              </w:rPr>
              <w:t>ACCEPT_WITH_TEST</w:t>
            </w:r>
          </w:p>
        </w:tc>
      </w:tr>
      <w:tr>
        <w:tc>
          <w:tcPr>
            <w:tcW w:type="dxa" w:w="2056"/>
            <w:vAlign w:val="top"/>
          </w:tcPr>
          <w:p>
            <w:pPr>
              <w:spacing w:after="0"/>
            </w:pPr>
            <w:r>
              <w:rPr>
                <w:sz w:val="10"/>
              </w:rPr>
              <w:t>document_visibility</w:t>
            </w:r>
          </w:p>
        </w:tc>
        <w:tc>
          <w:tcPr>
            <w:tcW w:type="dxa" w:w="2056"/>
            <w:vAlign w:val="top"/>
          </w:tcPr>
          <w:p>
            <w:pPr>
              <w:spacing w:after="0"/>
            </w:pPr>
            <w:r>
              <w:rPr>
                <w:sz w:val="10"/>
              </w:rPr>
              <w:t>UNSUPPORTED-CLINICAL-AS-NAMED</w:t>
            </w:r>
          </w:p>
        </w:tc>
        <w:tc>
          <w:tcPr>
            <w:tcW w:type="dxa" w:w="2056"/>
            <w:vAlign w:val="top"/>
          </w:tcPr>
          <w:p>
            <w:pPr>
              <w:spacing w:after="0"/>
            </w:pPr>
            <w:r>
              <w:rPr>
                <w:sz w:val="10"/>
              </w:rPr>
              <w:t>MP-09</w:t>
            </w:r>
          </w:p>
        </w:tc>
        <w:tc>
          <w:tcPr>
            <w:tcW w:type="dxa" w:w="2056"/>
            <w:vAlign w:val="top"/>
          </w:tcPr>
          <w:p>
            <w:pPr>
              <w:spacing w:after="0"/>
            </w:pPr>
            <w:r>
              <w:rPr>
                <w:sz w:val="10"/>
              </w:rPr>
              <w:t>Deprecate and replace with allowed_source_event_ids/document_information_scope</w:t>
            </w:r>
          </w:p>
        </w:tc>
        <w:tc>
          <w:tcPr>
            <w:tcW w:type="dxa" w:w="2056"/>
            <w:vAlign w:val="top"/>
          </w:tcPr>
          <w:p>
            <w:pPr>
              <w:spacing w:after="0"/>
            </w:pPr>
            <w:r>
              <w:rPr>
                <w:sz w:val="10"/>
              </w:rPr>
              <w:t>DEPRECATE</w:t>
            </w:r>
          </w:p>
        </w:tc>
      </w:tr>
      <w:tr>
        <w:tc>
          <w:tcPr>
            <w:tcW w:type="dxa" w:w="2056"/>
            <w:vAlign w:val="top"/>
          </w:tcPr>
          <w:p>
            <w:pPr>
              <w:spacing w:after="0"/>
            </w:pPr>
            <w:r>
              <w:rPr>
                <w:sz w:val="10"/>
              </w:rPr>
              <w:t>document_information_scope</w:t>
            </w:r>
          </w:p>
        </w:tc>
        <w:tc>
          <w:tcPr>
            <w:tcW w:type="dxa" w:w="2056"/>
            <w:vAlign w:val="top"/>
          </w:tcPr>
          <w:p>
            <w:pPr>
              <w:spacing w:after="0"/>
            </w:pPr>
            <w:r>
              <w:rPr>
                <w:sz w:val="10"/>
              </w:rPr>
              <w:t>MEDAI-PROPOSED-EXPERIMENTAL</w:t>
            </w:r>
          </w:p>
        </w:tc>
        <w:tc>
          <w:tcPr>
            <w:tcW w:type="dxa" w:w="2056"/>
            <w:vAlign w:val="top"/>
          </w:tcPr>
          <w:p>
            <w:pPr>
              <w:spacing w:after="0"/>
            </w:pPr>
            <w:r>
              <w:rPr>
                <w:sz w:val="10"/>
              </w:rPr>
              <w:t>MP-01;MP-09</w:t>
            </w:r>
          </w:p>
        </w:tc>
        <w:tc>
          <w:tcPr>
            <w:tcW w:type="dxa" w:w="2056"/>
            <w:vAlign w:val="top"/>
          </w:tcPr>
          <w:p>
            <w:pPr>
              <w:spacing w:after="0"/>
            </w:pPr>
            <w:r>
              <w:rPr>
                <w:sz w:val="10"/>
              </w:rPr>
              <w:t>Ablation across scopes; leakage test</w:t>
            </w:r>
          </w:p>
        </w:tc>
        <w:tc>
          <w:tcPr>
            <w:tcW w:type="dxa" w:w="2056"/>
            <w:vAlign w:val="top"/>
          </w:tcPr>
          <w:p>
            <w:pPr>
              <w:spacing w:after="0"/>
            </w:pPr>
            <w:r>
              <w:rPr>
                <w:sz w:val="10"/>
              </w:rPr>
              <w:t>VALIDATE</w:t>
            </w:r>
          </w:p>
        </w:tc>
      </w:tr>
      <w:tr>
        <w:tc>
          <w:tcPr>
            <w:tcW w:type="dxa" w:w="2056"/>
            <w:vAlign w:val="top"/>
          </w:tcPr>
          <w:p>
            <w:pPr>
              <w:spacing w:after="0"/>
            </w:pPr>
            <w:r>
              <w:rPr>
                <w:sz w:val="10"/>
              </w:rPr>
              <w:t>required_assertions</w:t>
            </w:r>
          </w:p>
        </w:tc>
        <w:tc>
          <w:tcPr>
            <w:tcW w:type="dxa" w:w="2056"/>
            <w:vAlign w:val="top"/>
          </w:tcPr>
          <w:p>
            <w:pPr>
              <w:spacing w:after="0"/>
            </w:pPr>
            <w:r>
              <w:rPr>
                <w:sz w:val="10"/>
              </w:rPr>
              <w:t>MEDAI-PROPOSED-EXPERIMENTAL</w:t>
            </w:r>
          </w:p>
        </w:tc>
        <w:tc>
          <w:tcPr>
            <w:tcW w:type="dxa" w:w="2056"/>
            <w:vAlign w:val="top"/>
          </w:tcPr>
          <w:p>
            <w:pPr>
              <w:spacing w:after="0"/>
            </w:pPr>
            <w:r>
              <w:rPr>
                <w:sz w:val="10"/>
              </w:rPr>
              <w:t>MP-09</w:t>
            </w:r>
          </w:p>
        </w:tc>
        <w:tc>
          <w:tcPr>
            <w:tcW w:type="dxa" w:w="2056"/>
            <w:vAlign w:val="top"/>
          </w:tcPr>
          <w:p>
            <w:pPr>
              <w:spacing w:after="0"/>
            </w:pPr>
            <w:r>
              <w:rPr>
                <w:sz w:val="10"/>
              </w:rPr>
              <w:t>Expression/omission accuracy</w:t>
            </w:r>
          </w:p>
        </w:tc>
        <w:tc>
          <w:tcPr>
            <w:tcW w:type="dxa" w:w="2056"/>
            <w:vAlign w:val="top"/>
          </w:tcPr>
          <w:p>
            <w:pPr>
              <w:spacing w:after="0"/>
            </w:pPr>
            <w:r>
              <w:rPr>
                <w:sz w:val="10"/>
              </w:rPr>
              <w:t>VALIDATE</w:t>
            </w:r>
          </w:p>
        </w:tc>
      </w:tr>
      <w:tr>
        <w:tc>
          <w:tcPr>
            <w:tcW w:type="dxa" w:w="2056"/>
            <w:vAlign w:val="top"/>
          </w:tcPr>
          <w:p>
            <w:pPr>
              <w:spacing w:after="0"/>
            </w:pPr>
            <w:r>
              <w:rPr>
                <w:sz w:val="10"/>
              </w:rPr>
              <w:t>optional_assertions</w:t>
            </w:r>
          </w:p>
        </w:tc>
        <w:tc>
          <w:tcPr>
            <w:tcW w:type="dxa" w:w="2056"/>
            <w:vAlign w:val="top"/>
          </w:tcPr>
          <w:p>
            <w:pPr>
              <w:spacing w:after="0"/>
            </w:pPr>
            <w:r>
              <w:rPr>
                <w:sz w:val="10"/>
              </w:rPr>
              <w:t>MEDAI-PROPOSED-EXPERIMENTAL</w:t>
            </w:r>
          </w:p>
        </w:tc>
        <w:tc>
          <w:tcPr>
            <w:tcW w:type="dxa" w:w="2056"/>
            <w:vAlign w:val="top"/>
          </w:tcPr>
          <w:p>
            <w:pPr>
              <w:spacing w:after="0"/>
            </w:pPr>
            <w:r>
              <w:rPr>
                <w:sz w:val="10"/>
              </w:rPr>
              <w:t>MP-08;MP-09</w:t>
            </w:r>
          </w:p>
        </w:tc>
        <w:tc>
          <w:tcPr>
            <w:tcW w:type="dxa" w:w="2056"/>
            <w:vAlign w:val="top"/>
          </w:tcPr>
          <w:p>
            <w:pPr>
              <w:spacing w:after="0"/>
            </w:pPr>
            <w:r>
              <w:rPr>
                <w:sz w:val="10"/>
              </w:rPr>
              <w:t>Omission distribution + clinician realism review</w:t>
            </w:r>
          </w:p>
        </w:tc>
        <w:tc>
          <w:tcPr>
            <w:tcW w:type="dxa" w:w="2056"/>
            <w:vAlign w:val="top"/>
          </w:tcPr>
          <w:p>
            <w:pPr>
              <w:spacing w:after="0"/>
            </w:pPr>
            <w:r>
              <w:rPr>
                <w:sz w:val="10"/>
              </w:rPr>
              <w:t>VALIDATE</w:t>
            </w:r>
          </w:p>
        </w:tc>
      </w:tr>
      <w:tr>
        <w:tc>
          <w:tcPr>
            <w:tcW w:type="dxa" w:w="2056"/>
            <w:vAlign w:val="top"/>
          </w:tcPr>
          <w:p>
            <w:pPr>
              <w:spacing w:after="0"/>
            </w:pPr>
            <w:r>
              <w:rPr>
                <w:sz w:val="10"/>
              </w:rPr>
              <w:t>prohibited_assertions</w:t>
            </w:r>
          </w:p>
        </w:tc>
        <w:tc>
          <w:tcPr>
            <w:tcW w:type="dxa" w:w="2056"/>
            <w:vAlign w:val="top"/>
          </w:tcPr>
          <w:p>
            <w:pPr>
              <w:spacing w:after="0"/>
            </w:pPr>
            <w:r>
              <w:rPr>
                <w:sz w:val="10"/>
              </w:rPr>
              <w:t>MEDAI-PROPOSED-BACKED</w:t>
            </w:r>
          </w:p>
        </w:tc>
        <w:tc>
          <w:tcPr>
            <w:tcW w:type="dxa" w:w="2056"/>
            <w:vAlign w:val="top"/>
          </w:tcPr>
          <w:p>
            <w:pPr>
              <w:spacing w:after="0"/>
            </w:pPr>
            <w:r>
              <w:rPr>
                <w:sz w:val="10"/>
              </w:rPr>
              <w:t>MP-09</w:t>
            </w:r>
          </w:p>
        </w:tc>
        <w:tc>
          <w:tcPr>
            <w:tcW w:type="dxa" w:w="2056"/>
            <w:vAlign w:val="top"/>
          </w:tcPr>
          <w:p>
            <w:pPr>
              <w:spacing w:after="0"/>
            </w:pPr>
            <w:r>
              <w:rPr>
                <w:sz w:val="10"/>
              </w:rPr>
              <w:t>Zero prohibited-assertion target</w:t>
            </w:r>
          </w:p>
        </w:tc>
        <w:tc>
          <w:tcPr>
            <w:tcW w:type="dxa" w:w="2056"/>
            <w:vAlign w:val="top"/>
          </w:tcPr>
          <w:p>
            <w:pPr>
              <w:spacing w:after="0"/>
            </w:pPr>
            <w:r>
              <w:rPr>
                <w:sz w:val="10"/>
              </w:rPr>
              <w:t>ACCEPT_WITH_TEST</w:t>
            </w:r>
          </w:p>
        </w:tc>
      </w:tr>
      <w:tr>
        <w:tc>
          <w:tcPr>
            <w:tcW w:type="dxa" w:w="2056"/>
            <w:vAlign w:val="top"/>
          </w:tcPr>
          <w:p>
            <w:pPr>
              <w:spacing w:after="0"/>
            </w:pPr>
            <w:r>
              <w:rPr>
                <w:sz w:val="10"/>
              </w:rPr>
              <w:t>style_profile</w:t>
            </w:r>
          </w:p>
        </w:tc>
        <w:tc>
          <w:tcPr>
            <w:tcW w:type="dxa" w:w="2056"/>
            <w:vAlign w:val="top"/>
          </w:tcPr>
          <w:p>
            <w:pPr>
              <w:spacing w:after="0"/>
            </w:pPr>
            <w:r>
              <w:rPr>
                <w:sz w:val="10"/>
              </w:rPr>
              <w:t>MEDAI-PROPOSED-EXPERIMENTAL</w:t>
            </w:r>
          </w:p>
        </w:tc>
        <w:tc>
          <w:tcPr>
            <w:tcW w:type="dxa" w:w="2056"/>
            <w:vAlign w:val="top"/>
          </w:tcPr>
          <w:p>
            <w:pPr>
              <w:spacing w:after="0"/>
            </w:pPr>
            <w:r>
              <w:rPr>
                <w:sz w:val="10"/>
              </w:rPr>
              <w:t>MP-08;MP-09</w:t>
            </w:r>
          </w:p>
        </w:tc>
        <w:tc>
          <w:tcPr>
            <w:tcW w:type="dxa" w:w="2056"/>
            <w:vAlign w:val="top"/>
          </w:tcPr>
          <w:p>
            <w:pPr>
              <w:spacing w:after="0"/>
            </w:pPr>
            <w:r>
              <w:rPr>
                <w:sz w:val="10"/>
              </w:rPr>
              <w:t>Clinician blinded realism + semantic invariance</w:t>
            </w:r>
          </w:p>
        </w:tc>
        <w:tc>
          <w:tcPr>
            <w:tcW w:type="dxa" w:w="2056"/>
            <w:vAlign w:val="top"/>
          </w:tcPr>
          <w:p>
            <w:pPr>
              <w:spacing w:after="0"/>
            </w:pPr>
            <w:r>
              <w:rPr>
                <w:sz w:val="10"/>
              </w:rPr>
              <w:t>VALIDATE</w:t>
            </w:r>
          </w:p>
        </w:tc>
      </w:tr>
      <w:tr>
        <w:tc>
          <w:tcPr>
            <w:tcW w:type="dxa" w:w="2056"/>
            <w:vAlign w:val="top"/>
          </w:tcPr>
          <w:p>
            <w:pPr>
              <w:spacing w:after="0"/>
            </w:pPr>
            <w:r>
              <w:rPr>
                <w:sz w:val="10"/>
              </w:rPr>
              <w:t>omission_control</w:t>
            </w:r>
          </w:p>
        </w:tc>
        <w:tc>
          <w:tcPr>
            <w:tcW w:type="dxa" w:w="2056"/>
            <w:vAlign w:val="top"/>
          </w:tcPr>
          <w:p>
            <w:pPr>
              <w:spacing w:after="0"/>
            </w:pPr>
            <w:r>
              <w:rPr>
                <w:sz w:val="10"/>
              </w:rPr>
              <w:t>MEDAI-PROPOSED-EXPERIMENTAL</w:t>
            </w:r>
          </w:p>
        </w:tc>
        <w:tc>
          <w:tcPr>
            <w:tcW w:type="dxa" w:w="2056"/>
            <w:vAlign w:val="top"/>
          </w:tcPr>
          <w:p>
            <w:pPr>
              <w:spacing w:after="0"/>
            </w:pPr>
            <w:r>
              <w:rPr>
                <w:sz w:val="10"/>
              </w:rPr>
              <w:t>MP-08;MP-09</w:t>
            </w:r>
          </w:p>
        </w:tc>
        <w:tc>
          <w:tcPr>
            <w:tcW w:type="dxa" w:w="2056"/>
            <w:vAlign w:val="top"/>
          </w:tcPr>
          <w:p>
            <w:pPr>
              <w:spacing w:after="0"/>
            </w:pPr>
            <w:r>
              <w:rPr>
                <w:sz w:val="10"/>
              </w:rPr>
              <w:t>Ablation; truth remains unchanged; clinician review</w:t>
            </w:r>
          </w:p>
        </w:tc>
        <w:tc>
          <w:tcPr>
            <w:tcW w:type="dxa" w:w="2056"/>
            <w:vAlign w:val="top"/>
          </w:tcPr>
          <w:p>
            <w:pPr>
              <w:spacing w:after="0"/>
            </w:pPr>
            <w:r>
              <w:rPr>
                <w:sz w:val="10"/>
              </w:rPr>
              <w:t>VALIDATE</w:t>
            </w:r>
          </w:p>
        </w:tc>
      </w:tr>
      <w:tr>
        <w:tc>
          <w:tcPr>
            <w:tcW w:type="dxa" w:w="2056"/>
            <w:vAlign w:val="top"/>
          </w:tcPr>
          <w:p>
            <w:pPr>
              <w:spacing w:after="0"/>
            </w:pPr>
            <w:r>
              <w:rPr>
                <w:sz w:val="10"/>
              </w:rPr>
              <w:t>controlled_conflict_scenario</w:t>
            </w:r>
          </w:p>
        </w:tc>
        <w:tc>
          <w:tcPr>
            <w:tcW w:type="dxa" w:w="2056"/>
            <w:vAlign w:val="top"/>
          </w:tcPr>
          <w:p>
            <w:pPr>
              <w:spacing w:after="0"/>
            </w:pPr>
            <w:r>
              <w:rPr>
                <w:sz w:val="10"/>
              </w:rPr>
              <w:t>MEDAI-PROPOSED-EXPERIMENTAL</w:t>
            </w:r>
          </w:p>
        </w:tc>
        <w:tc>
          <w:tcPr>
            <w:tcW w:type="dxa" w:w="2056"/>
            <w:vAlign w:val="top"/>
          </w:tcPr>
          <w:p>
            <w:pPr>
              <w:spacing w:after="0"/>
            </w:pPr>
            <w:r>
              <w:rPr>
                <w:sz w:val="10"/>
              </w:rPr>
              <w:t>MP-09</w:t>
            </w:r>
          </w:p>
        </w:tc>
        <w:tc>
          <w:tcPr>
            <w:tcW w:type="dxa" w:w="2056"/>
            <w:vAlign w:val="top"/>
          </w:tcPr>
          <w:p>
            <w:pPr>
              <w:spacing w:after="0"/>
            </w:pPr>
            <w:r>
              <w:rPr>
                <w:sz w:val="10"/>
              </w:rPr>
              <w:t>Clinician review of plausibility; explicit cause; no random truth flip</w:t>
            </w:r>
          </w:p>
        </w:tc>
        <w:tc>
          <w:tcPr>
            <w:tcW w:type="dxa" w:w="2056"/>
            <w:vAlign w:val="top"/>
          </w:tcPr>
          <w:p>
            <w:pPr>
              <w:spacing w:after="0"/>
            </w:pPr>
            <w:r>
              <w:rPr>
                <w:sz w:val="10"/>
              </w:rPr>
              <w:t>VALIDATE</w:t>
            </w:r>
          </w:p>
        </w:tc>
      </w:tr>
      <w:tr>
        <w:tc>
          <w:tcPr>
            <w:tcW w:type="dxa" w:w="2056"/>
            <w:vAlign w:val="top"/>
          </w:tcPr>
          <w:p>
            <w:pPr>
              <w:spacing w:after="0"/>
            </w:pPr>
            <w:r>
              <w:rPr>
                <w:sz w:val="10"/>
              </w:rPr>
              <w:t>truth_preservation_validator</w:t>
            </w:r>
          </w:p>
        </w:tc>
        <w:tc>
          <w:tcPr>
            <w:tcW w:type="dxa" w:w="2056"/>
            <w:vAlign w:val="top"/>
          </w:tcPr>
          <w:p>
            <w:pPr>
              <w:spacing w:after="0"/>
            </w:pPr>
            <w:r>
              <w:rPr>
                <w:sz w:val="10"/>
              </w:rPr>
              <w:t>MEDAI-PROPOSED-EXPERIMENTAL</w:t>
            </w:r>
          </w:p>
        </w:tc>
        <w:tc>
          <w:tcPr>
            <w:tcW w:type="dxa" w:w="2056"/>
            <w:vAlign w:val="top"/>
          </w:tcPr>
          <w:p>
            <w:pPr>
              <w:spacing w:after="0"/>
            </w:pPr>
            <w:r>
              <w:rPr>
                <w:sz w:val="10"/>
              </w:rPr>
              <w:t>MP-01;MP-06;MP-09</w:t>
            </w:r>
          </w:p>
        </w:tc>
        <w:tc>
          <w:tcPr>
            <w:tcW w:type="dxa" w:w="2056"/>
            <w:vAlign w:val="top"/>
          </w:tcPr>
          <w:p>
            <w:pPr>
              <w:spacing w:after="0"/>
            </w:pPr>
            <w:r>
              <w:rPr>
                <w:sz w:val="10"/>
              </w:rPr>
              <w:t>Sensitivity/specificity against manually reviewed claim set</w:t>
            </w:r>
          </w:p>
        </w:tc>
        <w:tc>
          <w:tcPr>
            <w:tcW w:type="dxa" w:w="2056"/>
            <w:vAlign w:val="top"/>
          </w:tcPr>
          <w:p>
            <w:pPr>
              <w:spacing w:after="0"/>
            </w:pPr>
            <w:r>
              <w:rPr>
                <w:sz w:val="10"/>
              </w:rPr>
              <w:t>VALIDATE</w:t>
            </w:r>
          </w:p>
        </w:tc>
      </w:tr>
      <w:tr>
        <w:tc>
          <w:tcPr>
            <w:tcW w:type="dxa" w:w="2056"/>
            <w:vAlign w:val="top"/>
          </w:tcPr>
          <w:p>
            <w:pPr>
              <w:spacing w:after="0"/>
            </w:pPr>
            <w:r>
              <w:rPr>
                <w:sz w:val="10"/>
              </w:rPr>
              <w:t>unsupported_assertion_rate</w:t>
            </w:r>
          </w:p>
        </w:tc>
        <w:tc>
          <w:tcPr>
            <w:tcW w:type="dxa" w:w="2056"/>
            <w:vAlign w:val="top"/>
          </w:tcPr>
          <w:p>
            <w:pPr>
              <w:spacing w:after="0"/>
            </w:pPr>
            <w:r>
              <w:rPr>
                <w:sz w:val="10"/>
              </w:rPr>
              <w:t>MEDAI-PROPOSED-EXPERIMENTAL</w:t>
            </w:r>
          </w:p>
        </w:tc>
        <w:tc>
          <w:tcPr>
            <w:tcW w:type="dxa" w:w="2056"/>
            <w:vAlign w:val="top"/>
          </w:tcPr>
          <w:p>
            <w:pPr>
              <w:spacing w:after="0"/>
            </w:pPr>
            <w:r>
              <w:rPr>
                <w:sz w:val="10"/>
              </w:rPr>
              <w:t>MP-06;MP-09</w:t>
            </w:r>
          </w:p>
        </w:tc>
        <w:tc>
          <w:tcPr>
            <w:tcW w:type="dxa" w:w="2056"/>
            <w:vAlign w:val="top"/>
          </w:tcPr>
          <w:p>
            <w:pPr>
              <w:spacing w:after="0"/>
            </w:pPr>
            <w:r>
              <w:rPr>
                <w:sz w:val="10"/>
              </w:rPr>
              <w:t>Freeze denominator/annotation protocol; inter-rater agreement</w:t>
            </w:r>
          </w:p>
        </w:tc>
        <w:tc>
          <w:tcPr>
            <w:tcW w:type="dxa" w:w="2056"/>
            <w:vAlign w:val="top"/>
          </w:tcPr>
          <w:p>
            <w:pPr>
              <w:spacing w:after="0"/>
            </w:pPr>
            <w:r>
              <w:rPr>
                <w:sz w:val="10"/>
              </w:rPr>
              <w:t>VALIDATE</w:t>
            </w:r>
          </w:p>
        </w:tc>
      </w:tr>
      <w:tr>
        <w:tc>
          <w:tcPr>
            <w:tcW w:type="dxa" w:w="2056"/>
            <w:vAlign w:val="top"/>
          </w:tcPr>
          <w:p>
            <w:pPr>
              <w:spacing w:after="0"/>
            </w:pPr>
            <w:r>
              <w:rPr>
                <w:sz w:val="10"/>
              </w:rPr>
              <w:t>semantic_preservation_rate</w:t>
            </w:r>
          </w:p>
        </w:tc>
        <w:tc>
          <w:tcPr>
            <w:tcW w:type="dxa" w:w="2056"/>
            <w:vAlign w:val="top"/>
          </w:tcPr>
          <w:p>
            <w:pPr>
              <w:spacing w:after="0"/>
            </w:pPr>
            <w:r>
              <w:rPr>
                <w:sz w:val="10"/>
              </w:rPr>
              <w:t>MEDAI-PROPOSED-EXPERIMENTAL</w:t>
            </w:r>
          </w:p>
        </w:tc>
        <w:tc>
          <w:tcPr>
            <w:tcW w:type="dxa" w:w="2056"/>
            <w:vAlign w:val="top"/>
          </w:tcPr>
          <w:p>
            <w:pPr>
              <w:spacing w:after="0"/>
            </w:pPr>
            <w:r>
              <w:rPr>
                <w:sz w:val="10"/>
              </w:rPr>
              <w:t>MP-09</w:t>
            </w:r>
          </w:p>
        </w:tc>
        <w:tc>
          <w:tcPr>
            <w:tcW w:type="dxa" w:w="2056"/>
            <w:vAlign w:val="top"/>
          </w:tcPr>
          <w:p>
            <w:pPr>
              <w:spacing w:after="0"/>
            </w:pPr>
            <w:r>
              <w:rPr>
                <w:sz w:val="10"/>
              </w:rPr>
              <w:t>Human-verified pilot; confidence intervals</w:t>
            </w:r>
          </w:p>
        </w:tc>
        <w:tc>
          <w:tcPr>
            <w:tcW w:type="dxa" w:w="2056"/>
            <w:vAlign w:val="top"/>
          </w:tcPr>
          <w:p>
            <w:pPr>
              <w:spacing w:after="0"/>
            </w:pPr>
            <w:r>
              <w:rPr>
                <w:sz w:val="10"/>
              </w:rPr>
              <w:t>VALIDATE</w:t>
            </w:r>
          </w:p>
        </w:tc>
      </w:tr>
      <w:tr>
        <w:tc>
          <w:tcPr>
            <w:tcW w:type="dxa" w:w="2056"/>
            <w:vAlign w:val="top"/>
          </w:tcPr>
          <w:p>
            <w:pPr>
              <w:spacing w:after="0"/>
            </w:pPr>
            <w:r>
              <w:rPr>
                <w:sz w:val="10"/>
              </w:rPr>
              <w:t>clinical_realism_rating</w:t>
            </w:r>
          </w:p>
        </w:tc>
        <w:tc>
          <w:tcPr>
            <w:tcW w:type="dxa" w:w="2056"/>
            <w:vAlign w:val="top"/>
          </w:tcPr>
          <w:p>
            <w:pPr>
              <w:spacing w:after="0"/>
            </w:pPr>
            <w:r>
              <w:rPr>
                <w:sz w:val="10"/>
              </w:rPr>
              <w:t>MEDAI-PROPOSED-EXPERIMENTAL</w:t>
            </w:r>
          </w:p>
        </w:tc>
        <w:tc>
          <w:tcPr>
            <w:tcW w:type="dxa" w:w="2056"/>
            <w:vAlign w:val="top"/>
          </w:tcPr>
          <w:p>
            <w:pPr>
              <w:spacing w:after="0"/>
            </w:pPr>
            <w:r>
              <w:rPr>
                <w:sz w:val="10"/>
              </w:rPr>
              <w:t>MP-07;MP-08</w:t>
            </w:r>
          </w:p>
        </w:tc>
        <w:tc>
          <w:tcPr>
            <w:tcW w:type="dxa" w:w="2056"/>
            <w:vAlign w:val="top"/>
          </w:tcPr>
          <w:p>
            <w:pPr>
              <w:spacing w:after="0"/>
            </w:pPr>
            <w:r>
              <w:rPr>
                <w:sz w:val="10"/>
              </w:rPr>
              <w:t>Develop rubric; blinded multi-rater review; agreement/reliability</w:t>
            </w:r>
          </w:p>
        </w:tc>
        <w:tc>
          <w:tcPr>
            <w:tcW w:type="dxa" w:w="2056"/>
            <w:vAlign w:val="top"/>
          </w:tcPr>
          <w:p>
            <w:pPr>
              <w:spacing w:after="0"/>
            </w:pPr>
            <w:r>
              <w:rPr>
                <w:sz w:val="10"/>
              </w:rPr>
              <w:t>BLOCK_UNTIL_RUBRIC</w:t>
            </w:r>
          </w:p>
        </w:tc>
      </w:tr>
      <w:tr>
        <w:tc>
          <w:tcPr>
            <w:tcW w:type="dxa" w:w="2056"/>
            <w:vAlign w:val="top"/>
          </w:tcPr>
          <w:p>
            <w:pPr>
              <w:spacing w:after="0"/>
            </w:pPr>
            <w:r>
              <w:rPr>
                <w:sz w:val="10"/>
              </w:rPr>
              <w:t>privacy_claim_synthetic</w:t>
            </w:r>
          </w:p>
        </w:tc>
        <w:tc>
          <w:tcPr>
            <w:tcW w:type="dxa" w:w="2056"/>
            <w:vAlign w:val="top"/>
          </w:tcPr>
          <w:p>
            <w:pPr>
              <w:spacing w:after="0"/>
            </w:pPr>
            <w:r>
              <w:rPr>
                <w:sz w:val="10"/>
              </w:rPr>
              <w:t>BLOCKED</w:t>
            </w:r>
          </w:p>
        </w:tc>
        <w:tc>
          <w:tcPr>
            <w:tcW w:type="dxa" w:w="2056"/>
            <w:vAlign w:val="top"/>
          </w:tcPr>
          <w:p>
            <w:pPr>
              <w:spacing w:after="0"/>
            </w:pPr>
            <w:r>
              <w:rPr>
                <w:sz w:val="10"/>
              </w:rPr>
              <w:t>MP-07</w:t>
            </w:r>
          </w:p>
        </w:tc>
        <w:tc>
          <w:tcPr>
            <w:tcW w:type="dxa" w:w="2056"/>
            <w:vAlign w:val="top"/>
          </w:tcPr>
          <w:p>
            <w:pPr>
              <w:spacing w:after="0"/>
            </w:pPr>
            <w:r>
              <w:rPr>
                <w:sz w:val="10"/>
              </w:rPr>
              <w:t>No privacy guarantee until explicit threat model/evaluation exists</w:t>
            </w:r>
          </w:p>
        </w:tc>
        <w:tc>
          <w:tcPr>
            <w:tcW w:type="dxa" w:w="2056"/>
            <w:vAlign w:val="top"/>
          </w:tcPr>
          <w:p>
            <w:pPr>
              <w:spacing w:after="0"/>
            </w:pPr>
            <w:r>
              <w:rPr>
                <w:sz w:val="10"/>
              </w:rPr>
              <w:t>BLOCK</w:t>
            </w:r>
          </w:p>
        </w:tc>
      </w:tr>
      <w:tr>
        <w:tc>
          <w:tcPr>
            <w:tcW w:type="dxa" w:w="2056"/>
            <w:vAlign w:val="top"/>
          </w:tcPr>
          <w:p>
            <w:pPr>
              <w:spacing w:after="0"/>
            </w:pPr>
            <w:r>
              <w:rPr>
                <w:sz w:val="10"/>
              </w:rPr>
              <w:t>fidelity_claim</w:t>
            </w:r>
          </w:p>
        </w:tc>
        <w:tc>
          <w:tcPr>
            <w:tcW w:type="dxa" w:w="2056"/>
            <w:vAlign w:val="top"/>
          </w:tcPr>
          <w:p>
            <w:pPr>
              <w:spacing w:after="0"/>
            </w:pPr>
            <w:r>
              <w:rPr>
                <w:sz w:val="10"/>
              </w:rPr>
              <w:t>BLOCKED_UNTIL_EVALUATED</w:t>
            </w:r>
          </w:p>
        </w:tc>
        <w:tc>
          <w:tcPr>
            <w:tcW w:type="dxa" w:w="2056"/>
            <w:vAlign w:val="top"/>
          </w:tcPr>
          <w:p>
            <w:pPr>
              <w:spacing w:after="0"/>
            </w:pPr>
            <w:r>
              <w:rPr>
                <w:sz w:val="10"/>
              </w:rPr>
              <w:t>MP-07;MP-02;MP-03</w:t>
            </w:r>
          </w:p>
        </w:tc>
        <w:tc>
          <w:tcPr>
            <w:tcW w:type="dxa" w:w="2056"/>
            <w:vAlign w:val="top"/>
          </w:tcPr>
          <w:p>
            <w:pPr>
              <w:spacing w:after="0"/>
            </w:pPr>
            <w:r>
              <w:rPr>
                <w:sz w:val="10"/>
              </w:rPr>
              <w:t>Define comparison corpus/metrics; clinician review</w:t>
            </w:r>
          </w:p>
        </w:tc>
        <w:tc>
          <w:tcPr>
            <w:tcW w:type="dxa" w:w="2056"/>
            <w:vAlign w:val="top"/>
          </w:tcPr>
          <w:p>
            <w:pPr>
              <w:spacing w:after="0"/>
            </w:pPr>
            <w:r>
              <w:rPr>
                <w:sz w:val="10"/>
              </w:rPr>
              <w:t>BLOCK</w:t>
            </w:r>
          </w:p>
        </w:tc>
      </w:tr>
      <w:tr>
        <w:tc>
          <w:tcPr>
            <w:tcW w:type="dxa" w:w="2056"/>
            <w:vAlign w:val="top"/>
          </w:tcPr>
          <w:p>
            <w:pPr>
              <w:spacing w:after="0"/>
            </w:pPr>
            <w:r>
              <w:rPr>
                <w:sz w:val="10"/>
              </w:rPr>
              <w:t>utility_claim</w:t>
            </w:r>
          </w:p>
        </w:tc>
        <w:tc>
          <w:tcPr>
            <w:tcW w:type="dxa" w:w="2056"/>
            <w:vAlign w:val="top"/>
          </w:tcPr>
          <w:p>
            <w:pPr>
              <w:spacing w:after="0"/>
            </w:pPr>
            <w:r>
              <w:rPr>
                <w:sz w:val="10"/>
              </w:rPr>
              <w:t>BLOCKED_UNTIL_EVALUATED</w:t>
            </w:r>
          </w:p>
        </w:tc>
        <w:tc>
          <w:tcPr>
            <w:tcW w:type="dxa" w:w="2056"/>
            <w:vAlign w:val="top"/>
          </w:tcPr>
          <w:p>
            <w:pPr>
              <w:spacing w:after="0"/>
            </w:pPr>
            <w:r>
              <w:rPr>
                <w:sz w:val="10"/>
              </w:rPr>
              <w:t>MP-07</w:t>
            </w:r>
          </w:p>
        </w:tc>
        <w:tc>
          <w:tcPr>
            <w:tcW w:type="dxa" w:w="2056"/>
            <w:vAlign w:val="top"/>
          </w:tcPr>
          <w:p>
            <w:pPr>
              <w:spacing w:after="0"/>
            </w:pPr>
            <w:r>
              <w:rPr>
                <w:sz w:val="10"/>
              </w:rPr>
              <w:t>Train/evaluate transfer experiments vs real held-out data</w:t>
            </w:r>
          </w:p>
        </w:tc>
        <w:tc>
          <w:tcPr>
            <w:tcW w:type="dxa" w:w="2056"/>
            <w:vAlign w:val="top"/>
          </w:tcPr>
          <w:p>
            <w:pPr>
              <w:spacing w:after="0"/>
            </w:pPr>
            <w:r>
              <w:rPr>
                <w:sz w:val="10"/>
              </w:rPr>
              <w:t>BLOCK</w:t>
            </w:r>
          </w:p>
        </w:tc>
      </w:tr>
      <w:tr>
        <w:tc>
          <w:tcPr>
            <w:tcW w:type="dxa" w:w="2056"/>
            <w:vAlign w:val="top"/>
          </w:tcPr>
          <w:p>
            <w:pPr>
              <w:spacing w:after="0"/>
            </w:pPr>
            <w:r>
              <w:rPr>
                <w:sz w:val="10"/>
              </w:rPr>
              <w:t>prevalence_representativeness</w:t>
            </w:r>
          </w:p>
        </w:tc>
        <w:tc>
          <w:tcPr>
            <w:tcW w:type="dxa" w:w="2056"/>
            <w:vAlign w:val="top"/>
          </w:tcPr>
          <w:p>
            <w:pPr>
              <w:spacing w:after="0"/>
            </w:pPr>
            <w:r>
              <w:rPr>
                <w:sz w:val="10"/>
              </w:rPr>
              <w:t>UNSUPPORTED-CLINICAL</w:t>
            </w:r>
          </w:p>
        </w:tc>
        <w:tc>
          <w:tcPr>
            <w:tcW w:type="dxa" w:w="2056"/>
            <w:vAlign w:val="top"/>
          </w:tcPr>
          <w:p>
            <w:pPr>
              <w:spacing w:after="0"/>
            </w:pPr>
            <w:r>
              <w:rPr>
                <w:sz w:val="10"/>
              </w:rPr>
              <w:t>MP-02;MP-03;MP-09</w:t>
            </w:r>
          </w:p>
        </w:tc>
        <w:tc>
          <w:tcPr>
            <w:tcW w:type="dxa" w:w="2056"/>
            <w:vAlign w:val="top"/>
          </w:tcPr>
          <w:p>
            <w:pPr>
              <w:spacing w:after="0"/>
            </w:pPr>
            <w:r>
              <w:rPr>
                <w:sz w:val="10"/>
              </w:rPr>
              <w:t>Prohibit claim</w:t>
            </w:r>
          </w:p>
        </w:tc>
        <w:tc>
          <w:tcPr>
            <w:tcW w:type="dxa" w:w="2056"/>
            <w:vAlign w:val="top"/>
          </w:tcPr>
          <w:p>
            <w:pPr>
              <w:spacing w:after="0"/>
            </w:pPr>
            <w:r>
              <w:rPr>
                <w:sz w:val="10"/>
              </w:rPr>
              <w:t>BLOCK</w:t>
            </w:r>
          </w:p>
        </w:tc>
      </w:tr>
      <w:tr>
        <w:tc>
          <w:tcPr>
            <w:tcW w:type="dxa" w:w="2056"/>
            <w:vAlign w:val="top"/>
          </w:tcPr>
          <w:p>
            <w:pPr>
              <w:spacing w:after="0"/>
            </w:pPr>
            <w:r>
              <w:rPr>
                <w:sz w:val="10"/>
              </w:rPr>
              <w:t>benchmark_datasheet</w:t>
            </w:r>
          </w:p>
        </w:tc>
        <w:tc>
          <w:tcPr>
            <w:tcW w:type="dxa" w:w="2056"/>
            <w:vAlign w:val="top"/>
          </w:tcPr>
          <w:p>
            <w:pPr>
              <w:spacing w:after="0"/>
            </w:pPr>
            <w:r>
              <w:rPr>
                <w:sz w:val="10"/>
              </w:rPr>
              <w:t>LITERATURE-ADAPTED</w:t>
            </w:r>
          </w:p>
        </w:tc>
        <w:tc>
          <w:tcPr>
            <w:tcW w:type="dxa" w:w="2056"/>
            <w:vAlign w:val="top"/>
          </w:tcPr>
          <w:p>
            <w:pPr>
              <w:spacing w:after="0"/>
            </w:pPr>
            <w:r>
              <w:rPr>
                <w:sz w:val="10"/>
              </w:rPr>
              <w:t>MP-02;MP-03</w:t>
            </w:r>
          </w:p>
        </w:tc>
        <w:tc>
          <w:tcPr>
            <w:tcW w:type="dxa" w:w="2056"/>
            <w:vAlign w:val="top"/>
          </w:tcPr>
          <w:p>
            <w:pPr>
              <w:spacing w:after="0"/>
            </w:pPr>
            <w:r>
              <w:rPr>
                <w:sz w:val="10"/>
              </w:rPr>
              <w:t>Completeness review</w:t>
            </w:r>
          </w:p>
        </w:tc>
        <w:tc>
          <w:tcPr>
            <w:tcW w:type="dxa" w:w="2056"/>
            <w:vAlign w:val="top"/>
          </w:tcPr>
          <w:p>
            <w:pPr>
              <w:spacing w:after="0"/>
            </w:pPr>
            <w:r>
              <w:rPr>
                <w:sz w:val="10"/>
              </w:rPr>
              <w:t>ACCEPT</w:t>
            </w:r>
          </w:p>
        </w:tc>
      </w:tr>
      <w:tr>
        <w:tc>
          <w:tcPr>
            <w:tcW w:type="dxa" w:w="2056"/>
            <w:vAlign w:val="top"/>
          </w:tcPr>
          <w:p>
            <w:pPr>
              <w:spacing w:after="0"/>
            </w:pPr>
            <w:r>
              <w:rPr>
                <w:sz w:val="10"/>
              </w:rPr>
              <w:t>generator_model_card</w:t>
            </w:r>
          </w:p>
        </w:tc>
        <w:tc>
          <w:tcPr>
            <w:tcW w:type="dxa" w:w="2056"/>
            <w:vAlign w:val="top"/>
          </w:tcPr>
          <w:p>
            <w:pPr>
              <w:spacing w:after="0"/>
            </w:pPr>
            <w:r>
              <w:rPr>
                <w:sz w:val="10"/>
              </w:rPr>
              <w:t>LITERATURE-ADAPTED</w:t>
            </w:r>
          </w:p>
        </w:tc>
        <w:tc>
          <w:tcPr>
            <w:tcW w:type="dxa" w:w="2056"/>
            <w:vAlign w:val="top"/>
          </w:tcPr>
          <w:p>
            <w:pPr>
              <w:spacing w:after="0"/>
            </w:pPr>
            <w:r>
              <w:rPr>
                <w:sz w:val="10"/>
              </w:rPr>
              <w:t>MP-04</w:t>
            </w:r>
          </w:p>
        </w:tc>
        <w:tc>
          <w:tcPr>
            <w:tcW w:type="dxa" w:w="2056"/>
            <w:vAlign w:val="top"/>
          </w:tcPr>
          <w:p>
            <w:pPr>
              <w:spacing w:after="0"/>
            </w:pPr>
            <w:r>
              <w:rPr>
                <w:sz w:val="10"/>
              </w:rPr>
              <w:t>Completeness review</w:t>
            </w:r>
          </w:p>
        </w:tc>
        <w:tc>
          <w:tcPr>
            <w:tcW w:type="dxa" w:w="2056"/>
            <w:vAlign w:val="top"/>
          </w:tcPr>
          <w:p>
            <w:pPr>
              <w:spacing w:after="0"/>
            </w:pPr>
            <w:r>
              <w:rPr>
                <w:sz w:val="10"/>
              </w:rPr>
              <w:t>ACCEPT</w:t>
            </w:r>
          </w:p>
        </w:tc>
      </w:tr>
      <w:tr>
        <w:tc>
          <w:tcPr>
            <w:tcW w:type="dxa" w:w="2056"/>
            <w:vAlign w:val="top"/>
          </w:tcPr>
          <w:p>
            <w:pPr>
              <w:spacing w:after="0"/>
            </w:pPr>
            <w:r>
              <w:rPr>
                <w:sz w:val="10"/>
              </w:rPr>
              <w:t>error_case_analysis</w:t>
            </w:r>
          </w:p>
        </w:tc>
        <w:tc>
          <w:tcPr>
            <w:tcW w:type="dxa" w:w="2056"/>
            <w:vAlign w:val="top"/>
          </w:tcPr>
          <w:p>
            <w:pPr>
              <w:spacing w:after="0"/>
            </w:pPr>
            <w:r>
              <w:rPr>
                <w:sz w:val="10"/>
              </w:rPr>
              <w:t>LITERATURE-ADAPTED</w:t>
            </w:r>
          </w:p>
        </w:tc>
        <w:tc>
          <w:tcPr>
            <w:tcW w:type="dxa" w:w="2056"/>
            <w:vAlign w:val="top"/>
          </w:tcPr>
          <w:p>
            <w:pPr>
              <w:spacing w:after="0"/>
            </w:pPr>
            <w:r>
              <w:rPr>
                <w:sz w:val="10"/>
              </w:rPr>
              <w:t>MP-06</w:t>
            </w:r>
          </w:p>
        </w:tc>
        <w:tc>
          <w:tcPr>
            <w:tcW w:type="dxa" w:w="2056"/>
            <w:vAlign w:val="top"/>
          </w:tcPr>
          <w:p>
            <w:pPr>
              <w:spacing w:after="0"/>
            </w:pPr>
            <w:r>
              <w:rPr>
                <w:sz w:val="10"/>
              </w:rPr>
              <w:t>Predefined error taxonomy + reporting</w:t>
            </w:r>
          </w:p>
        </w:tc>
        <w:tc>
          <w:tcPr>
            <w:tcW w:type="dxa" w:w="2056"/>
            <w:vAlign w:val="top"/>
          </w:tcPr>
          <w:p>
            <w:pPr>
              <w:spacing w:after="0"/>
            </w:pPr>
            <w:r>
              <w:rPr>
                <w:sz w:val="10"/>
              </w:rPr>
              <w:t>ACCEPT</w:t>
            </w:r>
          </w:p>
        </w:tc>
      </w:tr>
    </w:tbl>
    <w:p/>
    <w:p>
      <w:pPr>
        <w:pStyle w:val="Heading1"/>
      </w:pPr>
      <w:r>
        <w:t>6. Important corrections</w:t>
      </w:r>
    </w:p>
    <w:p>
      <w:pPr>
        <w:pStyle w:val="Heading2"/>
      </w:pPr>
      <w:r>
        <w:t>6.1 Deprecate document_visibility as a clinical concept</w:t>
      </w:r>
    </w:p>
    <w:p>
      <w:r>
        <w:t>The earlier field name could be read as a claim about what a real clinical document is allowed to know. That claim is not established. Phase 6C deprecates that interpretation.</w:t>
      </w:r>
    </w:p>
    <w:tbl>
      <w:tblPr>
        <w:tblStyle w:val="TableGrid"/>
        <w:tblW w:type="auto" w:w="0"/>
        <w:tblLook w:firstColumn="1" w:firstRow="1" w:lastColumn="0" w:lastRow="0" w:noHBand="0" w:noVBand="1" w:val="04A0"/>
      </w:tblPr>
      <w:tblGrid>
        <w:gridCol w:w="10282"/>
      </w:tblGrid>
      <w:tr>
        <w:tc>
          <w:tcPr>
            <w:tcW w:type="dxa" w:w="10282"/>
            <w:shd w:fill="EEF4FB"/>
          </w:tcPr>
          <w:p>
            <w:r>
              <w:rPr>
                <w:b/>
                <w:color w:val="17365D"/>
              </w:rPr>
              <w:t>Replacement</w:t>
              <w:br/>
            </w:r>
            <w:r>
              <w:t>Use allowed_source_event_ids for the concrete input list and document_information_scope for the experimental information-control condition. These describe what the synthetic generator receives; they do not describe a universal clinical workflow.</w:t>
            </w:r>
          </w:p>
        </w:tc>
      </w:tr>
    </w:tbl>
    <w:p/>
    <w:p>
      <w:pPr>
        <w:pStyle w:val="Heading2"/>
      </w:pPr>
      <w:r>
        <w:t>6.2 No invented clinical-realism score</w:t>
      </w:r>
    </w:p>
    <w:p>
      <w:r>
        <w:t>Phase 6C does not create a 1–5 score, cutoff, or pass threshold for realism. A clinician-review instrument must first be designed, piloted and prospectively frozen. Only then can its reliability and interpretation be reported.</w:t>
      </w:r>
    </w:p>
    <w:p>
      <w:pPr>
        <w:pStyle w:val="Heading2"/>
      </w:pPr>
      <w:r>
        <w:t>6.3 No automatic privacy claim</w:t>
      </w:r>
    </w:p>
    <w:p>
      <w:r>
        <w:t>Synthetic generation alone is not evidence of privacy. The privacy evaluation must depend on the actual generator, whether private data were used for training/fine-tuning/prompting, the release setting, and an explicit threat model.</w:t>
      </w:r>
    </w:p>
    <w:p>
      <w:pPr>
        <w:pStyle w:val="Heading2"/>
      </w:pPr>
      <w:r>
        <w:t>6.4 No invented benchmark thresholds</w:t>
      </w:r>
    </w:p>
    <w:p>
      <w:r>
        <w:t>For new MedAI metrics such as unsupported-assertion rate or semantic-preservation rate, Phase 6C defines what should be measured but does not fabricate a universal acceptable cutoff. Pilot estimates, uncertainty intervals, clinician review and task requirements must inform any later threshold.</w:t>
      </w:r>
    </w:p>
    <w:p>
      <w:pPr>
        <w:pStyle w:val="Heading1"/>
      </w:pPr>
      <w:r>
        <w:t>7. Methodological precedent crosswalk</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Pr>
                <w:b/>
                <w:sz w:val="12"/>
              </w:rPr>
              <w:t>Area</w:t>
            </w:r>
          </w:p>
        </w:tc>
        <w:tc>
          <w:tcPr>
            <w:tcW w:type="dxa" w:w="2570"/>
            <w:shd w:fill="D9EAF7"/>
          </w:tcPr>
          <w:p>
            <w:r>
              <w:rPr>
                <w:b/>
                <w:sz w:val="12"/>
              </w:rPr>
              <w:t>Source</w:t>
            </w:r>
          </w:p>
        </w:tc>
        <w:tc>
          <w:tcPr>
            <w:tcW w:type="dxa" w:w="2570"/>
            <w:shd w:fill="D9EAF7"/>
          </w:tcPr>
          <w:p>
            <w:r>
              <w:rPr>
                <w:b/>
                <w:sz w:val="12"/>
              </w:rPr>
              <w:t>MedAI use</w:t>
            </w:r>
          </w:p>
        </w:tc>
        <w:tc>
          <w:tcPr>
            <w:tcW w:type="dxa" w:w="2570"/>
            <w:shd w:fill="D9EAF7"/>
          </w:tcPr>
          <w:p>
            <w:r>
              <w:rPr>
                <w:b/>
                <w:sz w:val="12"/>
              </w:rPr>
              <w:t>Scope</w:t>
            </w:r>
          </w:p>
        </w:tc>
      </w:tr>
      <w:tr>
        <w:tc>
          <w:tcPr>
            <w:tcW w:type="dxa" w:w="2570"/>
            <w:vAlign w:val="top"/>
          </w:tcPr>
          <w:p>
            <w:pPr>
              <w:spacing w:after="0"/>
            </w:pPr>
            <w:r>
              <w:rPr>
                <w:sz w:val="11"/>
              </w:rPr>
              <w:t>Provenance/derivation</w:t>
            </w:r>
          </w:p>
        </w:tc>
        <w:tc>
          <w:tcPr>
            <w:tcW w:type="dxa" w:w="2570"/>
            <w:vAlign w:val="top"/>
          </w:tcPr>
          <w:p>
            <w:pPr>
              <w:spacing w:after="0"/>
            </w:pPr>
            <w:r>
              <w:rPr>
                <w:sz w:val="11"/>
              </w:rPr>
              <w:t>MP-01</w:t>
            </w:r>
          </w:p>
        </w:tc>
        <w:tc>
          <w:tcPr>
            <w:tcW w:type="dxa" w:w="2570"/>
            <w:vAlign w:val="top"/>
          </w:tcPr>
          <w:p>
            <w:pPr>
              <w:spacing w:after="0"/>
            </w:pPr>
            <w:r>
              <w:rPr>
                <w:sz w:val="11"/>
              </w:rPr>
              <w:t>source_event_ids; event_id; assertion_id; provenance_status</w:t>
            </w:r>
          </w:p>
        </w:tc>
        <w:tc>
          <w:tcPr>
            <w:tcW w:type="dxa" w:w="2570"/>
            <w:vAlign w:val="top"/>
          </w:tcPr>
          <w:p>
            <w:pPr>
              <w:spacing w:after="0"/>
            </w:pPr>
            <w:r>
              <w:rPr>
                <w:sz w:val="11"/>
              </w:rPr>
              <w:t>ADAPTATION, not claim of PROV conformance</w:t>
            </w:r>
          </w:p>
        </w:tc>
      </w:tr>
      <w:tr>
        <w:tc>
          <w:tcPr>
            <w:tcW w:type="dxa" w:w="2570"/>
            <w:vAlign w:val="top"/>
          </w:tcPr>
          <w:p>
            <w:pPr>
              <w:spacing w:after="0"/>
            </w:pPr>
            <w:r>
              <w:rPr>
                <w:sz w:val="11"/>
              </w:rPr>
              <w:t>Dataset documentation</w:t>
            </w:r>
          </w:p>
        </w:tc>
        <w:tc>
          <w:tcPr>
            <w:tcW w:type="dxa" w:w="2570"/>
            <w:vAlign w:val="top"/>
          </w:tcPr>
          <w:p>
            <w:pPr>
              <w:spacing w:after="0"/>
            </w:pPr>
            <w:r>
              <w:rPr>
                <w:sz w:val="11"/>
              </w:rPr>
              <w:t>MP-02</w:t>
            </w:r>
          </w:p>
        </w:tc>
        <w:tc>
          <w:tcPr>
            <w:tcW w:type="dxa" w:w="2570"/>
            <w:vAlign w:val="top"/>
          </w:tcPr>
          <w:p>
            <w:pPr>
              <w:spacing w:after="0"/>
            </w:pPr>
            <w:r>
              <w:rPr>
                <w:sz w:val="11"/>
              </w:rPr>
              <w:t>source registry; benchmark datasheet; intended-use limits</w:t>
            </w:r>
          </w:p>
        </w:tc>
        <w:tc>
          <w:tcPr>
            <w:tcW w:type="dxa" w:w="2570"/>
            <w:vAlign w:val="top"/>
          </w:tcPr>
          <w:p>
            <w:pPr>
              <w:spacing w:after="0"/>
            </w:pPr>
            <w:r>
              <w:rPr>
                <w:sz w:val="11"/>
              </w:rPr>
              <w:t>DIRECT METHODOLOGICAL PRECEDENT</w:t>
            </w:r>
          </w:p>
        </w:tc>
      </w:tr>
      <w:tr>
        <w:tc>
          <w:tcPr>
            <w:tcW w:type="dxa" w:w="2570"/>
            <w:vAlign w:val="top"/>
          </w:tcPr>
          <w:p>
            <w:pPr>
              <w:spacing w:after="0"/>
            </w:pPr>
            <w:r>
              <w:rPr>
                <w:sz w:val="11"/>
              </w:rPr>
              <w:t>NLP data documentation</w:t>
            </w:r>
          </w:p>
        </w:tc>
        <w:tc>
          <w:tcPr>
            <w:tcW w:type="dxa" w:w="2570"/>
            <w:vAlign w:val="top"/>
          </w:tcPr>
          <w:p>
            <w:pPr>
              <w:spacing w:after="0"/>
            </w:pPr>
            <w:r>
              <w:rPr>
                <w:sz w:val="11"/>
              </w:rPr>
              <w:t>MP-03</w:t>
            </w:r>
          </w:p>
        </w:tc>
        <w:tc>
          <w:tcPr>
            <w:tcW w:type="dxa" w:w="2570"/>
            <w:vAlign w:val="top"/>
          </w:tcPr>
          <w:p>
            <w:pPr>
              <w:spacing w:after="0"/>
            </w:pPr>
            <w:r>
              <w:rPr>
                <w:sz w:val="11"/>
              </w:rPr>
              <w:t>population/style/generalization claim boundaries</w:t>
            </w:r>
          </w:p>
        </w:tc>
        <w:tc>
          <w:tcPr>
            <w:tcW w:type="dxa" w:w="2570"/>
            <w:vAlign w:val="top"/>
          </w:tcPr>
          <w:p>
            <w:pPr>
              <w:spacing w:after="0"/>
            </w:pPr>
            <w:r>
              <w:rPr>
                <w:sz w:val="11"/>
              </w:rPr>
              <w:t>DIRECT METHODOLOGICAL PRECEDENT</w:t>
            </w:r>
          </w:p>
        </w:tc>
      </w:tr>
      <w:tr>
        <w:tc>
          <w:tcPr>
            <w:tcW w:type="dxa" w:w="2570"/>
            <w:vAlign w:val="top"/>
          </w:tcPr>
          <w:p>
            <w:pPr>
              <w:spacing w:after="0"/>
            </w:pPr>
            <w:r>
              <w:rPr>
                <w:sz w:val="11"/>
              </w:rPr>
              <w:t>Model documentation</w:t>
            </w:r>
          </w:p>
        </w:tc>
        <w:tc>
          <w:tcPr>
            <w:tcW w:type="dxa" w:w="2570"/>
            <w:vAlign w:val="top"/>
          </w:tcPr>
          <w:p>
            <w:pPr>
              <w:spacing w:after="0"/>
            </w:pPr>
            <w:r>
              <w:rPr>
                <w:sz w:val="11"/>
              </w:rPr>
              <w:t>MP-04</w:t>
            </w:r>
          </w:p>
        </w:tc>
        <w:tc>
          <w:tcPr>
            <w:tcW w:type="dxa" w:w="2570"/>
            <w:vAlign w:val="top"/>
          </w:tcPr>
          <w:p>
            <w:pPr>
              <w:spacing w:after="0"/>
            </w:pPr>
            <w:r>
              <w:rPr>
                <w:sz w:val="11"/>
              </w:rPr>
              <w:t>generator registry/model card</w:t>
            </w:r>
          </w:p>
        </w:tc>
        <w:tc>
          <w:tcPr>
            <w:tcW w:type="dxa" w:w="2570"/>
            <w:vAlign w:val="top"/>
          </w:tcPr>
          <w:p>
            <w:pPr>
              <w:spacing w:after="0"/>
            </w:pPr>
            <w:r>
              <w:rPr>
                <w:sz w:val="11"/>
              </w:rPr>
              <w:t>DIRECT METHODOLOGICAL PRECEDENT</w:t>
            </w:r>
          </w:p>
        </w:tc>
      </w:tr>
      <w:tr>
        <w:tc>
          <w:tcPr>
            <w:tcW w:type="dxa" w:w="2570"/>
            <w:vAlign w:val="top"/>
          </w:tcPr>
          <w:p>
            <w:pPr>
              <w:spacing w:after="0"/>
            </w:pPr>
            <w:r>
              <w:rPr>
                <w:sz w:val="11"/>
              </w:rPr>
              <w:t>Transparent AI reporting</w:t>
            </w:r>
          </w:p>
        </w:tc>
        <w:tc>
          <w:tcPr>
            <w:tcW w:type="dxa" w:w="2570"/>
            <w:vAlign w:val="top"/>
          </w:tcPr>
          <w:p>
            <w:pPr>
              <w:spacing w:after="0"/>
            </w:pPr>
            <w:r>
              <w:rPr>
                <w:sz w:val="11"/>
              </w:rPr>
              <w:t>MP-05</w:t>
            </w:r>
          </w:p>
        </w:tc>
        <w:tc>
          <w:tcPr>
            <w:tcW w:type="dxa" w:w="2570"/>
            <w:vAlign w:val="top"/>
          </w:tcPr>
          <w:p>
            <w:pPr>
              <w:spacing w:after="0"/>
            </w:pPr>
            <w:r>
              <w:rPr>
                <w:sz w:val="11"/>
              </w:rPr>
              <w:t>reporting checklist/claim discipline</w:t>
            </w:r>
          </w:p>
        </w:tc>
        <w:tc>
          <w:tcPr>
            <w:tcW w:type="dxa" w:w="2570"/>
            <w:vAlign w:val="top"/>
          </w:tcPr>
          <w:p>
            <w:pPr>
              <w:spacing w:after="0"/>
            </w:pPr>
            <w:r>
              <w:rPr>
                <w:sz w:val="11"/>
              </w:rPr>
              <w:t>REPORTING PRECEDENT ONLY</w:t>
            </w:r>
          </w:p>
        </w:tc>
      </w:tr>
      <w:tr>
        <w:tc>
          <w:tcPr>
            <w:tcW w:type="dxa" w:w="2570"/>
            <w:vAlign w:val="top"/>
          </w:tcPr>
          <w:p>
            <w:pPr>
              <w:spacing w:after="0"/>
            </w:pPr>
            <w:r>
              <w:rPr>
                <w:sz w:val="11"/>
              </w:rPr>
              <w:t>AI error/version reporting</w:t>
            </w:r>
          </w:p>
        </w:tc>
        <w:tc>
          <w:tcPr>
            <w:tcW w:type="dxa" w:w="2570"/>
            <w:vAlign w:val="top"/>
          </w:tcPr>
          <w:p>
            <w:pPr>
              <w:spacing w:after="0"/>
            </w:pPr>
            <w:r>
              <w:rPr>
                <w:sz w:val="11"/>
              </w:rPr>
              <w:t>MP-06</w:t>
            </w:r>
          </w:p>
        </w:tc>
        <w:tc>
          <w:tcPr>
            <w:tcW w:type="dxa" w:w="2570"/>
            <w:vAlign w:val="top"/>
          </w:tcPr>
          <w:p>
            <w:pPr>
              <w:spacing w:after="0"/>
            </w:pPr>
            <w:r>
              <w:rPr>
                <w:sz w:val="11"/>
              </w:rPr>
              <w:t>renderer version; error-case analysis</w:t>
            </w:r>
          </w:p>
        </w:tc>
        <w:tc>
          <w:tcPr>
            <w:tcW w:type="dxa" w:w="2570"/>
            <w:vAlign w:val="top"/>
          </w:tcPr>
          <w:p>
            <w:pPr>
              <w:spacing w:after="0"/>
            </w:pPr>
            <w:r>
              <w:rPr>
                <w:sz w:val="11"/>
              </w:rPr>
              <w:t>ADAPTED; MedAI is not claiming trial compliance</w:t>
            </w:r>
          </w:p>
        </w:tc>
      </w:tr>
      <w:tr>
        <w:tc>
          <w:tcPr>
            <w:tcW w:type="dxa" w:w="2570"/>
            <w:vAlign w:val="top"/>
          </w:tcPr>
          <w:p>
            <w:pPr>
              <w:spacing w:after="0"/>
            </w:pPr>
            <w:r>
              <w:rPr>
                <w:sz w:val="11"/>
              </w:rPr>
              <w:t>Synthetic health data evaluation</w:t>
            </w:r>
          </w:p>
        </w:tc>
        <w:tc>
          <w:tcPr>
            <w:tcW w:type="dxa" w:w="2570"/>
            <w:vAlign w:val="top"/>
          </w:tcPr>
          <w:p>
            <w:pPr>
              <w:spacing w:after="0"/>
            </w:pPr>
            <w:r>
              <w:rPr>
                <w:sz w:val="11"/>
              </w:rPr>
              <w:t>MP-07</w:t>
            </w:r>
          </w:p>
        </w:tc>
        <w:tc>
          <w:tcPr>
            <w:tcW w:type="dxa" w:w="2570"/>
            <w:vAlign w:val="top"/>
          </w:tcPr>
          <w:p>
            <w:pPr>
              <w:spacing w:after="0"/>
            </w:pPr>
            <w:r>
              <w:rPr>
                <w:sz w:val="11"/>
              </w:rPr>
              <w:t>privacy/fidelity/utility claim gates</w:t>
            </w:r>
          </w:p>
        </w:tc>
        <w:tc>
          <w:tcPr>
            <w:tcW w:type="dxa" w:w="2570"/>
            <w:vAlign w:val="top"/>
          </w:tcPr>
          <w:p>
            <w:pPr>
              <w:spacing w:after="0"/>
            </w:pPr>
            <w:r>
              <w:rPr>
                <w:sz w:val="11"/>
              </w:rPr>
              <w:t>DIRECT EVIDENCE FOR CAUTION</w:t>
            </w:r>
          </w:p>
        </w:tc>
      </w:tr>
      <w:tr>
        <w:tc>
          <w:tcPr>
            <w:tcW w:type="dxa" w:w="2570"/>
            <w:vAlign w:val="top"/>
          </w:tcPr>
          <w:p>
            <w:pPr>
              <w:spacing w:after="0"/>
            </w:pPr>
            <w:r>
              <w:rPr>
                <w:sz w:val="11"/>
              </w:rPr>
              <w:t>Epilepsy synthetic text/annotation</w:t>
            </w:r>
          </w:p>
        </w:tc>
        <w:tc>
          <w:tcPr>
            <w:tcW w:type="dxa" w:w="2570"/>
            <w:vAlign w:val="top"/>
          </w:tcPr>
          <w:p>
            <w:pPr>
              <w:spacing w:after="0"/>
            </w:pPr>
            <w:r>
              <w:rPr>
                <w:sz w:val="11"/>
              </w:rPr>
              <w:t>MP-08</w:t>
            </w:r>
          </w:p>
        </w:tc>
        <w:tc>
          <w:tcPr>
            <w:tcW w:type="dxa" w:w="2570"/>
            <w:vAlign w:val="top"/>
          </w:tcPr>
          <w:p>
            <w:pPr>
              <w:spacing w:after="0"/>
            </w:pPr>
            <w:r>
              <w:rPr>
                <w:sz w:val="11"/>
              </w:rPr>
              <w:t>span annotation; clinician review precedent; style variation</w:t>
            </w:r>
          </w:p>
        </w:tc>
        <w:tc>
          <w:tcPr>
            <w:tcW w:type="dxa" w:w="2570"/>
            <w:vAlign w:val="top"/>
          </w:tcPr>
          <w:p>
            <w:pPr>
              <w:spacing w:after="0"/>
            </w:pPr>
            <w:r>
              <w:rPr>
                <w:sz w:val="11"/>
              </w:rPr>
              <w:t>DOMAIN-SPECIFIC PRECEDENT</w:t>
            </w:r>
          </w:p>
        </w:tc>
      </w:tr>
    </w:tbl>
    <w:p/>
    <w:p>
      <w:pPr>
        <w:pStyle w:val="Heading1"/>
      </w:pPr>
      <w:r>
        <w:t>8. Prospective validation program</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D9EAF7"/>
          </w:tcPr>
          <w:p>
            <w:r>
              <w:rPr>
                <w:b/>
                <w:sz w:val="10"/>
              </w:rPr>
              <w:t>ID</w:t>
            </w:r>
          </w:p>
        </w:tc>
        <w:tc>
          <w:tcPr>
            <w:tcW w:type="dxa" w:w="1714"/>
            <w:shd w:fill="D9EAF7"/>
          </w:tcPr>
          <w:p>
            <w:r>
              <w:rPr>
                <w:b/>
                <w:sz w:val="10"/>
              </w:rPr>
              <w:t>Method</w:t>
            </w:r>
          </w:p>
        </w:tc>
        <w:tc>
          <w:tcPr>
            <w:tcW w:type="dxa" w:w="1714"/>
            <w:shd w:fill="D9EAF7"/>
          </w:tcPr>
          <w:p>
            <w:r>
              <w:rPr>
                <w:b/>
                <w:sz w:val="10"/>
              </w:rPr>
              <w:t>Research question</w:t>
            </w:r>
          </w:p>
        </w:tc>
        <w:tc>
          <w:tcPr>
            <w:tcW w:type="dxa" w:w="1714"/>
            <w:shd w:fill="D9EAF7"/>
          </w:tcPr>
          <w:p>
            <w:r>
              <w:rPr>
                <w:b/>
                <w:sz w:val="10"/>
              </w:rPr>
              <w:t>Design</w:t>
            </w:r>
          </w:p>
        </w:tc>
        <w:tc>
          <w:tcPr>
            <w:tcW w:type="dxa" w:w="1714"/>
            <w:shd w:fill="D9EAF7"/>
          </w:tcPr>
          <w:p>
            <w:r>
              <w:rPr>
                <w:b/>
                <w:sz w:val="10"/>
              </w:rPr>
              <w:t>Outcomes</w:t>
            </w:r>
          </w:p>
        </w:tc>
        <w:tc>
          <w:tcPr>
            <w:tcW w:type="dxa" w:w="1714"/>
            <w:shd w:fill="D9EAF7"/>
          </w:tcPr>
          <w:p>
            <w:r>
              <w:rPr>
                <w:b/>
                <w:sz w:val="10"/>
              </w:rPr>
              <w:t>Decision policy</w:t>
            </w:r>
          </w:p>
        </w:tc>
      </w:tr>
      <w:tr>
        <w:tc>
          <w:tcPr>
            <w:tcW w:type="dxa" w:w="1714"/>
            <w:vAlign w:val="top"/>
          </w:tcPr>
          <w:p>
            <w:pPr>
              <w:spacing w:after="0"/>
            </w:pPr>
            <w:r>
              <w:rPr>
                <w:sz w:val="10"/>
              </w:rPr>
              <w:t>V01</w:t>
            </w:r>
          </w:p>
        </w:tc>
        <w:tc>
          <w:tcPr>
            <w:tcW w:type="dxa" w:w="1714"/>
            <w:vAlign w:val="top"/>
          </w:tcPr>
          <w:p>
            <w:pPr>
              <w:spacing w:after="0"/>
            </w:pPr>
            <w:r>
              <w:rPr>
                <w:sz w:val="10"/>
              </w:rPr>
              <w:t>Semantic planner</w:t>
            </w:r>
          </w:p>
        </w:tc>
        <w:tc>
          <w:tcPr>
            <w:tcW w:type="dxa" w:w="1714"/>
            <w:vAlign w:val="top"/>
          </w:tcPr>
          <w:p>
            <w:pPr>
              <w:spacing w:after="0"/>
            </w:pPr>
            <w:r>
              <w:rPr>
                <w:sz w:val="10"/>
              </w:rPr>
              <w:t>Does constrained planning reduce unsupported clinical assertions without harming target-expression accuracy?</w:t>
            </w:r>
          </w:p>
        </w:tc>
        <w:tc>
          <w:tcPr>
            <w:tcW w:type="dxa" w:w="1714"/>
            <w:vAlign w:val="top"/>
          </w:tcPr>
          <w:p>
            <w:pPr>
              <w:spacing w:after="0"/>
            </w:pPr>
            <w:r>
              <w:rPr>
                <w:sz w:val="10"/>
              </w:rPr>
              <w:t>Compare free-form, structured-context, and semantic-plan conditions on same latent cases; blinded claim adjudication.</w:t>
            </w:r>
          </w:p>
        </w:tc>
        <w:tc>
          <w:tcPr>
            <w:tcW w:type="dxa" w:w="1714"/>
            <w:vAlign w:val="top"/>
          </w:tcPr>
          <w:p>
            <w:pPr>
              <w:spacing w:after="0"/>
            </w:pPr>
            <w:r>
              <w:rPr>
                <w:sz w:val="10"/>
              </w:rPr>
              <w:t>Unsupported assertion rate; semantic preservation; omission rate; contradiction rate.</w:t>
            </w:r>
          </w:p>
        </w:tc>
        <w:tc>
          <w:tcPr>
            <w:tcW w:type="dxa" w:w="1714"/>
            <w:vAlign w:val="top"/>
          </w:tcPr>
          <w:p>
            <w:pPr>
              <w:spacing w:after="0"/>
            </w:pPr>
            <w:r>
              <w:rPr>
                <w:sz w:val="10"/>
              </w:rPr>
              <w:t>No threshold invented now; pilot estimates + CIs first.</w:t>
            </w:r>
          </w:p>
        </w:tc>
      </w:tr>
      <w:tr>
        <w:tc>
          <w:tcPr>
            <w:tcW w:type="dxa" w:w="1714"/>
            <w:vAlign w:val="top"/>
          </w:tcPr>
          <w:p>
            <w:pPr>
              <w:spacing w:after="0"/>
            </w:pPr>
            <w:r>
              <w:rPr>
                <w:sz w:val="10"/>
              </w:rPr>
              <w:t>V02</w:t>
            </w:r>
          </w:p>
        </w:tc>
        <w:tc>
          <w:tcPr>
            <w:tcW w:type="dxa" w:w="1714"/>
            <w:vAlign w:val="top"/>
          </w:tcPr>
          <w:p>
            <w:pPr>
              <w:spacing w:after="0"/>
            </w:pPr>
            <w:r>
              <w:rPr>
                <w:sz w:val="10"/>
              </w:rPr>
              <w:t>Truth-preservation validator</w:t>
            </w:r>
          </w:p>
        </w:tc>
        <w:tc>
          <w:tcPr>
            <w:tcW w:type="dxa" w:w="1714"/>
            <w:vAlign w:val="top"/>
          </w:tcPr>
          <w:p>
            <w:pPr>
              <w:spacing w:after="0"/>
            </w:pPr>
            <w:r>
              <w:rPr>
                <w:sz w:val="10"/>
              </w:rPr>
              <w:t>Can automatic validator detect unsupported/corrupted generated claims?</w:t>
            </w:r>
          </w:p>
        </w:tc>
        <w:tc>
          <w:tcPr>
            <w:tcW w:type="dxa" w:w="1714"/>
            <w:vAlign w:val="top"/>
          </w:tcPr>
          <w:p>
            <w:pPr>
              <w:spacing w:after="0"/>
            </w:pPr>
            <w:r>
              <w:rPr>
                <w:sz w:val="10"/>
              </w:rPr>
              <w:t>Create manually adjudicated claim-level reference set; compare validator predictions.</w:t>
            </w:r>
          </w:p>
        </w:tc>
        <w:tc>
          <w:tcPr>
            <w:tcW w:type="dxa" w:w="1714"/>
            <w:vAlign w:val="top"/>
          </w:tcPr>
          <w:p>
            <w:pPr>
              <w:spacing w:after="0"/>
            </w:pPr>
            <w:r>
              <w:rPr>
                <w:sz w:val="10"/>
              </w:rPr>
              <w:t>Sensitivity; specificity; precision; recall; F1; error taxonomy.</w:t>
            </w:r>
          </w:p>
        </w:tc>
        <w:tc>
          <w:tcPr>
            <w:tcW w:type="dxa" w:w="1714"/>
            <w:vAlign w:val="top"/>
          </w:tcPr>
          <w:p>
            <w:pPr>
              <w:spacing w:after="0"/>
            </w:pPr>
            <w:r>
              <w:rPr>
                <w:sz w:val="10"/>
              </w:rPr>
              <w:t>Threshold set only after pilot/clinician review.</w:t>
            </w:r>
          </w:p>
        </w:tc>
      </w:tr>
      <w:tr>
        <w:tc>
          <w:tcPr>
            <w:tcW w:type="dxa" w:w="1714"/>
            <w:vAlign w:val="top"/>
          </w:tcPr>
          <w:p>
            <w:pPr>
              <w:spacing w:after="0"/>
            </w:pPr>
            <w:r>
              <w:rPr>
                <w:sz w:val="10"/>
              </w:rPr>
              <w:t>V03</w:t>
            </w:r>
          </w:p>
        </w:tc>
        <w:tc>
          <w:tcPr>
            <w:tcW w:type="dxa" w:w="1714"/>
            <w:vAlign w:val="top"/>
          </w:tcPr>
          <w:p>
            <w:pPr>
              <w:spacing w:after="0"/>
            </w:pPr>
            <w:r>
              <w:rPr>
                <w:sz w:val="10"/>
              </w:rPr>
              <w:t>Document information scope</w:t>
            </w:r>
          </w:p>
        </w:tc>
        <w:tc>
          <w:tcPr>
            <w:tcW w:type="dxa" w:w="1714"/>
            <w:vAlign w:val="top"/>
          </w:tcPr>
          <w:p>
            <w:pPr>
              <w:spacing w:after="0"/>
            </w:pPr>
            <w:r>
              <w:rPr>
                <w:sz w:val="10"/>
              </w:rPr>
              <w:t>Does the renderer respect explicitly supplied event scope?</w:t>
            </w:r>
          </w:p>
        </w:tc>
        <w:tc>
          <w:tcPr>
            <w:tcW w:type="dxa" w:w="1714"/>
            <w:vAlign w:val="top"/>
          </w:tcPr>
          <w:p>
            <w:pPr>
              <w:spacing w:after="0"/>
            </w:pPr>
            <w:r>
              <w:rPr>
                <w:sz w:val="10"/>
              </w:rPr>
              <w:t>Withhold known events from plan and test for leakage into text.</w:t>
            </w:r>
          </w:p>
        </w:tc>
        <w:tc>
          <w:tcPr>
            <w:tcW w:type="dxa" w:w="1714"/>
            <w:vAlign w:val="top"/>
          </w:tcPr>
          <w:p>
            <w:pPr>
              <w:spacing w:after="0"/>
            </w:pPr>
            <w:r>
              <w:rPr>
                <w:sz w:val="10"/>
              </w:rPr>
              <w:t>Leakage rate; unsupported assertion rate.</w:t>
            </w:r>
          </w:p>
        </w:tc>
        <w:tc>
          <w:tcPr>
            <w:tcW w:type="dxa" w:w="1714"/>
            <w:vAlign w:val="top"/>
          </w:tcPr>
          <w:p>
            <w:pPr>
              <w:spacing w:after="0"/>
            </w:pPr>
            <w:r>
              <w:rPr>
                <w:sz w:val="10"/>
              </w:rPr>
              <w:t>Target is zero leakage; observed CI reported.</w:t>
            </w:r>
          </w:p>
        </w:tc>
      </w:tr>
      <w:tr>
        <w:tc>
          <w:tcPr>
            <w:tcW w:type="dxa" w:w="1714"/>
            <w:vAlign w:val="top"/>
          </w:tcPr>
          <w:p>
            <w:pPr>
              <w:spacing w:after="0"/>
            </w:pPr>
            <w:r>
              <w:rPr>
                <w:sz w:val="10"/>
              </w:rPr>
              <w:t>V04</w:t>
            </w:r>
          </w:p>
        </w:tc>
        <w:tc>
          <w:tcPr>
            <w:tcW w:type="dxa" w:w="1714"/>
            <w:vAlign w:val="top"/>
          </w:tcPr>
          <w:p>
            <w:pPr>
              <w:spacing w:after="0"/>
            </w:pPr>
            <w:r>
              <w:rPr>
                <w:sz w:val="10"/>
              </w:rPr>
              <w:t>Style profiles</w:t>
            </w:r>
          </w:p>
        </w:tc>
        <w:tc>
          <w:tcPr>
            <w:tcW w:type="dxa" w:w="1714"/>
            <w:vAlign w:val="top"/>
          </w:tcPr>
          <w:p>
            <w:pPr>
              <w:spacing w:after="0"/>
            </w:pPr>
            <w:r>
              <w:rPr>
                <w:sz w:val="10"/>
              </w:rPr>
              <w:t>Can style vary without changing semantics?</w:t>
            </w:r>
          </w:p>
        </w:tc>
        <w:tc>
          <w:tcPr>
            <w:tcW w:type="dxa" w:w="1714"/>
            <w:vAlign w:val="top"/>
          </w:tcPr>
          <w:p>
            <w:pPr>
              <w:spacing w:after="0"/>
            </w:pPr>
            <w:r>
              <w:rPr>
                <w:sz w:val="10"/>
              </w:rPr>
              <w:t>Render same plan under multiple style controls; adjudicate semantic equivalence and clinician realism.</w:t>
            </w:r>
          </w:p>
        </w:tc>
        <w:tc>
          <w:tcPr>
            <w:tcW w:type="dxa" w:w="1714"/>
            <w:vAlign w:val="top"/>
          </w:tcPr>
          <w:p>
            <w:pPr>
              <w:spacing w:after="0"/>
            </w:pPr>
            <w:r>
              <w:rPr>
                <w:sz w:val="10"/>
              </w:rPr>
              <w:t>Semantic preservation by style; clinician ratings; inter-rater reliability.</w:t>
            </w:r>
          </w:p>
        </w:tc>
        <w:tc>
          <w:tcPr>
            <w:tcW w:type="dxa" w:w="1714"/>
            <w:vAlign w:val="top"/>
          </w:tcPr>
          <w:p>
            <w:pPr>
              <w:spacing w:after="0"/>
            </w:pPr>
            <w:r>
              <w:rPr>
                <w:sz w:val="10"/>
              </w:rPr>
              <w:t>No realism cutoff invented.</w:t>
            </w:r>
          </w:p>
        </w:tc>
      </w:tr>
      <w:tr>
        <w:tc>
          <w:tcPr>
            <w:tcW w:type="dxa" w:w="1714"/>
            <w:vAlign w:val="top"/>
          </w:tcPr>
          <w:p>
            <w:pPr>
              <w:spacing w:after="0"/>
            </w:pPr>
            <w:r>
              <w:rPr>
                <w:sz w:val="10"/>
              </w:rPr>
              <w:t>V05</w:t>
            </w:r>
          </w:p>
        </w:tc>
        <w:tc>
          <w:tcPr>
            <w:tcW w:type="dxa" w:w="1714"/>
            <w:vAlign w:val="top"/>
          </w:tcPr>
          <w:p>
            <w:pPr>
              <w:spacing w:after="0"/>
            </w:pPr>
            <w:r>
              <w:rPr>
                <w:sz w:val="10"/>
              </w:rPr>
              <w:t>Omission controls</w:t>
            </w:r>
          </w:p>
        </w:tc>
        <w:tc>
          <w:tcPr>
            <w:tcW w:type="dxa" w:w="1714"/>
            <w:vAlign w:val="top"/>
          </w:tcPr>
          <w:p>
            <w:pPr>
              <w:spacing w:after="0"/>
            </w:pPr>
            <w:r>
              <w:rPr>
                <w:sz w:val="10"/>
              </w:rPr>
              <w:t>Can facts be omitted without introducing contradiction or false absence?</w:t>
            </w:r>
          </w:p>
        </w:tc>
        <w:tc>
          <w:tcPr>
            <w:tcW w:type="dxa" w:w="1714"/>
            <w:vAlign w:val="top"/>
          </w:tcPr>
          <w:p>
            <w:pPr>
              <w:spacing w:after="0"/>
            </w:pPr>
            <w:r>
              <w:rPr>
                <w:sz w:val="10"/>
              </w:rPr>
              <w:t>Controlled omission experiment on same latent plan.</w:t>
            </w:r>
          </w:p>
        </w:tc>
        <w:tc>
          <w:tcPr>
            <w:tcW w:type="dxa" w:w="1714"/>
            <w:vAlign w:val="top"/>
          </w:tcPr>
          <w:p>
            <w:pPr>
              <w:spacing w:after="0"/>
            </w:pPr>
            <w:r>
              <w:rPr>
                <w:sz w:val="10"/>
              </w:rPr>
              <w:t>Omission compliance; false-negation rate; semantic preservation.</w:t>
            </w:r>
          </w:p>
        </w:tc>
        <w:tc>
          <w:tcPr>
            <w:tcW w:type="dxa" w:w="1714"/>
            <w:vAlign w:val="top"/>
          </w:tcPr>
          <w:p>
            <w:pPr>
              <w:spacing w:after="0"/>
            </w:pPr>
            <w:r>
              <w:rPr>
                <w:sz w:val="10"/>
              </w:rPr>
              <w:t>No prevalence interpretation.</w:t>
            </w:r>
          </w:p>
        </w:tc>
      </w:tr>
      <w:tr>
        <w:tc>
          <w:tcPr>
            <w:tcW w:type="dxa" w:w="1714"/>
            <w:vAlign w:val="top"/>
          </w:tcPr>
          <w:p>
            <w:pPr>
              <w:spacing w:after="0"/>
            </w:pPr>
            <w:r>
              <w:rPr>
                <w:sz w:val="10"/>
              </w:rPr>
              <w:t>V06</w:t>
            </w:r>
          </w:p>
        </w:tc>
        <w:tc>
          <w:tcPr>
            <w:tcW w:type="dxa" w:w="1714"/>
            <w:vAlign w:val="top"/>
          </w:tcPr>
          <w:p>
            <w:pPr>
              <w:spacing w:after="0"/>
            </w:pPr>
            <w:r>
              <w:rPr>
                <w:sz w:val="10"/>
              </w:rPr>
              <w:t>Controlled conflicts</w:t>
            </w:r>
          </w:p>
        </w:tc>
        <w:tc>
          <w:tcPr>
            <w:tcW w:type="dxa" w:w="1714"/>
            <w:vAlign w:val="top"/>
          </w:tcPr>
          <w:p>
            <w:pPr>
              <w:spacing w:after="0"/>
            </w:pPr>
            <w:r>
              <w:rPr>
                <w:sz w:val="10"/>
              </w:rPr>
              <w:t>Are designed conflicts clinically coherent and provenance-traceable?</w:t>
            </w:r>
          </w:p>
        </w:tc>
        <w:tc>
          <w:tcPr>
            <w:tcW w:type="dxa" w:w="1714"/>
            <w:vAlign w:val="top"/>
          </w:tcPr>
          <w:p>
            <w:pPr>
              <w:spacing w:after="0"/>
            </w:pPr>
            <w:r>
              <w:rPr>
                <w:sz w:val="10"/>
              </w:rPr>
              <w:t>Clinician review of conflict packets with hidden scenario labels.</w:t>
            </w:r>
          </w:p>
        </w:tc>
        <w:tc>
          <w:tcPr>
            <w:tcW w:type="dxa" w:w="1714"/>
            <w:vAlign w:val="top"/>
          </w:tcPr>
          <w:p>
            <w:pPr>
              <w:spacing w:after="0"/>
            </w:pPr>
            <w:r>
              <w:rPr>
                <w:sz w:val="10"/>
              </w:rPr>
              <w:t>Plausibility; traceability; adjudicated error categories.</w:t>
            </w:r>
          </w:p>
        </w:tc>
        <w:tc>
          <w:tcPr>
            <w:tcW w:type="dxa" w:w="1714"/>
            <w:vAlign w:val="top"/>
          </w:tcPr>
          <w:p>
            <w:pPr>
              <w:spacing w:after="0"/>
            </w:pPr>
            <w:r>
              <w:rPr>
                <w:sz w:val="10"/>
              </w:rPr>
              <w:t>Block release if random/unexplained conflicts exist.</w:t>
            </w:r>
          </w:p>
        </w:tc>
      </w:tr>
      <w:tr>
        <w:tc>
          <w:tcPr>
            <w:tcW w:type="dxa" w:w="1714"/>
            <w:vAlign w:val="top"/>
          </w:tcPr>
          <w:p>
            <w:pPr>
              <w:spacing w:after="0"/>
            </w:pPr>
            <w:r>
              <w:rPr>
                <w:sz w:val="10"/>
              </w:rPr>
              <w:t>V07</w:t>
            </w:r>
          </w:p>
        </w:tc>
        <w:tc>
          <w:tcPr>
            <w:tcW w:type="dxa" w:w="1714"/>
            <w:vAlign w:val="top"/>
          </w:tcPr>
          <w:p>
            <w:pPr>
              <w:spacing w:after="0"/>
            </w:pPr>
            <w:r>
              <w:rPr>
                <w:sz w:val="10"/>
              </w:rPr>
              <w:t>Clinical realism</w:t>
            </w:r>
          </w:p>
        </w:tc>
        <w:tc>
          <w:tcPr>
            <w:tcW w:type="dxa" w:w="1714"/>
            <w:vAlign w:val="top"/>
          </w:tcPr>
          <w:p>
            <w:pPr>
              <w:spacing w:after="0"/>
            </w:pPr>
            <w:r>
              <w:rPr>
                <w:sz w:val="10"/>
              </w:rPr>
              <w:t>Do clinicians judge generated documents coherent/plausible for the claimed document family?</w:t>
            </w:r>
          </w:p>
        </w:tc>
        <w:tc>
          <w:tcPr>
            <w:tcW w:type="dxa" w:w="1714"/>
            <w:vAlign w:val="top"/>
          </w:tcPr>
          <w:p>
            <w:pPr>
              <w:spacing w:after="0"/>
            </w:pPr>
            <w:r>
              <w:rPr>
                <w:sz w:val="10"/>
              </w:rPr>
              <w:t>Develop and pilot a rubric; blinded multi-rater assessment; include source-backed family labels.</w:t>
            </w:r>
          </w:p>
        </w:tc>
        <w:tc>
          <w:tcPr>
            <w:tcW w:type="dxa" w:w="1714"/>
            <w:vAlign w:val="top"/>
          </w:tcPr>
          <w:p>
            <w:pPr>
              <w:spacing w:after="0"/>
            </w:pPr>
            <w:r>
              <w:rPr>
                <w:sz w:val="10"/>
              </w:rPr>
              <w:t>Item distributions; agreement/reliability; qualitative failure analysis.</w:t>
            </w:r>
          </w:p>
        </w:tc>
        <w:tc>
          <w:tcPr>
            <w:tcW w:type="dxa" w:w="1714"/>
            <w:vAlign w:val="top"/>
          </w:tcPr>
          <w:p>
            <w:pPr>
              <w:spacing w:after="0"/>
            </w:pPr>
            <w:r>
              <w:rPr>
                <w:sz w:val="10"/>
              </w:rPr>
              <w:t>Rubric and acceptance rule must be prospectively frozen.</w:t>
            </w:r>
          </w:p>
        </w:tc>
      </w:tr>
      <w:tr>
        <w:tc>
          <w:tcPr>
            <w:tcW w:type="dxa" w:w="1714"/>
            <w:vAlign w:val="top"/>
          </w:tcPr>
          <w:p>
            <w:pPr>
              <w:spacing w:after="0"/>
            </w:pPr>
            <w:r>
              <w:rPr>
                <w:sz w:val="10"/>
              </w:rPr>
              <w:t>V08</w:t>
            </w:r>
          </w:p>
        </w:tc>
        <w:tc>
          <w:tcPr>
            <w:tcW w:type="dxa" w:w="1714"/>
            <w:vAlign w:val="top"/>
          </w:tcPr>
          <w:p>
            <w:pPr>
              <w:spacing w:after="0"/>
            </w:pPr>
            <w:r>
              <w:rPr>
                <w:sz w:val="10"/>
              </w:rPr>
              <w:t>Downstream utility</w:t>
            </w:r>
          </w:p>
        </w:tc>
        <w:tc>
          <w:tcPr>
            <w:tcW w:type="dxa" w:w="1714"/>
            <w:vAlign w:val="top"/>
          </w:tcPr>
          <w:p>
            <w:pPr>
              <w:spacing w:after="0"/>
            </w:pPr>
            <w:r>
              <w:rPr>
                <w:sz w:val="10"/>
              </w:rPr>
              <w:t>Does synthetic training/evaluation transfer to real clinical text?</w:t>
            </w:r>
          </w:p>
        </w:tc>
        <w:tc>
          <w:tcPr>
            <w:tcW w:type="dxa" w:w="1714"/>
            <w:vAlign w:val="top"/>
          </w:tcPr>
          <w:p>
            <w:pPr>
              <w:spacing w:after="0"/>
            </w:pPr>
            <w:r>
              <w:rPr>
                <w:sz w:val="10"/>
              </w:rPr>
              <w:t>Train/evaluate extraction models using synthetic vs real/mixed regimes with patient-level held-out real evaluation.</w:t>
            </w:r>
          </w:p>
        </w:tc>
        <w:tc>
          <w:tcPr>
            <w:tcW w:type="dxa" w:w="1714"/>
            <w:vAlign w:val="top"/>
          </w:tcPr>
          <w:p>
            <w:pPr>
              <w:spacing w:after="0"/>
            </w:pPr>
            <w:r>
              <w:rPr>
                <w:sz w:val="10"/>
              </w:rPr>
              <w:t>F1/precision/recall/evidence accuracy; performance gaps with CIs.</w:t>
            </w:r>
          </w:p>
        </w:tc>
        <w:tc>
          <w:tcPr>
            <w:tcW w:type="dxa" w:w="1714"/>
            <w:vAlign w:val="top"/>
          </w:tcPr>
          <w:p>
            <w:pPr>
              <w:spacing w:after="0"/>
            </w:pPr>
            <w:r>
              <w:rPr>
                <w:sz w:val="10"/>
              </w:rPr>
              <w:t>Required before claiming real-world utility.</w:t>
            </w:r>
          </w:p>
        </w:tc>
      </w:tr>
      <w:tr>
        <w:tc>
          <w:tcPr>
            <w:tcW w:type="dxa" w:w="1714"/>
            <w:vAlign w:val="top"/>
          </w:tcPr>
          <w:p>
            <w:pPr>
              <w:spacing w:after="0"/>
            </w:pPr>
            <w:r>
              <w:rPr>
                <w:sz w:val="10"/>
              </w:rPr>
              <w:t>V09</w:t>
            </w:r>
          </w:p>
        </w:tc>
        <w:tc>
          <w:tcPr>
            <w:tcW w:type="dxa" w:w="1714"/>
            <w:vAlign w:val="top"/>
          </w:tcPr>
          <w:p>
            <w:pPr>
              <w:spacing w:after="0"/>
            </w:pPr>
            <w:r>
              <w:rPr>
                <w:sz w:val="10"/>
              </w:rPr>
              <w:t>Privacy</w:t>
            </w:r>
          </w:p>
        </w:tc>
        <w:tc>
          <w:tcPr>
            <w:tcW w:type="dxa" w:w="1714"/>
            <w:vAlign w:val="top"/>
          </w:tcPr>
          <w:p>
            <w:pPr>
              <w:spacing w:after="0"/>
            </w:pPr>
            <w:r>
              <w:rPr>
                <w:sz w:val="10"/>
              </w:rPr>
              <w:t>What privacy risk exists for any release generated using private training/fine-tuning data?</w:t>
            </w:r>
          </w:p>
        </w:tc>
        <w:tc>
          <w:tcPr>
            <w:tcW w:type="dxa" w:w="1714"/>
            <w:vAlign w:val="top"/>
          </w:tcPr>
          <w:p>
            <w:pPr>
              <w:spacing w:after="0"/>
            </w:pPr>
            <w:r>
              <w:rPr>
                <w:sz w:val="10"/>
              </w:rPr>
              <w:t>Define threat model based on actual generator/training setup; select appropriate privacy tests.</w:t>
            </w:r>
          </w:p>
        </w:tc>
        <w:tc>
          <w:tcPr>
            <w:tcW w:type="dxa" w:w="1714"/>
            <w:vAlign w:val="top"/>
          </w:tcPr>
          <w:p>
            <w:pPr>
              <w:spacing w:after="0"/>
            </w:pPr>
            <w:r>
              <w:rPr>
                <w:sz w:val="10"/>
              </w:rPr>
              <w:t>Depends on threat model; may include membership/attribute inference or memorization tests.</w:t>
            </w:r>
          </w:p>
        </w:tc>
        <w:tc>
          <w:tcPr>
            <w:tcW w:type="dxa" w:w="1714"/>
            <w:vAlign w:val="top"/>
          </w:tcPr>
          <w:p>
            <w:pPr>
              <w:spacing w:after="0"/>
            </w:pPr>
            <w:r>
              <w:rPr>
                <w:sz w:val="10"/>
              </w:rPr>
              <w:t>No generic privacy-safe claim.</w:t>
            </w:r>
          </w:p>
        </w:tc>
      </w:tr>
      <w:tr>
        <w:tc>
          <w:tcPr>
            <w:tcW w:type="dxa" w:w="1714"/>
            <w:vAlign w:val="top"/>
          </w:tcPr>
          <w:p>
            <w:pPr>
              <w:spacing w:after="0"/>
            </w:pPr>
            <w:r>
              <w:rPr>
                <w:sz w:val="10"/>
              </w:rPr>
              <w:t>V10</w:t>
            </w:r>
          </w:p>
        </w:tc>
        <w:tc>
          <w:tcPr>
            <w:tcW w:type="dxa" w:w="1714"/>
            <w:vAlign w:val="top"/>
          </w:tcPr>
          <w:p>
            <w:pPr>
              <w:spacing w:after="0"/>
            </w:pPr>
            <w:r>
              <w:rPr>
                <w:sz w:val="10"/>
              </w:rPr>
              <w:t>Dataset documentation</w:t>
            </w:r>
          </w:p>
        </w:tc>
        <w:tc>
          <w:tcPr>
            <w:tcW w:type="dxa" w:w="1714"/>
            <w:vAlign w:val="top"/>
          </w:tcPr>
          <w:p>
            <w:pPr>
              <w:spacing w:after="0"/>
            </w:pPr>
            <w:r>
              <w:rPr>
                <w:sz w:val="10"/>
              </w:rPr>
              <w:t>Can an independent reader reconstruct provenance, generation decisions and intended use?</w:t>
            </w:r>
          </w:p>
        </w:tc>
        <w:tc>
          <w:tcPr>
            <w:tcW w:type="dxa" w:w="1714"/>
            <w:vAlign w:val="top"/>
          </w:tcPr>
          <w:p>
            <w:pPr>
              <w:spacing w:after="0"/>
            </w:pPr>
            <w:r>
              <w:rPr>
                <w:sz w:val="10"/>
              </w:rPr>
              <w:t>Audit datasheet/data statement/model card/source registry for completeness.</w:t>
            </w:r>
          </w:p>
        </w:tc>
        <w:tc>
          <w:tcPr>
            <w:tcW w:type="dxa" w:w="1714"/>
            <w:vAlign w:val="top"/>
          </w:tcPr>
          <w:p>
            <w:pPr>
              <w:spacing w:after="0"/>
            </w:pPr>
            <w:r>
              <w:rPr>
                <w:sz w:val="10"/>
              </w:rPr>
              <w:t>Checklist completeness; unresolved items.</w:t>
            </w:r>
          </w:p>
        </w:tc>
        <w:tc>
          <w:tcPr>
            <w:tcW w:type="dxa" w:w="1714"/>
            <w:vAlign w:val="top"/>
          </w:tcPr>
          <w:p>
            <w:pPr>
              <w:spacing w:after="0"/>
            </w:pPr>
            <w:r>
              <w:rPr>
                <w:sz w:val="10"/>
              </w:rPr>
              <w:t>Must pass before benchmark release.</w:t>
            </w:r>
          </w:p>
        </w:tc>
      </w:tr>
    </w:tbl>
    <w:p/>
    <w:p>
      <w:pPr>
        <w:pStyle w:val="Heading1"/>
      </w:pPr>
      <w:r>
        <w:t>9. What counts as validation</w:t>
      </w:r>
    </w:p>
    <w:p>
      <w:r>
        <w:t>Structural validity is established by deterministic checks such as uniqueness, referential integrity, exact evidence offsets and complete provenance. These do not require a clinical trial.</w:t>
      </w:r>
    </w:p>
    <w:p>
      <w:r>
        <w:t>Method effectiveness requires empirical comparison. For example, the semantic planner is not 'validated' because it exists; it must be compared against less constrained generation conditions on predefined outcomes.</w:t>
      </w:r>
    </w:p>
    <w:p>
      <w:r>
        <w:t>Clinical realism requires human expert evaluation using a prospectively defined instrument. Real-world utility requires evaluation on real held-out clinical text. Privacy requires a threat-model-specific analysis. These are different claims and cannot substitute for one another.</w:t>
      </w:r>
    </w:p>
    <w:p>
      <w:pPr>
        <w:pStyle w:val="Heading1"/>
      </w:pPr>
      <w:r>
        <w:t>10. Semantic planner validation experiment</w:t>
      </w:r>
    </w:p>
    <w:p>
      <w:r>
        <w:t>The semantic planner is one of EpiSynth's potentially publishable methodological contributions. Phase 6C defines, but does not fabricate results for, the following experiment:</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3"/>
              </w:rPr>
              <w:t>Condition</w:t>
            </w:r>
          </w:p>
        </w:tc>
        <w:tc>
          <w:tcPr>
            <w:tcW w:type="dxa" w:w="5141"/>
            <w:shd w:fill="D9EAF7"/>
          </w:tcPr>
          <w:p>
            <w:r>
              <w:rPr>
                <w:b/>
                <w:sz w:val="13"/>
              </w:rPr>
              <w:t>Input to renderer</w:t>
            </w:r>
          </w:p>
        </w:tc>
      </w:tr>
      <w:tr>
        <w:tc>
          <w:tcPr>
            <w:tcW w:type="dxa" w:w="5141"/>
            <w:vAlign w:val="top"/>
          </w:tcPr>
          <w:p>
            <w:pPr>
              <w:spacing w:after="0"/>
            </w:pPr>
            <w:r>
              <w:rPr>
                <w:sz w:val="12"/>
              </w:rPr>
              <w:t>A — Free-form</w:t>
            </w:r>
          </w:p>
        </w:tc>
        <w:tc>
          <w:tcPr>
            <w:tcW w:type="dxa" w:w="5141"/>
            <w:vAlign w:val="top"/>
          </w:tcPr>
          <w:p>
            <w:pPr>
              <w:spacing w:after="0"/>
            </w:pPr>
            <w:r>
              <w:rPr>
                <w:sz w:val="12"/>
              </w:rPr>
              <w:t>Scenario/patient summary without assertion-level constraints.</w:t>
            </w:r>
          </w:p>
        </w:tc>
      </w:tr>
      <w:tr>
        <w:tc>
          <w:tcPr>
            <w:tcW w:type="dxa" w:w="5141"/>
            <w:vAlign w:val="top"/>
          </w:tcPr>
          <w:p>
            <w:pPr>
              <w:spacing w:after="0"/>
            </w:pPr>
            <w:r>
              <w:rPr>
                <w:sz w:val="12"/>
              </w:rPr>
              <w:t>B — Structured context</w:t>
            </w:r>
          </w:p>
        </w:tc>
        <w:tc>
          <w:tcPr>
            <w:tcW w:type="dxa" w:w="5141"/>
            <w:vAlign w:val="top"/>
          </w:tcPr>
          <w:p>
            <w:pPr>
              <w:spacing w:after="0"/>
            </w:pPr>
            <w:r>
              <w:rPr>
                <w:sz w:val="12"/>
              </w:rPr>
              <w:t>Structured patient/event data without explicit allowed/prohibited assertion plan.</w:t>
            </w:r>
          </w:p>
        </w:tc>
      </w:tr>
      <w:tr>
        <w:tc>
          <w:tcPr>
            <w:tcW w:type="dxa" w:w="5141"/>
            <w:vAlign w:val="top"/>
          </w:tcPr>
          <w:p>
            <w:pPr>
              <w:spacing w:after="0"/>
            </w:pPr>
            <w:r>
              <w:rPr>
                <w:sz w:val="12"/>
              </w:rPr>
              <w:t>C — MedAI planner</w:t>
            </w:r>
          </w:p>
        </w:tc>
        <w:tc>
          <w:tcPr>
            <w:tcW w:type="dxa" w:w="5141"/>
            <w:vAlign w:val="top"/>
          </w:tcPr>
          <w:p>
            <w:pPr>
              <w:spacing w:after="0"/>
            </w:pPr>
            <w:r>
              <w:rPr>
                <w:sz w:val="12"/>
              </w:rPr>
              <w:t>Approved assertions + allowed source events + prohibited assertions + provenance metadata.</w:t>
            </w:r>
          </w:p>
        </w:tc>
      </w:tr>
    </w:tbl>
    <w:p/>
    <w:p>
      <w:r>
        <w:t>The same latent cases should be rendered across conditions. Blinded human adjudication should determine unsupported claims, corrupted attributes, omissions and contradictions. The study should report estimates and confidence intervals rather than an invented pass percentage.</w:t>
      </w:r>
    </w:p>
    <w:p>
      <w:pPr>
        <w:pStyle w:val="Heading1"/>
      </w:pPr>
      <w:r>
        <w:t>11. Truth-validator validation experiment</w:t>
      </w:r>
    </w:p>
    <w:p>
      <w:r>
        <w:t>The automatic validator must be evaluated against a manually adjudicated claim-level reference set. Sensitivity, specificity, precision, recall and F1 can then quantify detection performance. Error categories should be reported, consistent with the broader emphasis on AI error analysis in CONSORT-AI. This is an adaptation of an error-reporting principle, not a claim that MedAI is a randomized clinical trial.</w:t>
      </w:r>
    </w:p>
    <w:p>
      <w:pPr>
        <w:pStyle w:val="Heading1"/>
      </w:pPr>
      <w:r>
        <w:t>12. Synthetic-data claim boundaries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Claim</w:t>
            </w:r>
          </w:p>
        </w:tc>
        <w:tc>
          <w:tcPr>
            <w:tcW w:type="dxa" w:w="3427"/>
            <w:shd w:fill="D9EAF7"/>
          </w:tcPr>
          <w:p>
            <w:r>
              <w:rPr>
                <w:b/>
                <w:sz w:val="12"/>
              </w:rPr>
              <w:t>Current status</w:t>
            </w:r>
          </w:p>
        </w:tc>
        <w:tc>
          <w:tcPr>
            <w:tcW w:type="dxa" w:w="3427"/>
            <w:shd w:fill="D9EAF7"/>
          </w:tcPr>
          <w:p>
            <w:r>
              <w:rPr>
                <w:b/>
                <w:sz w:val="12"/>
              </w:rPr>
              <w:t>Evidence required</w:t>
            </w:r>
          </w:p>
        </w:tc>
      </w:tr>
      <w:tr>
        <w:tc>
          <w:tcPr>
            <w:tcW w:type="dxa" w:w="3427"/>
            <w:vAlign w:val="top"/>
          </w:tcPr>
          <w:p>
            <w:pPr>
              <w:spacing w:after="0"/>
            </w:pPr>
            <w:r>
              <w:rPr>
                <w:sz w:val="12"/>
              </w:rPr>
              <w:t>The documents are synthetic</w:t>
            </w:r>
          </w:p>
        </w:tc>
        <w:tc>
          <w:tcPr>
            <w:tcW w:type="dxa" w:w="3427"/>
            <w:vAlign w:val="top"/>
          </w:tcPr>
          <w:p>
            <w:pPr>
              <w:spacing w:after="0"/>
            </w:pPr>
            <w:r>
              <w:rPr>
                <w:sz w:val="12"/>
              </w:rPr>
              <w:t>SUPPORTED BY CONSTRUCTION</w:t>
            </w:r>
          </w:p>
        </w:tc>
        <w:tc>
          <w:tcPr>
            <w:tcW w:type="dxa" w:w="3427"/>
            <w:vAlign w:val="top"/>
          </w:tcPr>
          <w:p>
            <w:pPr>
              <w:spacing w:after="0"/>
            </w:pPr>
            <w:r>
              <w:rPr>
                <w:sz w:val="12"/>
              </w:rPr>
              <w:t>Generation provenance.</w:t>
            </w:r>
          </w:p>
        </w:tc>
      </w:tr>
      <w:tr>
        <w:tc>
          <w:tcPr>
            <w:tcW w:type="dxa" w:w="3427"/>
            <w:vAlign w:val="top"/>
          </w:tcPr>
          <w:p>
            <w:pPr>
              <w:spacing w:after="0"/>
            </w:pPr>
            <w:r>
              <w:rPr>
                <w:sz w:val="12"/>
              </w:rPr>
              <w:t>The documents preserve latent truth</w:t>
            </w:r>
          </w:p>
        </w:tc>
        <w:tc>
          <w:tcPr>
            <w:tcW w:type="dxa" w:w="3427"/>
            <w:vAlign w:val="top"/>
          </w:tcPr>
          <w:p>
            <w:pPr>
              <w:spacing w:after="0"/>
            </w:pPr>
            <w:r>
              <w:rPr>
                <w:sz w:val="12"/>
              </w:rPr>
              <w:t>UNPROVEN UNTIL PILOT</w:t>
            </w:r>
          </w:p>
        </w:tc>
        <w:tc>
          <w:tcPr>
            <w:tcW w:type="dxa" w:w="3427"/>
            <w:vAlign w:val="top"/>
          </w:tcPr>
          <w:p>
            <w:pPr>
              <w:spacing w:after="0"/>
            </w:pPr>
            <w:r>
              <w:rPr>
                <w:sz w:val="12"/>
              </w:rPr>
              <w:t>V01/V02 plus human adjudication.</w:t>
            </w:r>
          </w:p>
        </w:tc>
      </w:tr>
      <w:tr>
        <w:tc>
          <w:tcPr>
            <w:tcW w:type="dxa" w:w="3427"/>
            <w:vAlign w:val="top"/>
          </w:tcPr>
          <w:p>
            <w:pPr>
              <w:spacing w:after="0"/>
            </w:pPr>
            <w:r>
              <w:rPr>
                <w:sz w:val="12"/>
              </w:rPr>
              <w:t>The documents are clinically realistic</w:t>
            </w:r>
          </w:p>
        </w:tc>
        <w:tc>
          <w:tcPr>
            <w:tcW w:type="dxa" w:w="3427"/>
            <w:vAlign w:val="top"/>
          </w:tcPr>
          <w:p>
            <w:pPr>
              <w:spacing w:after="0"/>
            </w:pPr>
            <w:r>
              <w:rPr>
                <w:sz w:val="12"/>
              </w:rPr>
              <w:t>BLOCKED</w:t>
            </w:r>
          </w:p>
        </w:tc>
        <w:tc>
          <w:tcPr>
            <w:tcW w:type="dxa" w:w="3427"/>
            <w:vAlign w:val="top"/>
          </w:tcPr>
          <w:p>
            <w:pPr>
              <w:spacing w:after="0"/>
            </w:pPr>
            <w:r>
              <w:rPr>
                <w:sz w:val="12"/>
              </w:rPr>
              <w:t>V07 clinician review.</w:t>
            </w:r>
          </w:p>
        </w:tc>
      </w:tr>
      <w:tr>
        <w:tc>
          <w:tcPr>
            <w:tcW w:type="dxa" w:w="3427"/>
            <w:vAlign w:val="top"/>
          </w:tcPr>
          <w:p>
            <w:pPr>
              <w:spacing w:after="0"/>
            </w:pPr>
            <w:r>
              <w:rPr>
                <w:sz w:val="12"/>
              </w:rPr>
              <w:t>The corpus is useful for real clinical NLP</w:t>
            </w:r>
          </w:p>
        </w:tc>
        <w:tc>
          <w:tcPr>
            <w:tcW w:type="dxa" w:w="3427"/>
            <w:vAlign w:val="top"/>
          </w:tcPr>
          <w:p>
            <w:pPr>
              <w:spacing w:after="0"/>
            </w:pPr>
            <w:r>
              <w:rPr>
                <w:sz w:val="12"/>
              </w:rPr>
              <w:t>BLOCKED</w:t>
            </w:r>
          </w:p>
        </w:tc>
        <w:tc>
          <w:tcPr>
            <w:tcW w:type="dxa" w:w="3427"/>
            <w:vAlign w:val="top"/>
          </w:tcPr>
          <w:p>
            <w:pPr>
              <w:spacing w:after="0"/>
            </w:pPr>
            <w:r>
              <w:rPr>
                <w:sz w:val="12"/>
              </w:rPr>
              <w:t>V08 real held-out transfer evaluation.</w:t>
            </w:r>
          </w:p>
        </w:tc>
      </w:tr>
      <w:tr>
        <w:tc>
          <w:tcPr>
            <w:tcW w:type="dxa" w:w="3427"/>
            <w:vAlign w:val="top"/>
          </w:tcPr>
          <w:p>
            <w:pPr>
              <w:spacing w:after="0"/>
            </w:pPr>
            <w:r>
              <w:rPr>
                <w:sz w:val="12"/>
              </w:rPr>
              <w:t>The corpus is privacy-safe</w:t>
            </w:r>
          </w:p>
        </w:tc>
        <w:tc>
          <w:tcPr>
            <w:tcW w:type="dxa" w:w="3427"/>
            <w:vAlign w:val="top"/>
          </w:tcPr>
          <w:p>
            <w:pPr>
              <w:spacing w:after="0"/>
            </w:pPr>
            <w:r>
              <w:rPr>
                <w:sz w:val="12"/>
              </w:rPr>
              <w:t>BLOCKED</w:t>
            </w:r>
          </w:p>
        </w:tc>
        <w:tc>
          <w:tcPr>
            <w:tcW w:type="dxa" w:w="3427"/>
            <w:vAlign w:val="top"/>
          </w:tcPr>
          <w:p>
            <w:pPr>
              <w:spacing w:after="0"/>
            </w:pPr>
            <w:r>
              <w:rPr>
                <w:sz w:val="12"/>
              </w:rPr>
              <w:t>V09 threat-model-specific privacy evaluation.</w:t>
            </w:r>
          </w:p>
        </w:tc>
      </w:tr>
      <w:tr>
        <w:tc>
          <w:tcPr>
            <w:tcW w:type="dxa" w:w="3427"/>
            <w:vAlign w:val="top"/>
          </w:tcPr>
          <w:p>
            <w:pPr>
              <w:spacing w:after="0"/>
            </w:pPr>
            <w:r>
              <w:rPr>
                <w:sz w:val="12"/>
              </w:rPr>
              <w:t>The corpus represents epilepsy prevalence</w:t>
            </w:r>
          </w:p>
        </w:tc>
        <w:tc>
          <w:tcPr>
            <w:tcW w:type="dxa" w:w="3427"/>
            <w:vAlign w:val="top"/>
          </w:tcPr>
          <w:p>
            <w:pPr>
              <w:spacing w:after="0"/>
            </w:pPr>
            <w:r>
              <w:rPr>
                <w:sz w:val="12"/>
              </w:rPr>
              <w:t>PROHIBITED</w:t>
            </w:r>
          </w:p>
        </w:tc>
        <w:tc>
          <w:tcPr>
            <w:tcW w:type="dxa" w:w="3427"/>
            <w:vAlign w:val="top"/>
          </w:tcPr>
          <w:p>
            <w:pPr>
              <w:spacing w:after="0"/>
            </w:pPr>
            <w:r>
              <w:rPr>
                <w:sz w:val="12"/>
              </w:rPr>
              <w:t>Would require external epidemiologic sampling design; not a benchmark-generation assumption.</w:t>
            </w:r>
          </w:p>
        </w:tc>
      </w:tr>
      <w:tr>
        <w:tc>
          <w:tcPr>
            <w:tcW w:type="dxa" w:w="3427"/>
            <w:vAlign w:val="top"/>
          </w:tcPr>
          <w:p>
            <w:pPr>
              <w:spacing w:after="0"/>
            </w:pPr>
            <w:r>
              <w:rPr>
                <w:sz w:val="12"/>
              </w:rPr>
              <w:t>The generator is W3C PROV compliant</w:t>
            </w:r>
          </w:p>
        </w:tc>
        <w:tc>
          <w:tcPr>
            <w:tcW w:type="dxa" w:w="3427"/>
            <w:vAlign w:val="top"/>
          </w:tcPr>
          <w:p>
            <w:pPr>
              <w:spacing w:after="0"/>
            </w:pPr>
            <w:r>
              <w:rPr>
                <w:sz w:val="12"/>
              </w:rPr>
              <w:t>NOT CLAIMED</w:t>
            </w:r>
          </w:p>
        </w:tc>
        <w:tc>
          <w:tcPr>
            <w:tcW w:type="dxa" w:w="3427"/>
            <w:vAlign w:val="top"/>
          </w:tcPr>
          <w:p>
            <w:pPr>
              <w:spacing w:after="0"/>
            </w:pPr>
            <w:r>
              <w:rPr>
                <w:sz w:val="12"/>
              </w:rPr>
              <w:t>Formal mapping/conformance work would be required.</w:t>
            </w:r>
          </w:p>
        </w:tc>
      </w:tr>
      <w:tr>
        <w:tc>
          <w:tcPr>
            <w:tcW w:type="dxa" w:w="3427"/>
            <w:vAlign w:val="top"/>
          </w:tcPr>
          <w:p>
            <w:pPr>
              <w:spacing w:after="0"/>
            </w:pPr>
            <w:r>
              <w:rPr>
                <w:sz w:val="12"/>
              </w:rPr>
              <w:t>The study complies with TRIPOD+AI/CONSORT-AI</w:t>
            </w:r>
          </w:p>
        </w:tc>
        <w:tc>
          <w:tcPr>
            <w:tcW w:type="dxa" w:w="3427"/>
            <w:vAlign w:val="top"/>
          </w:tcPr>
          <w:p>
            <w:pPr>
              <w:spacing w:after="0"/>
            </w:pPr>
            <w:r>
              <w:rPr>
                <w:sz w:val="12"/>
              </w:rPr>
              <w:t>NOT CLAIMED</w:t>
            </w:r>
          </w:p>
        </w:tc>
        <w:tc>
          <w:tcPr>
            <w:tcW w:type="dxa" w:w="3427"/>
            <w:vAlign w:val="top"/>
          </w:tcPr>
          <w:p>
            <w:pPr>
              <w:spacing w:after="0"/>
            </w:pPr>
            <w:r>
              <w:rPr>
                <w:sz w:val="12"/>
              </w:rPr>
              <w:t>Only applicable if study scope/checklist requirements are actually met.</w:t>
            </w:r>
          </w:p>
        </w:tc>
      </w:tr>
    </w:tbl>
    <w:p/>
    <w:p>
      <w:pPr>
        <w:pStyle w:val="Heading1"/>
      </w:pPr>
      <w:r>
        <w:t>13. Blocked or corrected methods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Pr>
                <w:b/>
                <w:sz w:val="12"/>
              </w:rPr>
              <w:t>ID</w:t>
            </w:r>
          </w:p>
        </w:tc>
        <w:tc>
          <w:tcPr>
            <w:tcW w:type="dxa" w:w="2570"/>
            <w:shd w:fill="D9EAF7"/>
          </w:tcPr>
          <w:p>
            <w:r>
              <w:rPr>
                <w:b/>
                <w:sz w:val="12"/>
              </w:rPr>
              <w:t>Claim/construct</w:t>
            </w:r>
          </w:p>
        </w:tc>
        <w:tc>
          <w:tcPr>
            <w:tcW w:type="dxa" w:w="2570"/>
            <w:shd w:fill="D9EAF7"/>
          </w:tcPr>
          <w:p>
            <w:r>
              <w:rPr>
                <w:b/>
                <w:sz w:val="12"/>
              </w:rPr>
              <w:t>Reason</w:t>
            </w:r>
          </w:p>
        </w:tc>
        <w:tc>
          <w:tcPr>
            <w:tcW w:type="dxa" w:w="2570"/>
            <w:shd w:fill="D9EAF7"/>
          </w:tcPr>
          <w:p>
            <w:r>
              <w:rPr>
                <w:b/>
                <w:sz w:val="12"/>
              </w:rPr>
              <w:t>Action</w:t>
            </w:r>
          </w:p>
        </w:tc>
      </w:tr>
      <w:tr>
        <w:tc>
          <w:tcPr>
            <w:tcW w:type="dxa" w:w="2570"/>
            <w:vAlign w:val="top"/>
          </w:tcPr>
          <w:p>
            <w:pPr>
              <w:spacing w:after="0"/>
            </w:pPr>
            <w:r>
              <w:rPr>
                <w:sz w:val="11"/>
              </w:rPr>
              <w:t>M-B01</w:t>
            </w:r>
          </w:p>
        </w:tc>
        <w:tc>
          <w:tcPr>
            <w:tcW w:type="dxa" w:w="2570"/>
            <w:vAlign w:val="top"/>
          </w:tcPr>
          <w:p>
            <w:pPr>
              <w:spacing w:after="0"/>
            </w:pPr>
            <w:r>
              <w:rPr>
                <w:sz w:val="11"/>
              </w:rPr>
              <w:t>document_visibility as a clinical-workflow claim</w:t>
            </w:r>
          </w:p>
        </w:tc>
        <w:tc>
          <w:tcPr>
            <w:tcW w:type="dxa" w:w="2570"/>
            <w:vAlign w:val="top"/>
          </w:tcPr>
          <w:p>
            <w:pPr>
              <w:spacing w:after="0"/>
            </w:pPr>
            <w:r>
              <w:rPr>
                <w:sz w:val="11"/>
              </w:rPr>
              <w:t>No universal evidence that document types have the encoded knowledge boundaries.</w:t>
            </w:r>
          </w:p>
        </w:tc>
        <w:tc>
          <w:tcPr>
            <w:tcW w:type="dxa" w:w="2570"/>
            <w:vAlign w:val="top"/>
          </w:tcPr>
          <w:p>
            <w:pPr>
              <w:spacing w:after="0"/>
            </w:pPr>
            <w:r>
              <w:rPr>
                <w:sz w:val="11"/>
              </w:rPr>
              <w:t>Deprecate terminology; replace with experimental allowed_source_event_ids/document_information_scope.</w:t>
            </w:r>
          </w:p>
        </w:tc>
      </w:tr>
      <w:tr>
        <w:tc>
          <w:tcPr>
            <w:tcW w:type="dxa" w:w="2570"/>
            <w:vAlign w:val="top"/>
          </w:tcPr>
          <w:p>
            <w:pPr>
              <w:spacing w:after="0"/>
            </w:pPr>
            <w:r>
              <w:rPr>
                <w:sz w:val="11"/>
              </w:rPr>
              <w:t>M-B02</w:t>
            </w:r>
          </w:p>
        </w:tc>
        <w:tc>
          <w:tcPr>
            <w:tcW w:type="dxa" w:w="2570"/>
            <w:vAlign w:val="top"/>
          </w:tcPr>
          <w:p>
            <w:pPr>
              <w:spacing w:after="0"/>
            </w:pPr>
            <w:r>
              <w:rPr>
                <w:sz w:val="11"/>
              </w:rPr>
              <w:t>Clinical realism score without a defined rubric</w:t>
            </w:r>
          </w:p>
        </w:tc>
        <w:tc>
          <w:tcPr>
            <w:tcW w:type="dxa" w:w="2570"/>
            <w:vAlign w:val="top"/>
          </w:tcPr>
          <w:p>
            <w:pPr>
              <w:spacing w:after="0"/>
            </w:pPr>
            <w:r>
              <w:rPr>
                <w:sz w:val="11"/>
              </w:rPr>
              <w:t>A number without a validated/frozen instrument would be arbitrary.</w:t>
            </w:r>
          </w:p>
        </w:tc>
        <w:tc>
          <w:tcPr>
            <w:tcW w:type="dxa" w:w="2570"/>
            <w:vAlign w:val="top"/>
          </w:tcPr>
          <w:p>
            <w:pPr>
              <w:spacing w:after="0"/>
            </w:pPr>
            <w:r>
              <w:rPr>
                <w:sz w:val="11"/>
              </w:rPr>
              <w:t>Block score; develop rubric and reviewer protocol first.</w:t>
            </w:r>
          </w:p>
        </w:tc>
      </w:tr>
      <w:tr>
        <w:tc>
          <w:tcPr>
            <w:tcW w:type="dxa" w:w="2570"/>
            <w:vAlign w:val="top"/>
          </w:tcPr>
          <w:p>
            <w:pPr>
              <w:spacing w:after="0"/>
            </w:pPr>
            <w:r>
              <w:rPr>
                <w:sz w:val="11"/>
              </w:rPr>
              <w:t>M-B03</w:t>
            </w:r>
          </w:p>
        </w:tc>
        <w:tc>
          <w:tcPr>
            <w:tcW w:type="dxa" w:w="2570"/>
            <w:vAlign w:val="top"/>
          </w:tcPr>
          <w:p>
            <w:pPr>
              <w:spacing w:after="0"/>
            </w:pPr>
            <w:r>
              <w:rPr>
                <w:sz w:val="11"/>
              </w:rPr>
              <w:t>Synthetic = private</w:t>
            </w:r>
          </w:p>
        </w:tc>
        <w:tc>
          <w:tcPr>
            <w:tcW w:type="dxa" w:w="2570"/>
            <w:vAlign w:val="top"/>
          </w:tcPr>
          <w:p>
            <w:pPr>
              <w:spacing w:after="0"/>
            </w:pPr>
            <w:r>
              <w:rPr>
                <w:sz w:val="11"/>
              </w:rPr>
              <w:t>Literature explicitly warns privacy is not automatic and often under-evaluated.</w:t>
            </w:r>
          </w:p>
        </w:tc>
        <w:tc>
          <w:tcPr>
            <w:tcW w:type="dxa" w:w="2570"/>
            <w:vAlign w:val="top"/>
          </w:tcPr>
          <w:p>
            <w:pPr>
              <w:spacing w:after="0"/>
            </w:pPr>
            <w:r>
              <w:rPr>
                <w:sz w:val="11"/>
              </w:rPr>
              <w:t>No privacy guarantee without threat model and empirical/theoretical evaluation.</w:t>
            </w:r>
          </w:p>
        </w:tc>
      </w:tr>
      <w:tr>
        <w:tc>
          <w:tcPr>
            <w:tcW w:type="dxa" w:w="2570"/>
            <w:vAlign w:val="top"/>
          </w:tcPr>
          <w:p>
            <w:pPr>
              <w:spacing w:after="0"/>
            </w:pPr>
            <w:r>
              <w:rPr>
                <w:sz w:val="11"/>
              </w:rPr>
              <w:t>M-B04</w:t>
            </w:r>
          </w:p>
        </w:tc>
        <w:tc>
          <w:tcPr>
            <w:tcW w:type="dxa" w:w="2570"/>
            <w:vAlign w:val="top"/>
          </w:tcPr>
          <w:p>
            <w:pPr>
              <w:spacing w:after="0"/>
            </w:pPr>
            <w:r>
              <w:rPr>
                <w:sz w:val="11"/>
              </w:rPr>
              <w:t>Synthetic = useful substitute for real text</w:t>
            </w:r>
          </w:p>
        </w:tc>
        <w:tc>
          <w:tcPr>
            <w:tcW w:type="dxa" w:w="2570"/>
            <w:vAlign w:val="top"/>
          </w:tcPr>
          <w:p>
            <w:pPr>
              <w:spacing w:after="0"/>
            </w:pPr>
            <w:r>
              <w:rPr>
                <w:sz w:val="11"/>
              </w:rPr>
              <w:t>Utility is task-specific and must be evaluated.</w:t>
            </w:r>
          </w:p>
        </w:tc>
        <w:tc>
          <w:tcPr>
            <w:tcW w:type="dxa" w:w="2570"/>
            <w:vAlign w:val="top"/>
          </w:tcPr>
          <w:p>
            <w:pPr>
              <w:spacing w:after="0"/>
            </w:pPr>
            <w:r>
              <w:rPr>
                <w:sz w:val="11"/>
              </w:rPr>
              <w:t>No utility claim before real held-out transfer study.</w:t>
            </w:r>
          </w:p>
        </w:tc>
      </w:tr>
      <w:tr>
        <w:tc>
          <w:tcPr>
            <w:tcW w:type="dxa" w:w="2570"/>
            <w:vAlign w:val="top"/>
          </w:tcPr>
          <w:p>
            <w:pPr>
              <w:spacing w:after="0"/>
            </w:pPr>
            <w:r>
              <w:rPr>
                <w:sz w:val="11"/>
              </w:rPr>
              <w:t>M-B05</w:t>
            </w:r>
          </w:p>
        </w:tc>
        <w:tc>
          <w:tcPr>
            <w:tcW w:type="dxa" w:w="2570"/>
            <w:vAlign w:val="top"/>
          </w:tcPr>
          <w:p>
            <w:pPr>
              <w:spacing w:after="0"/>
            </w:pPr>
            <w:r>
              <w:rPr>
                <w:sz w:val="11"/>
              </w:rPr>
              <w:t>Synthetic = faithful to real distribution</w:t>
            </w:r>
          </w:p>
        </w:tc>
        <w:tc>
          <w:tcPr>
            <w:tcW w:type="dxa" w:w="2570"/>
            <w:vAlign w:val="top"/>
          </w:tcPr>
          <w:p>
            <w:pPr>
              <w:spacing w:after="0"/>
            </w:pPr>
            <w:r>
              <w:rPr>
                <w:sz w:val="11"/>
              </w:rPr>
              <w:t>Fidelity requires empirical comparison to real data and source population.</w:t>
            </w:r>
          </w:p>
        </w:tc>
        <w:tc>
          <w:tcPr>
            <w:tcW w:type="dxa" w:w="2570"/>
            <w:vAlign w:val="top"/>
          </w:tcPr>
          <w:p>
            <w:pPr>
              <w:spacing w:after="0"/>
            </w:pPr>
            <w:r>
              <w:rPr>
                <w:sz w:val="11"/>
              </w:rPr>
              <w:t>No fidelity/representativeness claim before study.</w:t>
            </w:r>
          </w:p>
        </w:tc>
      </w:tr>
      <w:tr>
        <w:tc>
          <w:tcPr>
            <w:tcW w:type="dxa" w:w="2570"/>
            <w:vAlign w:val="top"/>
          </w:tcPr>
          <w:p>
            <w:pPr>
              <w:spacing w:after="0"/>
            </w:pPr>
            <w:r>
              <w:rPr>
                <w:sz w:val="11"/>
              </w:rPr>
              <w:t>M-B06</w:t>
            </w:r>
          </w:p>
        </w:tc>
        <w:tc>
          <w:tcPr>
            <w:tcW w:type="dxa" w:w="2570"/>
            <w:vAlign w:val="top"/>
          </w:tcPr>
          <w:p>
            <w:pPr>
              <w:spacing w:after="0"/>
            </w:pPr>
            <w:r>
              <w:rPr>
                <w:sz w:val="11"/>
              </w:rPr>
              <w:t>Invented numerical pass thresholds</w:t>
            </w:r>
          </w:p>
        </w:tc>
        <w:tc>
          <w:tcPr>
            <w:tcW w:type="dxa" w:w="2570"/>
            <w:vAlign w:val="top"/>
          </w:tcPr>
          <w:p>
            <w:pPr>
              <w:spacing w:after="0"/>
            </w:pPr>
            <w:r>
              <w:rPr>
                <w:sz w:val="11"/>
              </w:rPr>
              <w:t>No source currently supports universal cutoffs for MedAI metrics.</w:t>
            </w:r>
          </w:p>
        </w:tc>
        <w:tc>
          <w:tcPr>
            <w:tcW w:type="dxa" w:w="2570"/>
            <w:vAlign w:val="top"/>
          </w:tcPr>
          <w:p>
            <w:pPr>
              <w:spacing w:after="0"/>
            </w:pPr>
            <w:r>
              <w:rPr>
                <w:sz w:val="11"/>
              </w:rPr>
              <w:t>Estimate pilot distributions; prospectively freeze thresholds only with justification.</w:t>
            </w:r>
          </w:p>
        </w:tc>
      </w:tr>
      <w:tr>
        <w:tc>
          <w:tcPr>
            <w:tcW w:type="dxa" w:w="2570"/>
            <w:vAlign w:val="top"/>
          </w:tcPr>
          <w:p>
            <w:pPr>
              <w:spacing w:after="0"/>
            </w:pPr>
            <w:r>
              <w:rPr>
                <w:sz w:val="11"/>
              </w:rPr>
              <w:t>M-B07</w:t>
            </w:r>
          </w:p>
        </w:tc>
        <w:tc>
          <w:tcPr>
            <w:tcW w:type="dxa" w:w="2570"/>
            <w:vAlign w:val="top"/>
          </w:tcPr>
          <w:p>
            <w:pPr>
              <w:spacing w:after="0"/>
            </w:pPr>
            <w:r>
              <w:rPr>
                <w:sz w:val="11"/>
              </w:rPr>
              <w:t>Prevalence interpretation of benchmark sampling</w:t>
            </w:r>
          </w:p>
        </w:tc>
        <w:tc>
          <w:tcPr>
            <w:tcW w:type="dxa" w:w="2570"/>
            <w:vAlign w:val="top"/>
          </w:tcPr>
          <w:p>
            <w:pPr>
              <w:spacing w:after="0"/>
            </w:pPr>
            <w:r>
              <w:rPr>
                <w:sz w:val="11"/>
              </w:rPr>
              <w:t>Sampling weights are design variables, not epidemiology.</w:t>
            </w:r>
          </w:p>
        </w:tc>
        <w:tc>
          <w:tcPr>
            <w:tcW w:type="dxa" w:w="2570"/>
            <w:vAlign w:val="top"/>
          </w:tcPr>
          <w:p>
            <w:pPr>
              <w:spacing w:after="0"/>
            </w:pPr>
            <w:r>
              <w:rPr>
                <w:sz w:val="11"/>
              </w:rPr>
              <w:t>Prohibit.</w:t>
            </w:r>
          </w:p>
        </w:tc>
      </w:tr>
      <w:tr>
        <w:tc>
          <w:tcPr>
            <w:tcW w:type="dxa" w:w="2570"/>
            <w:vAlign w:val="top"/>
          </w:tcPr>
          <w:p>
            <w:pPr>
              <w:spacing w:after="0"/>
            </w:pPr>
            <w:r>
              <w:rPr>
                <w:sz w:val="11"/>
              </w:rPr>
              <w:t>M-B08</w:t>
            </w:r>
          </w:p>
        </w:tc>
        <w:tc>
          <w:tcPr>
            <w:tcW w:type="dxa" w:w="2570"/>
            <w:vAlign w:val="top"/>
          </w:tcPr>
          <w:p>
            <w:pPr>
              <w:spacing w:after="0"/>
            </w:pPr>
            <w:r>
              <w:rPr>
                <w:sz w:val="11"/>
              </w:rPr>
              <w:t>Claim of W3C PROV conformance</w:t>
            </w:r>
          </w:p>
        </w:tc>
        <w:tc>
          <w:tcPr>
            <w:tcW w:type="dxa" w:w="2570"/>
            <w:vAlign w:val="top"/>
          </w:tcPr>
          <w:p>
            <w:pPr>
              <w:spacing w:after="0"/>
            </w:pPr>
            <w:r>
              <w:rPr>
                <w:sz w:val="11"/>
              </w:rPr>
              <w:t>MedAI borrows provenance principles but has not implemented/tested full PROV conformance.</w:t>
            </w:r>
          </w:p>
        </w:tc>
        <w:tc>
          <w:tcPr>
            <w:tcW w:type="dxa" w:w="2570"/>
            <w:vAlign w:val="top"/>
          </w:tcPr>
          <w:p>
            <w:pPr>
              <w:spacing w:after="0"/>
            </w:pPr>
            <w:r>
              <w:rPr>
                <w:sz w:val="11"/>
              </w:rPr>
              <w:t>Say 'informed by provenance principles' unless formal mapping is completed.</w:t>
            </w:r>
          </w:p>
        </w:tc>
      </w:tr>
      <w:tr>
        <w:tc>
          <w:tcPr>
            <w:tcW w:type="dxa" w:w="2570"/>
            <w:vAlign w:val="top"/>
          </w:tcPr>
          <w:p>
            <w:pPr>
              <w:spacing w:after="0"/>
            </w:pPr>
            <w:r>
              <w:rPr>
                <w:sz w:val="11"/>
              </w:rPr>
              <w:t>M-B09</w:t>
            </w:r>
          </w:p>
        </w:tc>
        <w:tc>
          <w:tcPr>
            <w:tcW w:type="dxa" w:w="2570"/>
            <w:vAlign w:val="top"/>
          </w:tcPr>
          <w:p>
            <w:pPr>
              <w:spacing w:after="0"/>
            </w:pPr>
            <w:r>
              <w:rPr>
                <w:sz w:val="11"/>
              </w:rPr>
              <w:t>Claim of TRIPOD+AI/CONSORT-AI compliance</w:t>
            </w:r>
          </w:p>
        </w:tc>
        <w:tc>
          <w:tcPr>
            <w:tcW w:type="dxa" w:w="2570"/>
            <w:vAlign w:val="top"/>
          </w:tcPr>
          <w:p>
            <w:pPr>
              <w:spacing w:after="0"/>
            </w:pPr>
            <w:r>
              <w:rPr>
                <w:sz w:val="11"/>
              </w:rPr>
              <w:t>These guidelines have specific scopes; MedAI currently adapts transparency principles.</w:t>
            </w:r>
          </w:p>
        </w:tc>
        <w:tc>
          <w:tcPr>
            <w:tcW w:type="dxa" w:w="2570"/>
            <w:vAlign w:val="top"/>
          </w:tcPr>
          <w:p>
            <w:pPr>
              <w:spacing w:after="0"/>
            </w:pPr>
            <w:r>
              <w:rPr>
                <w:sz w:val="11"/>
              </w:rPr>
              <w:t>Do not claim compliance unless study design falls in scope and checklist is completed.</w:t>
            </w:r>
          </w:p>
        </w:tc>
      </w:tr>
    </w:tbl>
    <w:p/>
    <w:p>
      <w:pPr>
        <w:pStyle w:val="Heading1"/>
      </w:pPr>
      <w:r>
        <w:t>14. Release gates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Pr>
                <w:b/>
                <w:sz w:val="12"/>
              </w:rPr>
              <w:t>Gate</w:t>
            </w:r>
          </w:p>
        </w:tc>
        <w:tc>
          <w:tcPr>
            <w:tcW w:type="dxa" w:w="2570"/>
            <w:shd w:fill="D9EAF7"/>
          </w:tcPr>
          <w:p>
            <w:r>
              <w:rPr>
                <w:b/>
                <w:sz w:val="12"/>
              </w:rPr>
              <w:t>Area</w:t>
            </w:r>
          </w:p>
        </w:tc>
        <w:tc>
          <w:tcPr>
            <w:tcW w:type="dxa" w:w="2570"/>
            <w:shd w:fill="D9EAF7"/>
          </w:tcPr>
          <w:p>
            <w:r>
              <w:rPr>
                <w:b/>
                <w:sz w:val="12"/>
              </w:rPr>
              <w:t>Status</w:t>
            </w:r>
          </w:p>
        </w:tc>
        <w:tc>
          <w:tcPr>
            <w:tcW w:type="dxa" w:w="2570"/>
            <w:shd w:fill="D9EAF7"/>
          </w:tcPr>
          <w:p>
            <w:r>
              <w:rPr>
                <w:b/>
                <w:sz w:val="12"/>
              </w:rPr>
              <w:t>Basis</w:t>
            </w:r>
          </w:p>
        </w:tc>
      </w:tr>
      <w:tr>
        <w:tc>
          <w:tcPr>
            <w:tcW w:type="dxa" w:w="2570"/>
            <w:vAlign w:val="top"/>
          </w:tcPr>
          <w:p>
            <w:pPr>
              <w:spacing w:after="0"/>
            </w:pPr>
            <w:r>
              <w:rPr>
                <w:sz w:val="11"/>
              </w:rPr>
              <w:t>G1</w:t>
            </w:r>
          </w:p>
        </w:tc>
        <w:tc>
          <w:tcPr>
            <w:tcW w:type="dxa" w:w="2570"/>
            <w:vAlign w:val="top"/>
          </w:tcPr>
          <w:p>
            <w:pPr>
              <w:spacing w:after="0"/>
            </w:pPr>
            <w:r>
              <w:rPr>
                <w:sz w:val="11"/>
              </w:rPr>
              <w:t>Structural provenance</w:t>
            </w:r>
          </w:p>
        </w:tc>
        <w:tc>
          <w:tcPr>
            <w:tcW w:type="dxa" w:w="2570"/>
            <w:vAlign w:val="top"/>
          </w:tcPr>
          <w:p>
            <w:pPr>
              <w:spacing w:after="0"/>
            </w:pPr>
            <w:r>
              <w:rPr>
                <w:sz w:val="11"/>
              </w:rPr>
              <w:t>READY_WITH_TESTS</w:t>
            </w:r>
          </w:p>
        </w:tc>
        <w:tc>
          <w:tcPr>
            <w:tcW w:type="dxa" w:w="2570"/>
            <w:vAlign w:val="top"/>
          </w:tcPr>
          <w:p>
            <w:pPr>
              <w:spacing w:after="0"/>
            </w:pPr>
            <w:r>
              <w:rPr>
                <w:sz w:val="11"/>
              </w:rPr>
              <w:t>Established methodological precedent + deterministic QA.</w:t>
            </w:r>
          </w:p>
        </w:tc>
      </w:tr>
      <w:tr>
        <w:tc>
          <w:tcPr>
            <w:tcW w:type="dxa" w:w="2570"/>
            <w:vAlign w:val="top"/>
          </w:tcPr>
          <w:p>
            <w:pPr>
              <w:spacing w:after="0"/>
            </w:pPr>
            <w:r>
              <w:rPr>
                <w:sz w:val="11"/>
              </w:rPr>
              <w:t>G2</w:t>
            </w:r>
          </w:p>
        </w:tc>
        <w:tc>
          <w:tcPr>
            <w:tcW w:type="dxa" w:w="2570"/>
            <w:vAlign w:val="top"/>
          </w:tcPr>
          <w:p>
            <w:pPr>
              <w:spacing w:after="0"/>
            </w:pPr>
            <w:r>
              <w:rPr>
                <w:sz w:val="11"/>
              </w:rPr>
              <w:t>Transparent documentation</w:t>
            </w:r>
          </w:p>
        </w:tc>
        <w:tc>
          <w:tcPr>
            <w:tcW w:type="dxa" w:w="2570"/>
            <w:vAlign w:val="top"/>
          </w:tcPr>
          <w:p>
            <w:pPr>
              <w:spacing w:after="0"/>
            </w:pPr>
            <w:r>
              <w:rPr>
                <w:sz w:val="11"/>
              </w:rPr>
              <w:t>READY</w:t>
            </w:r>
          </w:p>
        </w:tc>
        <w:tc>
          <w:tcPr>
            <w:tcW w:type="dxa" w:w="2570"/>
            <w:vAlign w:val="top"/>
          </w:tcPr>
          <w:p>
            <w:pPr>
              <w:spacing w:after="0"/>
            </w:pPr>
            <w:r>
              <w:rPr>
                <w:sz w:val="11"/>
              </w:rPr>
              <w:t>Strong literature precedent; adapt transparently.</w:t>
            </w:r>
          </w:p>
        </w:tc>
      </w:tr>
      <w:tr>
        <w:tc>
          <w:tcPr>
            <w:tcW w:type="dxa" w:w="2570"/>
            <w:vAlign w:val="top"/>
          </w:tcPr>
          <w:p>
            <w:pPr>
              <w:spacing w:after="0"/>
            </w:pPr>
            <w:r>
              <w:rPr>
                <w:sz w:val="11"/>
              </w:rPr>
              <w:t>G3</w:t>
            </w:r>
          </w:p>
        </w:tc>
        <w:tc>
          <w:tcPr>
            <w:tcW w:type="dxa" w:w="2570"/>
            <w:vAlign w:val="top"/>
          </w:tcPr>
          <w:p>
            <w:pPr>
              <w:spacing w:after="0"/>
            </w:pPr>
            <w:r>
              <w:rPr>
                <w:sz w:val="11"/>
              </w:rPr>
              <w:t>Semantic planner</w:t>
            </w:r>
          </w:p>
        </w:tc>
        <w:tc>
          <w:tcPr>
            <w:tcW w:type="dxa" w:w="2570"/>
            <w:vAlign w:val="top"/>
          </w:tcPr>
          <w:p>
            <w:pPr>
              <w:spacing w:after="0"/>
            </w:pPr>
            <w:r>
              <w:rPr>
                <w:sz w:val="11"/>
              </w:rPr>
              <w:t>EXPERIMENTAL</w:t>
            </w:r>
          </w:p>
        </w:tc>
        <w:tc>
          <w:tcPr>
            <w:tcW w:type="dxa" w:w="2570"/>
            <w:vAlign w:val="top"/>
          </w:tcPr>
          <w:p>
            <w:pPr>
              <w:spacing w:after="0"/>
            </w:pPr>
            <w:r>
              <w:rPr>
                <w:sz w:val="11"/>
              </w:rPr>
              <w:t>Novel MedAI method; requires V01.</w:t>
            </w:r>
          </w:p>
        </w:tc>
      </w:tr>
      <w:tr>
        <w:tc>
          <w:tcPr>
            <w:tcW w:type="dxa" w:w="2570"/>
            <w:vAlign w:val="top"/>
          </w:tcPr>
          <w:p>
            <w:pPr>
              <w:spacing w:after="0"/>
            </w:pPr>
            <w:r>
              <w:rPr>
                <w:sz w:val="11"/>
              </w:rPr>
              <w:t>G4</w:t>
            </w:r>
          </w:p>
        </w:tc>
        <w:tc>
          <w:tcPr>
            <w:tcW w:type="dxa" w:w="2570"/>
            <w:vAlign w:val="top"/>
          </w:tcPr>
          <w:p>
            <w:pPr>
              <w:spacing w:after="0"/>
            </w:pPr>
            <w:r>
              <w:rPr>
                <w:sz w:val="11"/>
              </w:rPr>
              <w:t>Truth validator</w:t>
            </w:r>
          </w:p>
        </w:tc>
        <w:tc>
          <w:tcPr>
            <w:tcW w:type="dxa" w:w="2570"/>
            <w:vAlign w:val="top"/>
          </w:tcPr>
          <w:p>
            <w:pPr>
              <w:spacing w:after="0"/>
            </w:pPr>
            <w:r>
              <w:rPr>
                <w:sz w:val="11"/>
              </w:rPr>
              <w:t>EXPERIMENTAL</w:t>
            </w:r>
          </w:p>
        </w:tc>
        <w:tc>
          <w:tcPr>
            <w:tcW w:type="dxa" w:w="2570"/>
            <w:vAlign w:val="top"/>
          </w:tcPr>
          <w:p>
            <w:pPr>
              <w:spacing w:after="0"/>
            </w:pPr>
            <w:r>
              <w:rPr>
                <w:sz w:val="11"/>
              </w:rPr>
              <w:t>Requires V02 against human adjudication.</w:t>
            </w:r>
          </w:p>
        </w:tc>
      </w:tr>
      <w:tr>
        <w:tc>
          <w:tcPr>
            <w:tcW w:type="dxa" w:w="2570"/>
            <w:vAlign w:val="top"/>
          </w:tcPr>
          <w:p>
            <w:pPr>
              <w:spacing w:after="0"/>
            </w:pPr>
            <w:r>
              <w:rPr>
                <w:sz w:val="11"/>
              </w:rPr>
              <w:t>G5</w:t>
            </w:r>
          </w:p>
        </w:tc>
        <w:tc>
          <w:tcPr>
            <w:tcW w:type="dxa" w:w="2570"/>
            <w:vAlign w:val="top"/>
          </w:tcPr>
          <w:p>
            <w:pPr>
              <w:spacing w:after="0"/>
            </w:pPr>
            <w:r>
              <w:rPr>
                <w:sz w:val="11"/>
              </w:rPr>
              <w:t>Information scope</w:t>
            </w:r>
          </w:p>
        </w:tc>
        <w:tc>
          <w:tcPr>
            <w:tcW w:type="dxa" w:w="2570"/>
            <w:vAlign w:val="top"/>
          </w:tcPr>
          <w:p>
            <w:pPr>
              <w:spacing w:after="0"/>
            </w:pPr>
            <w:r>
              <w:rPr>
                <w:sz w:val="11"/>
              </w:rPr>
              <w:t>READY_AS_EXPERIMENTAL_CONTROL</w:t>
            </w:r>
          </w:p>
        </w:tc>
        <w:tc>
          <w:tcPr>
            <w:tcW w:type="dxa" w:w="2570"/>
            <w:vAlign w:val="top"/>
          </w:tcPr>
          <w:p>
            <w:pPr>
              <w:spacing w:after="0"/>
            </w:pPr>
            <w:r>
              <w:rPr>
                <w:sz w:val="11"/>
              </w:rPr>
              <w:t>Do not interpret as real clinical workflow; run V03.</w:t>
            </w:r>
          </w:p>
        </w:tc>
      </w:tr>
      <w:tr>
        <w:tc>
          <w:tcPr>
            <w:tcW w:type="dxa" w:w="2570"/>
            <w:vAlign w:val="top"/>
          </w:tcPr>
          <w:p>
            <w:pPr>
              <w:spacing w:after="0"/>
            </w:pPr>
            <w:r>
              <w:rPr>
                <w:sz w:val="11"/>
              </w:rPr>
              <w:t>G6</w:t>
            </w:r>
          </w:p>
        </w:tc>
        <w:tc>
          <w:tcPr>
            <w:tcW w:type="dxa" w:w="2570"/>
            <w:vAlign w:val="top"/>
          </w:tcPr>
          <w:p>
            <w:pPr>
              <w:spacing w:after="0"/>
            </w:pPr>
            <w:r>
              <w:rPr>
                <w:sz w:val="11"/>
              </w:rPr>
              <w:t>Style/omission controls</w:t>
            </w:r>
          </w:p>
        </w:tc>
        <w:tc>
          <w:tcPr>
            <w:tcW w:type="dxa" w:w="2570"/>
            <w:vAlign w:val="top"/>
          </w:tcPr>
          <w:p>
            <w:pPr>
              <w:spacing w:after="0"/>
            </w:pPr>
            <w:r>
              <w:rPr>
                <w:sz w:val="11"/>
              </w:rPr>
              <w:t>EXPERIMENTAL</w:t>
            </w:r>
          </w:p>
        </w:tc>
        <w:tc>
          <w:tcPr>
            <w:tcW w:type="dxa" w:w="2570"/>
            <w:vAlign w:val="top"/>
          </w:tcPr>
          <w:p>
            <w:pPr>
              <w:spacing w:after="0"/>
            </w:pPr>
            <w:r>
              <w:rPr>
                <w:sz w:val="11"/>
              </w:rPr>
              <w:t>Requires V04/V05.</w:t>
            </w:r>
          </w:p>
        </w:tc>
      </w:tr>
      <w:tr>
        <w:tc>
          <w:tcPr>
            <w:tcW w:type="dxa" w:w="2570"/>
            <w:vAlign w:val="top"/>
          </w:tcPr>
          <w:p>
            <w:pPr>
              <w:spacing w:after="0"/>
            </w:pPr>
            <w:r>
              <w:rPr>
                <w:sz w:val="11"/>
              </w:rPr>
              <w:t>G7</w:t>
            </w:r>
          </w:p>
        </w:tc>
        <w:tc>
          <w:tcPr>
            <w:tcW w:type="dxa" w:w="2570"/>
            <w:vAlign w:val="top"/>
          </w:tcPr>
          <w:p>
            <w:pPr>
              <w:spacing w:after="0"/>
            </w:pPr>
            <w:r>
              <w:rPr>
                <w:sz w:val="11"/>
              </w:rPr>
              <w:t>Controlled conflicts</w:t>
            </w:r>
          </w:p>
        </w:tc>
        <w:tc>
          <w:tcPr>
            <w:tcW w:type="dxa" w:w="2570"/>
            <w:vAlign w:val="top"/>
          </w:tcPr>
          <w:p>
            <w:pPr>
              <w:spacing w:after="0"/>
            </w:pPr>
            <w:r>
              <w:rPr>
                <w:sz w:val="11"/>
              </w:rPr>
              <w:t>EXPERIMENTAL</w:t>
            </w:r>
          </w:p>
        </w:tc>
        <w:tc>
          <w:tcPr>
            <w:tcW w:type="dxa" w:w="2570"/>
            <w:vAlign w:val="top"/>
          </w:tcPr>
          <w:p>
            <w:pPr>
              <w:spacing w:after="0"/>
            </w:pPr>
            <w:r>
              <w:rPr>
                <w:sz w:val="11"/>
              </w:rPr>
              <w:t>Requires V06 clinician plausibility review.</w:t>
            </w:r>
          </w:p>
        </w:tc>
      </w:tr>
      <w:tr>
        <w:tc>
          <w:tcPr>
            <w:tcW w:type="dxa" w:w="2570"/>
            <w:vAlign w:val="top"/>
          </w:tcPr>
          <w:p>
            <w:pPr>
              <w:spacing w:after="0"/>
            </w:pPr>
            <w:r>
              <w:rPr>
                <w:sz w:val="11"/>
              </w:rPr>
              <w:t>G8</w:t>
            </w:r>
          </w:p>
        </w:tc>
        <w:tc>
          <w:tcPr>
            <w:tcW w:type="dxa" w:w="2570"/>
            <w:vAlign w:val="top"/>
          </w:tcPr>
          <w:p>
            <w:pPr>
              <w:spacing w:after="0"/>
            </w:pPr>
            <w:r>
              <w:rPr>
                <w:sz w:val="11"/>
              </w:rPr>
              <w:t>Clinical realism claim</w:t>
            </w:r>
          </w:p>
        </w:tc>
        <w:tc>
          <w:tcPr>
            <w:tcW w:type="dxa" w:w="2570"/>
            <w:vAlign w:val="top"/>
          </w:tcPr>
          <w:p>
            <w:pPr>
              <w:spacing w:after="0"/>
            </w:pPr>
            <w:r>
              <w:rPr>
                <w:sz w:val="11"/>
              </w:rPr>
              <w:t>BLOCKED</w:t>
            </w:r>
          </w:p>
        </w:tc>
        <w:tc>
          <w:tcPr>
            <w:tcW w:type="dxa" w:w="2570"/>
            <w:vAlign w:val="top"/>
          </w:tcPr>
          <w:p>
            <w:pPr>
              <w:spacing w:after="0"/>
            </w:pPr>
            <w:r>
              <w:rPr>
                <w:sz w:val="11"/>
              </w:rPr>
              <w:t>Requires V07.</w:t>
            </w:r>
          </w:p>
        </w:tc>
      </w:tr>
      <w:tr>
        <w:tc>
          <w:tcPr>
            <w:tcW w:type="dxa" w:w="2570"/>
            <w:vAlign w:val="top"/>
          </w:tcPr>
          <w:p>
            <w:pPr>
              <w:spacing w:after="0"/>
            </w:pPr>
            <w:r>
              <w:rPr>
                <w:sz w:val="11"/>
              </w:rPr>
              <w:t>G9</w:t>
            </w:r>
          </w:p>
        </w:tc>
        <w:tc>
          <w:tcPr>
            <w:tcW w:type="dxa" w:w="2570"/>
            <w:vAlign w:val="top"/>
          </w:tcPr>
          <w:p>
            <w:pPr>
              <w:spacing w:after="0"/>
            </w:pPr>
            <w:r>
              <w:rPr>
                <w:sz w:val="11"/>
              </w:rPr>
              <w:t>Real-world utility claim</w:t>
            </w:r>
          </w:p>
        </w:tc>
        <w:tc>
          <w:tcPr>
            <w:tcW w:type="dxa" w:w="2570"/>
            <w:vAlign w:val="top"/>
          </w:tcPr>
          <w:p>
            <w:pPr>
              <w:spacing w:after="0"/>
            </w:pPr>
            <w:r>
              <w:rPr>
                <w:sz w:val="11"/>
              </w:rPr>
              <w:t>BLOCKED</w:t>
            </w:r>
          </w:p>
        </w:tc>
        <w:tc>
          <w:tcPr>
            <w:tcW w:type="dxa" w:w="2570"/>
            <w:vAlign w:val="top"/>
          </w:tcPr>
          <w:p>
            <w:pPr>
              <w:spacing w:after="0"/>
            </w:pPr>
            <w:r>
              <w:rPr>
                <w:sz w:val="11"/>
              </w:rPr>
              <w:t>Requires V08.</w:t>
            </w:r>
          </w:p>
        </w:tc>
      </w:tr>
      <w:tr>
        <w:tc>
          <w:tcPr>
            <w:tcW w:type="dxa" w:w="2570"/>
            <w:vAlign w:val="top"/>
          </w:tcPr>
          <w:p>
            <w:pPr>
              <w:spacing w:after="0"/>
            </w:pPr>
            <w:r>
              <w:rPr>
                <w:sz w:val="11"/>
              </w:rPr>
              <w:t>G10</w:t>
            </w:r>
          </w:p>
        </w:tc>
        <w:tc>
          <w:tcPr>
            <w:tcW w:type="dxa" w:w="2570"/>
            <w:vAlign w:val="top"/>
          </w:tcPr>
          <w:p>
            <w:pPr>
              <w:spacing w:after="0"/>
            </w:pPr>
            <w:r>
              <w:rPr>
                <w:sz w:val="11"/>
              </w:rPr>
              <w:t>Privacy-safe claim</w:t>
            </w:r>
          </w:p>
        </w:tc>
        <w:tc>
          <w:tcPr>
            <w:tcW w:type="dxa" w:w="2570"/>
            <w:vAlign w:val="top"/>
          </w:tcPr>
          <w:p>
            <w:pPr>
              <w:spacing w:after="0"/>
            </w:pPr>
            <w:r>
              <w:rPr>
                <w:sz w:val="11"/>
              </w:rPr>
              <w:t>BLOCKED</w:t>
            </w:r>
          </w:p>
        </w:tc>
        <w:tc>
          <w:tcPr>
            <w:tcW w:type="dxa" w:w="2570"/>
            <w:vAlign w:val="top"/>
          </w:tcPr>
          <w:p>
            <w:pPr>
              <w:spacing w:after="0"/>
            </w:pPr>
            <w:r>
              <w:rPr>
                <w:sz w:val="11"/>
              </w:rPr>
              <w:t>Requires V09 specific to actual generator/data exposure.</w:t>
            </w:r>
          </w:p>
        </w:tc>
      </w:tr>
      <w:tr>
        <w:tc>
          <w:tcPr>
            <w:tcW w:type="dxa" w:w="2570"/>
            <w:vAlign w:val="top"/>
          </w:tcPr>
          <w:p>
            <w:pPr>
              <w:spacing w:after="0"/>
            </w:pPr>
            <w:r>
              <w:rPr>
                <w:sz w:val="11"/>
              </w:rPr>
              <w:t>G11</w:t>
            </w:r>
          </w:p>
        </w:tc>
        <w:tc>
          <w:tcPr>
            <w:tcW w:type="dxa" w:w="2570"/>
            <w:vAlign w:val="top"/>
          </w:tcPr>
          <w:p>
            <w:pPr>
              <w:spacing w:after="0"/>
            </w:pPr>
            <w:r>
              <w:rPr>
                <w:sz w:val="11"/>
              </w:rPr>
              <w:t>Benchmark release</w:t>
            </w:r>
          </w:p>
        </w:tc>
        <w:tc>
          <w:tcPr>
            <w:tcW w:type="dxa" w:w="2570"/>
            <w:vAlign w:val="top"/>
          </w:tcPr>
          <w:p>
            <w:pPr>
              <w:spacing w:after="0"/>
            </w:pPr>
            <w:r>
              <w:rPr>
                <w:sz w:val="11"/>
              </w:rPr>
              <w:t>BLOCKED_PENDING_VALIDATION</w:t>
            </w:r>
          </w:p>
        </w:tc>
        <w:tc>
          <w:tcPr>
            <w:tcW w:type="dxa" w:w="2570"/>
            <w:vAlign w:val="top"/>
          </w:tcPr>
          <w:p>
            <w:pPr>
              <w:spacing w:after="0"/>
            </w:pPr>
            <w:r>
              <w:rPr>
                <w:sz w:val="11"/>
              </w:rPr>
              <w:t>Requires G1-G7 evidence plus documentation; claims G8-G10 only if separately passed.</w:t>
            </w:r>
          </w:p>
        </w:tc>
      </w:tr>
    </w:tbl>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Phase 6C decision</w:t>
              <w:br/>
            </w:r>
            <w:r>
              <w:t>PASS — METHODOLOGICAL PROVENANCE AUDIT. Structural provenance/documentation mechanisms may proceed with tests. Semantic planning, truth validation, style/omission controls and conflict scenarios remain experimental. Clinical-realism, real-world utility and privacy claims remain blocked until their specific validation studies are completed.</w:t>
            </w:r>
          </w:p>
        </w:tc>
      </w:tr>
    </w:tbl>
    <w:p/>
    <w:p>
      <w:pPr>
        <w:pStyle w:val="Heading1"/>
      </w:pPr>
      <w:r>
        <w:t>15. Consequence for the roadmap</w:t>
      </w:r>
    </w:p>
    <w:p>
      <w:r>
        <w:t>The next executable phase should now be Phase 6D — Small Pilot Rendering &amp; Truth-Preservation Experiment. It should not assume that MedAI's experimental mechanisms work. It should test them. A small set of source-authorized clinic letters/EEG reports (and carefully limited MRI where justified) can be generated under predefined conditions, manually adjudicated, and used to estimate the planner/validator failure modes before any full benchmark is constructed.</w:t>
      </w:r>
    </w:p>
    <w:p>
      <w:pPr>
        <w:pStyle w:val="Heading1"/>
      </w:pPr>
      <w:r>
        <w:t>16. Deliverables</w:t>
      </w:r>
    </w:p>
    <w:p>
      <w:pPr>
        <w:pStyle w:val="ListBullet"/>
      </w:pPr>
      <w:r>
        <w:t>MedAI_Phase6C_Methodological_Provenance_Registry_v1.0.csv</w:t>
      </w:r>
    </w:p>
    <w:p>
      <w:pPr>
        <w:pStyle w:val="ListBullet"/>
      </w:pPr>
      <w:r>
        <w:t>MedAI_Phase6C_Validation_Requirements_v1.0.csv</w:t>
      </w:r>
    </w:p>
    <w:p>
      <w:pPr>
        <w:pStyle w:val="ListBullet"/>
      </w:pPr>
      <w:r>
        <w:t>MedAI_Phase6C_Methodological_Precedent_Crosswalk_v1.0.csv</w:t>
      </w:r>
    </w:p>
    <w:p>
      <w:pPr>
        <w:pStyle w:val="ListBullet"/>
      </w:pPr>
      <w:r>
        <w:t>MedAI_Phase6C_Unsupported_or_Blocked_Methods_v1.0.csv</w:t>
      </w:r>
    </w:p>
    <w:p>
      <w:pPr>
        <w:pStyle w:val="ListBullet"/>
      </w:pPr>
      <w:r>
        <w:t>MedAI_Phase6C_Method_Release_Gates_v1.0.csv</w:t>
      </w:r>
    </w:p>
    <w:p>
      <w:pPr>
        <w:pStyle w:val="ListBullet"/>
      </w:pPr>
      <w:r>
        <w:t>MedAI_Phase6C_Source_Registry_v1.0.csv</w:t>
      </w:r>
    </w:p>
    <w:p>
      <w:pPr>
        <w:pStyle w:val="ListBullet"/>
      </w:pPr>
      <w:r>
        <w:t>MedAI_Phase6C_Methodological_Provenance_Audit_v1.0.json</w:t>
      </w:r>
    </w:p>
    <w:p>
      <w:pPr>
        <w:pStyle w:val="Heading1"/>
      </w:pPr>
      <w:r>
        <w:t>17. References</w:t>
      </w:r>
    </w:p>
    <w:p>
      <w:r>
        <w:t>1. W3C. PROV-DM: The PROV Data Model. W3C Recommendation, 2013.</w:t>
      </w:r>
    </w:p>
    <w:p>
      <w:r>
        <w:t>2. Gebru T, Morgenstern J, Vecchione B, et al. Datasheets for Datasets. Communications of the ACM. 2021;64(12):86–92. DOI 10.1145/3458723.</w:t>
      </w:r>
    </w:p>
    <w:p>
      <w:r>
        <w:t>3. Bender EM, Friedman B. Data Statements for Natural Language Processing: Toward Mitigating System Bias and Enabling Better Science. TACL. 2018;6:587–604. DOI 10.1162/tacl_a_00041.</w:t>
      </w:r>
    </w:p>
    <w:p>
      <w:r>
        <w:t>4. Mitchell M, Wu S, Zaldivar A, et al. Model Cards for Model Reporting. FAT* 2019:220–229. DOI 10.1145/3287560.3287596.</w:t>
      </w:r>
    </w:p>
    <w:p>
      <w:r>
        <w:t>5. Collins GS, Moons KGM, Dhiman P, et al. TRIPOD+AI statement. BMJ. 2024;385:e078378. DOI 10.1136/bmj-2023-078378.</w:t>
      </w:r>
    </w:p>
    <w:p>
      <w:r>
        <w:t>6. Liu X, Cruz Rivera S, Moher D, et al. CONSORT-AI extension. Nature Medicine. 2020;26:1364–1374. DOI 10.1038/s41591-020-1034-x.</w:t>
      </w:r>
    </w:p>
    <w:p>
      <w:r>
        <w:t>7. Kaabachi B, Despraz J, Meurers T, et al. A scoping review of privacy and utility metrics in medical synthetic data. npj Digital Medicine. 2025;8:60. DOI 10.1038/s41746-024-01359-3.</w:t>
      </w:r>
    </w:p>
    <w:p>
      <w:r>
        <w:t>8. Fonferko-Shadrach B, Strafford H, Jones C, et al. Annotation of epilepsy clinic letters for natural language processing. Journal of Biomedical Semantics. 2024;15:17. DOI 10.1186/s13326-024-00316-z.</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