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7365D"/>
          <w:sz w:val="64"/>
        </w:rPr>
        <w:t>MedAI / EpiSynth</w:t>
      </w:r>
    </w:p>
    <w:p>
      <w:pPr>
        <w:jc w:val="center"/>
      </w:pPr>
      <w:r>
        <w:rPr>
          <w:b/>
          <w:color w:val="2F5597"/>
          <w:sz w:val="35"/>
        </w:rPr>
        <w:t>Phase 6D — Pilot Rendering &amp; Truth-Preservation Experiment Protocol</w:t>
      </w:r>
    </w:p>
    <w:p>
      <w:pPr>
        <w:jc w:val="center"/>
      </w:pPr>
      <w:r>
        <w:rPr>
          <w:sz w:val="22"/>
        </w:rPr>
        <w:t>Version 1.0 • 25 September 2026</w:t>
        <w:br/>
        <w:t>Prospective feasibility protocol — no results</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Non-fabrication rule</w:t>
              <w:br/>
            </w:r>
            <w:r>
              <w:t>This phase freezes what will be tested before results exist. It does not invent a sample size, effect size, success threshold, clinician score, privacy result, fidelity result, or utility result.</w:t>
            </w:r>
          </w:p>
        </w:tc>
      </w:tr>
    </w:tbl>
    <w:p/>
    <w:p>
      <w:r>
        <w:br w:type="page"/>
      </w:r>
    </w:p>
    <w:p>
      <w:pPr>
        <w:pStyle w:val="Heading1"/>
      </w:pPr>
      <w:r>
        <w:t>1. Primary question</w:t>
      </w:r>
    </w:p>
    <w:p>
      <w:r>
        <w:t>Does explicit semantic planning reduce unsupported or semantically corrupted clinical assertions during source-authorized synthetic epilepsy document rendering compared with less constrained generation? This is a MedAI hypothesis to be tested, not an established fact.</w:t>
      </w:r>
    </w:p>
    <w:p>
      <w:pPr>
        <w:pStyle w:val="Heading1"/>
      </w:pPr>
      <w:r>
        <w:t>2. Evidence basis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2"/>
              </w:rPr>
              <w:t>Source</w:t>
            </w:r>
          </w:p>
        </w:tc>
        <w:tc>
          <w:tcPr>
            <w:tcW w:type="dxa" w:w="5141"/>
            <w:shd w:fill="D9EAF7"/>
          </w:tcPr>
          <w:p>
            <w:r>
              <w:rPr>
                <w:b/>
                <w:sz w:val="12"/>
              </w:rPr>
              <w:t>Permitted support</w:t>
            </w:r>
          </w:p>
        </w:tc>
      </w:tr>
      <w:tr>
        <w:tc>
          <w:tcPr>
            <w:tcW w:type="dxa" w:w="5141"/>
            <w:vAlign w:val="top"/>
          </w:tcPr>
          <w:p>
            <w:pPr>
              <w:spacing w:after="0"/>
            </w:pPr>
            <w:r>
              <w:rPr>
                <w:sz w:val="11"/>
              </w:rPr>
              <w:t>6D-S01</w:t>
            </w:r>
          </w:p>
        </w:tc>
        <w:tc>
          <w:tcPr>
            <w:tcW w:type="dxa" w:w="5141"/>
            <w:vAlign w:val="top"/>
          </w:tcPr>
          <w:p>
            <w:pPr>
              <w:spacing w:after="0"/>
            </w:pPr>
            <w:r>
              <w:rPr>
                <w:sz w:val="11"/>
              </w:rPr>
              <w:t>Provenance entities/activities/derivation and validity constraints; supports traceable generation histories, not MedAI-specific efficacy.</w:t>
            </w:r>
          </w:p>
        </w:tc>
      </w:tr>
      <w:tr>
        <w:tc>
          <w:tcPr>
            <w:tcW w:type="dxa" w:w="5141"/>
            <w:vAlign w:val="top"/>
          </w:tcPr>
          <w:p>
            <w:pPr>
              <w:spacing w:after="0"/>
            </w:pPr>
            <w:r>
              <w:rPr>
                <w:sz w:val="11"/>
              </w:rPr>
              <w:t>6D-S02</w:t>
            </w:r>
          </w:p>
        </w:tc>
        <w:tc>
          <w:tcPr>
            <w:tcW w:type="dxa" w:w="5141"/>
            <w:vAlign w:val="top"/>
          </w:tcPr>
          <w:p>
            <w:pPr>
              <w:spacing w:after="0"/>
            </w:pPr>
            <w:r>
              <w:rPr>
                <w:sz w:val="11"/>
              </w:rPr>
              <w:t>Epilepsy-specific synthetic clinic-letter precedent; double annotation, review, consensus gold; source-backed clinic-letter content/style precedent.</w:t>
            </w:r>
          </w:p>
        </w:tc>
      </w:tr>
      <w:tr>
        <w:tc>
          <w:tcPr>
            <w:tcW w:type="dxa" w:w="5141"/>
            <w:vAlign w:val="top"/>
          </w:tcPr>
          <w:p>
            <w:pPr>
              <w:spacing w:after="0"/>
            </w:pPr>
            <w:r>
              <w:rPr>
                <w:sz w:val="11"/>
              </w:rPr>
              <w:t>6D-S03</w:t>
            </w:r>
          </w:p>
        </w:tc>
        <w:tc>
          <w:tcPr>
            <w:tcW w:type="dxa" w:w="5141"/>
            <w:vAlign w:val="top"/>
          </w:tcPr>
          <w:p>
            <w:pPr>
              <w:spacing w:after="0"/>
            </w:pPr>
            <w:r>
              <w:rPr>
                <w:sz w:val="11"/>
              </w:rPr>
              <w:t>Standardized context-sensitive EEG reporting and seizure modules; supports constrained EEG pilot content.</w:t>
            </w:r>
          </w:p>
        </w:tc>
      </w:tr>
      <w:tr>
        <w:tc>
          <w:tcPr>
            <w:tcW w:type="dxa" w:w="5141"/>
            <w:vAlign w:val="top"/>
          </w:tcPr>
          <w:p>
            <w:pPr>
              <w:spacing w:after="0"/>
            </w:pPr>
            <w:r>
              <w:rPr>
                <w:sz w:val="11"/>
              </w:rPr>
              <w:t>6D-S04</w:t>
            </w:r>
          </w:p>
        </w:tc>
        <w:tc>
          <w:tcPr>
            <w:tcW w:type="dxa" w:w="5141"/>
            <w:vAlign w:val="top"/>
          </w:tcPr>
          <w:p>
            <w:pPr>
              <w:spacing w:after="0"/>
            </w:pPr>
            <w:r>
              <w:rPr>
                <w:sz w:val="11"/>
              </w:rPr>
              <w:t>General diagnostic imaging report components; supports only limited/general MRI-report pilot structure.</w:t>
            </w:r>
          </w:p>
        </w:tc>
      </w:tr>
      <w:tr>
        <w:tc>
          <w:tcPr>
            <w:tcW w:type="dxa" w:w="5141"/>
            <w:vAlign w:val="top"/>
          </w:tcPr>
          <w:p>
            <w:pPr>
              <w:spacing w:after="0"/>
            </w:pPr>
            <w:r>
              <w:rPr>
                <w:sz w:val="11"/>
              </w:rPr>
              <w:t>6D-S05</w:t>
            </w:r>
          </w:p>
        </w:tc>
        <w:tc>
          <w:tcPr>
            <w:tcW w:type="dxa" w:w="5141"/>
            <w:vAlign w:val="top"/>
          </w:tcPr>
          <w:p>
            <w:pPr>
              <w:spacing w:after="0"/>
            </w:pPr>
            <w:r>
              <w:rPr>
                <w:sz w:val="11"/>
              </w:rPr>
              <w:t>No consensus synthetic-health-data evaluation standard; utility/privacy require explicit evaluation; warns against assuming privacy.</w:t>
            </w:r>
          </w:p>
        </w:tc>
      </w:tr>
      <w:tr>
        <w:tc>
          <w:tcPr>
            <w:tcW w:type="dxa" w:w="5141"/>
            <w:vAlign w:val="top"/>
          </w:tcPr>
          <w:p>
            <w:pPr>
              <w:spacing w:after="0"/>
            </w:pPr>
            <w:r>
              <w:rPr>
                <w:sz w:val="11"/>
              </w:rPr>
              <w:t>6D-S06</w:t>
            </w:r>
          </w:p>
        </w:tc>
        <w:tc>
          <w:tcPr>
            <w:tcW w:type="dxa" w:w="5141"/>
            <w:vAlign w:val="top"/>
          </w:tcPr>
          <w:p>
            <w:pPr>
              <w:spacing w:after="0"/>
            </w:pPr>
            <w:r>
              <w:rPr>
                <w:sz w:val="11"/>
              </w:rPr>
              <w:t>Dataset documentation precedent.</w:t>
            </w:r>
          </w:p>
        </w:tc>
      </w:tr>
      <w:tr>
        <w:tc>
          <w:tcPr>
            <w:tcW w:type="dxa" w:w="5141"/>
            <w:vAlign w:val="top"/>
          </w:tcPr>
          <w:p>
            <w:pPr>
              <w:spacing w:after="0"/>
            </w:pPr>
            <w:r>
              <w:rPr>
                <w:sz w:val="11"/>
              </w:rPr>
              <w:t>6D-S07</w:t>
            </w:r>
          </w:p>
        </w:tc>
        <w:tc>
          <w:tcPr>
            <w:tcW w:type="dxa" w:w="5141"/>
            <w:vAlign w:val="top"/>
          </w:tcPr>
          <w:p>
            <w:pPr>
              <w:spacing w:after="0"/>
            </w:pPr>
            <w:r>
              <w:rPr>
                <w:sz w:val="11"/>
              </w:rPr>
              <w:t>NLP dataset documentation/generalization-claim discipline.</w:t>
            </w:r>
          </w:p>
        </w:tc>
      </w:tr>
      <w:tr>
        <w:tc>
          <w:tcPr>
            <w:tcW w:type="dxa" w:w="5141"/>
            <w:vAlign w:val="top"/>
          </w:tcPr>
          <w:p>
            <w:pPr>
              <w:spacing w:after="0"/>
            </w:pPr>
            <w:r>
              <w:rPr>
                <w:sz w:val="11"/>
              </w:rPr>
              <w:t>6D-S08</w:t>
            </w:r>
          </w:p>
        </w:tc>
        <w:tc>
          <w:tcPr>
            <w:tcW w:type="dxa" w:w="5141"/>
            <w:vAlign w:val="top"/>
          </w:tcPr>
          <w:p>
            <w:pPr>
              <w:spacing w:after="0"/>
            </w:pPr>
            <w:r>
              <w:rPr>
                <w:sz w:val="11"/>
              </w:rPr>
              <w:t>Model identity, intended-use, evaluation and limitation documentation.</w:t>
            </w:r>
          </w:p>
        </w:tc>
      </w:tr>
      <w:tr>
        <w:tc>
          <w:tcPr>
            <w:tcW w:type="dxa" w:w="5141"/>
            <w:vAlign w:val="top"/>
          </w:tcPr>
          <w:p>
            <w:pPr>
              <w:spacing w:after="0"/>
            </w:pPr>
            <w:r>
              <w:rPr>
                <w:sz w:val="11"/>
              </w:rPr>
              <w:t>6D-S09</w:t>
            </w:r>
          </w:p>
        </w:tc>
        <w:tc>
          <w:tcPr>
            <w:tcW w:type="dxa" w:w="5141"/>
            <w:vAlign w:val="top"/>
          </w:tcPr>
          <w:p>
            <w:pPr>
              <w:spacing w:after="0"/>
            </w:pPr>
            <w:r>
              <w:rPr>
                <w:sz w:val="11"/>
              </w:rPr>
              <w:t>Frozen assertion model, annotation rules, latent truth, document gates, generation rules, methodological provenance and validation requirements.</w:t>
            </w:r>
          </w:p>
        </w:tc>
      </w:tr>
    </w:tbl>
    <w:p/>
    <w:p>
      <w:pPr>
        <w:pStyle w:val="Heading1"/>
      </w:pPr>
      <w:r>
        <w:t>3. Experimental conditions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1"/>
              </w:rPr>
              <w:t>ID</w:t>
            </w:r>
          </w:p>
        </w:tc>
        <w:tc>
          <w:tcPr>
            <w:tcW w:type="dxa" w:w="2056"/>
            <w:shd w:fill="D9EAF7"/>
          </w:tcPr>
          <w:p>
            <w:r>
              <w:rPr>
                <w:b/>
                <w:sz w:val="11"/>
              </w:rPr>
              <w:t>Condition</w:t>
            </w:r>
          </w:p>
        </w:tc>
        <w:tc>
          <w:tcPr>
            <w:tcW w:type="dxa" w:w="2056"/>
            <w:shd w:fill="D9EAF7"/>
          </w:tcPr>
          <w:p>
            <w:r>
              <w:rPr>
                <w:b/>
                <w:sz w:val="11"/>
              </w:rPr>
              <w:t>Input</w:t>
            </w:r>
          </w:p>
        </w:tc>
        <w:tc>
          <w:tcPr>
            <w:tcW w:type="dxa" w:w="2056"/>
            <w:shd w:fill="D9EAF7"/>
          </w:tcPr>
          <w:p>
            <w:r>
              <w:rPr>
                <w:b/>
                <w:sz w:val="11"/>
              </w:rPr>
              <w:t>Purpose</w:t>
            </w:r>
          </w:p>
        </w:tc>
        <w:tc>
          <w:tcPr>
            <w:tcW w:type="dxa" w:w="2056"/>
            <w:shd w:fill="D9EAF7"/>
          </w:tcPr>
          <w:p>
            <w:r>
              <w:rPr>
                <w:b/>
                <w:sz w:val="11"/>
              </w:rPr>
              <w:t>Status</w:t>
            </w:r>
          </w:p>
        </w:tc>
      </w:tr>
      <w:tr>
        <w:tc>
          <w:tcPr>
            <w:tcW w:type="dxa" w:w="2056"/>
            <w:vAlign w:val="top"/>
          </w:tcPr>
          <w:p>
            <w:pPr>
              <w:spacing w:after="0"/>
            </w:pPr>
            <w:r>
              <w:rPr>
                <w:sz w:val="11"/>
              </w:rPr>
              <w:t>C0</w:t>
            </w:r>
          </w:p>
        </w:tc>
        <w:tc>
          <w:tcPr>
            <w:tcW w:type="dxa" w:w="2056"/>
            <w:vAlign w:val="top"/>
          </w:tcPr>
          <w:p>
            <w:pPr>
              <w:spacing w:after="0"/>
            </w:pPr>
            <w:r>
              <w:rPr>
                <w:sz w:val="11"/>
              </w:rPr>
              <w:t>Template/deterministic renderer</w:t>
            </w:r>
          </w:p>
        </w:tc>
        <w:tc>
          <w:tcPr>
            <w:tcW w:type="dxa" w:w="2056"/>
            <w:vAlign w:val="top"/>
          </w:tcPr>
          <w:p>
            <w:pPr>
              <w:spacing w:after="0"/>
            </w:pPr>
            <w:r>
              <w:rPr>
                <w:sz w:val="11"/>
              </w:rPr>
              <w:t>Approved semantic plan only</w:t>
            </w:r>
          </w:p>
        </w:tc>
        <w:tc>
          <w:tcPr>
            <w:tcW w:type="dxa" w:w="2056"/>
            <w:vAlign w:val="top"/>
          </w:tcPr>
          <w:p>
            <w:pPr>
              <w:spacing w:after="0"/>
            </w:pPr>
            <w:r>
              <w:rPr>
                <w:sz w:val="11"/>
              </w:rPr>
              <w:t>Control condition; isolates pipeline/provenance mechanics</w:t>
            </w:r>
          </w:p>
        </w:tc>
        <w:tc>
          <w:tcPr>
            <w:tcW w:type="dxa" w:w="2056"/>
            <w:vAlign w:val="top"/>
          </w:tcPr>
          <w:p>
            <w:pPr>
              <w:spacing w:after="0"/>
            </w:pPr>
            <w:r>
              <w:rPr>
                <w:sz w:val="11"/>
              </w:rPr>
              <w:t>MEDAI-PROPOSED-EXPERIMENTAL</w:t>
            </w:r>
          </w:p>
        </w:tc>
      </w:tr>
      <w:tr>
        <w:tc>
          <w:tcPr>
            <w:tcW w:type="dxa" w:w="2056"/>
            <w:vAlign w:val="top"/>
          </w:tcPr>
          <w:p>
            <w:pPr>
              <w:spacing w:after="0"/>
            </w:pPr>
            <w:r>
              <w:rPr>
                <w:sz w:val="11"/>
              </w:rPr>
              <w:t>C1</w:t>
            </w:r>
          </w:p>
        </w:tc>
        <w:tc>
          <w:tcPr>
            <w:tcW w:type="dxa" w:w="2056"/>
            <w:vAlign w:val="top"/>
          </w:tcPr>
          <w:p>
            <w:pPr>
              <w:spacing w:after="0"/>
            </w:pPr>
            <w:r>
              <w:rPr>
                <w:sz w:val="11"/>
              </w:rPr>
              <w:t>Free-form renderer</w:t>
            </w:r>
          </w:p>
        </w:tc>
        <w:tc>
          <w:tcPr>
            <w:tcW w:type="dxa" w:w="2056"/>
            <w:vAlign w:val="top"/>
          </w:tcPr>
          <w:p>
            <w:pPr>
              <w:spacing w:after="0"/>
            </w:pPr>
            <w:r>
              <w:rPr>
                <w:sz w:val="11"/>
              </w:rPr>
              <w:t>Same latent case plus source-authorized document-family context; no assertion whitelist</w:t>
            </w:r>
          </w:p>
        </w:tc>
        <w:tc>
          <w:tcPr>
            <w:tcW w:type="dxa" w:w="2056"/>
            <w:vAlign w:val="top"/>
          </w:tcPr>
          <w:p>
            <w:pPr>
              <w:spacing w:after="0"/>
            </w:pPr>
            <w:r>
              <w:rPr>
                <w:sz w:val="11"/>
              </w:rPr>
              <w:t>Tests unsupported-claim risk of less constrained generation</w:t>
            </w:r>
          </w:p>
        </w:tc>
        <w:tc>
          <w:tcPr>
            <w:tcW w:type="dxa" w:w="2056"/>
            <w:vAlign w:val="top"/>
          </w:tcPr>
          <w:p>
            <w:pPr>
              <w:spacing w:after="0"/>
            </w:pPr>
            <w:r>
              <w:rPr>
                <w:sz w:val="11"/>
              </w:rPr>
              <w:t>MEDAI-PROPOSED-EXPERIMENTAL</w:t>
            </w:r>
          </w:p>
        </w:tc>
      </w:tr>
      <w:tr>
        <w:tc>
          <w:tcPr>
            <w:tcW w:type="dxa" w:w="2056"/>
            <w:vAlign w:val="top"/>
          </w:tcPr>
          <w:p>
            <w:pPr>
              <w:spacing w:after="0"/>
            </w:pPr>
            <w:r>
              <w:rPr>
                <w:sz w:val="11"/>
              </w:rPr>
              <w:t>C2</w:t>
            </w:r>
          </w:p>
        </w:tc>
        <w:tc>
          <w:tcPr>
            <w:tcW w:type="dxa" w:w="2056"/>
            <w:vAlign w:val="top"/>
          </w:tcPr>
          <w:p>
            <w:pPr>
              <w:spacing w:after="0"/>
            </w:pPr>
            <w:r>
              <w:rPr>
                <w:sz w:val="11"/>
              </w:rPr>
              <w:t>Structured-context renderer</w:t>
            </w:r>
          </w:p>
        </w:tc>
        <w:tc>
          <w:tcPr>
            <w:tcW w:type="dxa" w:w="2056"/>
            <w:vAlign w:val="top"/>
          </w:tcPr>
          <w:p>
            <w:pPr>
              <w:spacing w:after="0"/>
            </w:pPr>
            <w:r>
              <w:rPr>
                <w:sz w:val="11"/>
              </w:rPr>
              <w:t>Structured latent events allowed for the document; no explicit prohibited-assertion list</w:t>
            </w:r>
          </w:p>
        </w:tc>
        <w:tc>
          <w:tcPr>
            <w:tcW w:type="dxa" w:w="2056"/>
            <w:vAlign w:val="top"/>
          </w:tcPr>
          <w:p>
            <w:pPr>
              <w:spacing w:after="0"/>
            </w:pPr>
            <w:r>
              <w:rPr>
                <w:sz w:val="11"/>
              </w:rPr>
              <w:t>Tests whether structure alone improves truth preservation</w:t>
            </w:r>
          </w:p>
        </w:tc>
        <w:tc>
          <w:tcPr>
            <w:tcW w:type="dxa" w:w="2056"/>
            <w:vAlign w:val="top"/>
          </w:tcPr>
          <w:p>
            <w:pPr>
              <w:spacing w:after="0"/>
            </w:pPr>
            <w:r>
              <w:rPr>
                <w:sz w:val="11"/>
              </w:rPr>
              <w:t>MEDAI-PROPOSED-EXPERIMENTAL</w:t>
            </w:r>
          </w:p>
        </w:tc>
      </w:tr>
      <w:tr>
        <w:tc>
          <w:tcPr>
            <w:tcW w:type="dxa" w:w="2056"/>
            <w:vAlign w:val="top"/>
          </w:tcPr>
          <w:p>
            <w:pPr>
              <w:spacing w:after="0"/>
            </w:pPr>
            <w:r>
              <w:rPr>
                <w:sz w:val="11"/>
              </w:rPr>
              <w:t>C3</w:t>
            </w:r>
          </w:p>
        </w:tc>
        <w:tc>
          <w:tcPr>
            <w:tcW w:type="dxa" w:w="2056"/>
            <w:vAlign w:val="top"/>
          </w:tcPr>
          <w:p>
            <w:pPr>
              <w:spacing w:after="0"/>
            </w:pPr>
            <w:r>
              <w:rPr>
                <w:sz w:val="11"/>
              </w:rPr>
              <w:t>MedAI semantic-plan renderer</w:t>
            </w:r>
          </w:p>
        </w:tc>
        <w:tc>
          <w:tcPr>
            <w:tcW w:type="dxa" w:w="2056"/>
            <w:vAlign w:val="top"/>
          </w:tcPr>
          <w:p>
            <w:pPr>
              <w:spacing w:after="0"/>
            </w:pPr>
            <w:r>
              <w:rPr>
                <w:sz w:val="11"/>
              </w:rPr>
              <w:t>allowed_source_event_ids + required/optional assertions + prohibited assertions + polarity/certainty/temporality</w:t>
            </w:r>
          </w:p>
        </w:tc>
        <w:tc>
          <w:tcPr>
            <w:tcW w:type="dxa" w:w="2056"/>
            <w:vAlign w:val="top"/>
          </w:tcPr>
          <w:p>
            <w:pPr>
              <w:spacing w:after="0"/>
            </w:pPr>
            <w:r>
              <w:rPr>
                <w:sz w:val="11"/>
              </w:rPr>
              <w:t>Tests incremental value of explicit semantic planning</w:t>
            </w:r>
          </w:p>
        </w:tc>
        <w:tc>
          <w:tcPr>
            <w:tcW w:type="dxa" w:w="2056"/>
            <w:vAlign w:val="top"/>
          </w:tcPr>
          <w:p>
            <w:pPr>
              <w:spacing w:after="0"/>
            </w:pPr>
            <w:r>
              <w:rPr>
                <w:sz w:val="11"/>
              </w:rPr>
              <w:t>MEDAI-PROPOSED-EXPERIMENTAL</w:t>
            </w:r>
          </w:p>
        </w:tc>
      </w:tr>
    </w:tbl>
    <w:p/>
    <w:p>
      <w:r>
        <w:t>The same latent synthetic case is reused across conditions. C0 is a deterministic pipeline control; C1–C3 progressively alter the amount of explicit semantic constraint.</w:t>
      </w:r>
    </w:p>
    <w:p>
      <w:pPr>
        <w:pStyle w:val="Heading1"/>
      </w:pPr>
      <w:r>
        <w:t>4. Primary pilot scope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3"/>
              </w:rPr>
              <w:t>Document family</w:t>
            </w:r>
          </w:p>
        </w:tc>
        <w:tc>
          <w:tcPr>
            <w:tcW w:type="dxa" w:w="3427"/>
            <w:shd w:fill="D9EAF7"/>
          </w:tcPr>
          <w:p>
            <w:r>
              <w:rPr>
                <w:b/>
                <w:sz w:val="13"/>
              </w:rPr>
              <w:t>Status</w:t>
            </w:r>
          </w:p>
        </w:tc>
        <w:tc>
          <w:tcPr>
            <w:tcW w:type="dxa" w:w="3427"/>
            <w:shd w:fill="D9EAF7"/>
          </w:tcPr>
          <w:p>
            <w:r>
              <w:rPr>
                <w:b/>
                <w:sz w:val="13"/>
              </w:rPr>
              <w:t>Reason</w:t>
            </w:r>
          </w:p>
        </w:tc>
      </w:tr>
      <w:tr>
        <w:tc>
          <w:tcPr>
            <w:tcW w:type="dxa" w:w="3427"/>
            <w:vAlign w:val="top"/>
          </w:tcPr>
          <w:p>
            <w:pPr>
              <w:spacing w:after="0"/>
            </w:pPr>
            <w:r>
              <w:rPr>
                <w:sz w:val="12"/>
              </w:rPr>
              <w:t>Epilepsy clinic letter</w:t>
            </w:r>
          </w:p>
        </w:tc>
        <w:tc>
          <w:tcPr>
            <w:tcW w:type="dxa" w:w="3427"/>
            <w:vAlign w:val="top"/>
          </w:tcPr>
          <w:p>
            <w:pPr>
              <w:spacing w:after="0"/>
            </w:pPr>
            <w:r>
              <w:rPr>
                <w:sz w:val="12"/>
              </w:rPr>
              <w:t>INCLUDE</w:t>
            </w:r>
          </w:p>
        </w:tc>
        <w:tc>
          <w:tcPr>
            <w:tcW w:type="dxa" w:w="3427"/>
            <w:vAlign w:val="top"/>
          </w:tcPr>
          <w:p>
            <w:pPr>
              <w:spacing w:after="0"/>
            </w:pPr>
            <w:r>
              <w:rPr>
                <w:sz w:val="12"/>
              </w:rPr>
              <w:t>Direct published epilepsy-specific synthetic-document precedent.</w:t>
            </w:r>
          </w:p>
        </w:tc>
      </w:tr>
      <w:tr>
        <w:tc>
          <w:tcPr>
            <w:tcW w:type="dxa" w:w="3427"/>
            <w:vAlign w:val="top"/>
          </w:tcPr>
          <w:p>
            <w:pPr>
              <w:spacing w:after="0"/>
            </w:pPr>
            <w:r>
              <w:rPr>
                <w:sz w:val="12"/>
              </w:rPr>
              <w:t>EEG report</w:t>
            </w:r>
          </w:p>
        </w:tc>
        <w:tc>
          <w:tcPr>
            <w:tcW w:type="dxa" w:w="3427"/>
            <w:vAlign w:val="top"/>
          </w:tcPr>
          <w:p>
            <w:pPr>
              <w:spacing w:after="0"/>
            </w:pPr>
            <w:r>
              <w:rPr>
                <w:sz w:val="12"/>
              </w:rPr>
              <w:t>INCLUDE WITH LIMITS</w:t>
            </w:r>
          </w:p>
        </w:tc>
        <w:tc>
          <w:tcPr>
            <w:tcW w:type="dxa" w:w="3427"/>
            <w:vAlign w:val="top"/>
          </w:tcPr>
          <w:p>
            <w:pPr>
              <w:spacing w:after="0"/>
            </w:pPr>
            <w:r>
              <w:rPr>
                <w:sz w:val="12"/>
              </w:rPr>
              <w:t>SCORE reporting framework; frozen concepts only.</w:t>
            </w:r>
          </w:p>
        </w:tc>
      </w:tr>
      <w:tr>
        <w:tc>
          <w:tcPr>
            <w:tcW w:type="dxa" w:w="3427"/>
            <w:vAlign w:val="top"/>
          </w:tcPr>
          <w:p>
            <w:pPr>
              <w:spacing w:after="0"/>
            </w:pPr>
            <w:r>
              <w:rPr>
                <w:sz w:val="12"/>
              </w:rPr>
              <w:t>Video-EEG/EMU</w:t>
            </w:r>
          </w:p>
        </w:tc>
        <w:tc>
          <w:tcPr>
            <w:tcW w:type="dxa" w:w="3427"/>
            <w:vAlign w:val="top"/>
          </w:tcPr>
          <w:p>
            <w:pPr>
              <w:spacing w:after="0"/>
            </w:pPr>
            <w:r>
              <w:rPr>
                <w:sz w:val="12"/>
              </w:rPr>
              <w:t>DEFER</w:t>
            </w:r>
          </w:p>
        </w:tc>
        <w:tc>
          <w:tcPr>
            <w:tcW w:type="dxa" w:w="3427"/>
            <w:vAlign w:val="top"/>
          </w:tcPr>
          <w:p>
            <w:pPr>
              <w:spacing w:after="0"/>
            </w:pPr>
            <w:r>
              <w:rPr>
                <w:sz w:val="12"/>
              </w:rPr>
              <w:t>Content precedent exists, but canonical report template remains unresolved.</w:t>
            </w:r>
          </w:p>
        </w:tc>
      </w:tr>
      <w:tr>
        <w:tc>
          <w:tcPr>
            <w:tcW w:type="dxa" w:w="3427"/>
            <w:vAlign w:val="top"/>
          </w:tcPr>
          <w:p>
            <w:pPr>
              <w:spacing w:after="0"/>
            </w:pPr>
            <w:r>
              <w:rPr>
                <w:sz w:val="12"/>
              </w:rPr>
              <w:t>MRI radiology report</w:t>
            </w:r>
          </w:p>
        </w:tc>
        <w:tc>
          <w:tcPr>
            <w:tcW w:type="dxa" w:w="3427"/>
            <w:vAlign w:val="top"/>
          </w:tcPr>
          <w:p>
            <w:pPr>
              <w:spacing w:after="0"/>
            </w:pPr>
            <w:r>
              <w:rPr>
                <w:sz w:val="12"/>
              </w:rPr>
              <w:t>DEFER</w:t>
            </w:r>
          </w:p>
        </w:tc>
        <w:tc>
          <w:tcPr>
            <w:tcW w:type="dxa" w:w="3427"/>
            <w:vAlign w:val="top"/>
          </w:tcPr>
          <w:p>
            <w:pPr>
              <w:spacing w:after="0"/>
            </w:pPr>
            <w:r>
              <w:rPr>
                <w:sz w:val="12"/>
              </w:rPr>
              <w:t>General ACR report guidance only; epilepsy-specific template unresolved.</w:t>
            </w:r>
          </w:p>
        </w:tc>
      </w:tr>
      <w:tr>
        <w:tc>
          <w:tcPr>
            <w:tcW w:type="dxa" w:w="3427"/>
            <w:vAlign w:val="top"/>
          </w:tcPr>
          <w:p>
            <w:pPr>
              <w:spacing w:after="0"/>
            </w:pPr>
            <w:r>
              <w:rPr>
                <w:sz w:val="12"/>
              </w:rPr>
              <w:t>All Phase6B RED families</w:t>
            </w:r>
          </w:p>
        </w:tc>
        <w:tc>
          <w:tcPr>
            <w:tcW w:type="dxa" w:w="3427"/>
            <w:vAlign w:val="top"/>
          </w:tcPr>
          <w:p>
            <w:pPr>
              <w:spacing w:after="0"/>
            </w:pPr>
            <w:r>
              <w:rPr>
                <w:sz w:val="12"/>
              </w:rPr>
              <w:t>EXCLUDE</w:t>
            </w:r>
          </w:p>
        </w:tc>
        <w:tc>
          <w:tcPr>
            <w:tcW w:type="dxa" w:w="3427"/>
            <w:vAlign w:val="top"/>
          </w:tcPr>
          <w:p>
            <w:pPr>
              <w:spacing w:after="0"/>
            </w:pPr>
            <w:r>
              <w:rPr>
                <w:sz w:val="12"/>
              </w:rPr>
              <w:t>Document-level support insufficient.</w:t>
            </w:r>
          </w:p>
        </w:tc>
      </w:tr>
    </w:tbl>
    <w:p/>
    <w:p>
      <w:pPr>
        <w:pStyle w:val="Heading1"/>
      </w:pPr>
      <w:r>
        <w:t>5. Pilot case-selection rules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Pr>
                <w:b/>
                <w:sz w:val="11"/>
              </w:rPr>
              <w:t>ID</w:t>
            </w:r>
          </w:p>
        </w:tc>
        <w:tc>
          <w:tcPr>
            <w:tcW w:type="dxa" w:w="2570"/>
            <w:shd w:fill="D9EAF7"/>
          </w:tcPr>
          <w:p>
            <w:r>
              <w:rPr>
                <w:b/>
                <w:sz w:val="11"/>
              </w:rPr>
              <w:t>Area</w:t>
            </w:r>
          </w:p>
        </w:tc>
        <w:tc>
          <w:tcPr>
            <w:tcW w:type="dxa" w:w="2570"/>
            <w:shd w:fill="D9EAF7"/>
          </w:tcPr>
          <w:p>
            <w:r>
              <w:rPr>
                <w:b/>
                <w:sz w:val="11"/>
              </w:rPr>
              <w:t>Rule</w:t>
            </w:r>
          </w:p>
        </w:tc>
        <w:tc>
          <w:tcPr>
            <w:tcW w:type="dxa" w:w="2570"/>
            <w:shd w:fill="D9EAF7"/>
          </w:tcPr>
          <w:p>
            <w:r>
              <w:rPr>
                <w:b/>
                <w:sz w:val="11"/>
              </w:rPr>
              <w:t>Backing / scope</w:t>
            </w:r>
          </w:p>
        </w:tc>
      </w:tr>
      <w:tr>
        <w:tc>
          <w:tcPr>
            <w:tcW w:type="dxa" w:w="2570"/>
            <w:vAlign w:val="top"/>
          </w:tcPr>
          <w:p>
            <w:pPr>
              <w:spacing w:after="0"/>
            </w:pPr>
            <w:r>
              <w:rPr>
                <w:sz w:val="11"/>
              </w:rPr>
              <w:t>P01</w:t>
            </w:r>
          </w:p>
        </w:tc>
        <w:tc>
          <w:tcPr>
            <w:tcW w:type="dxa" w:w="2570"/>
            <w:vAlign w:val="top"/>
          </w:tcPr>
          <w:p>
            <w:pPr>
              <w:spacing w:after="0"/>
            </w:pPr>
            <w:r>
              <w:rPr>
                <w:sz w:val="11"/>
              </w:rPr>
              <w:t>Document families</w:t>
            </w:r>
          </w:p>
        </w:tc>
        <w:tc>
          <w:tcPr>
            <w:tcW w:type="dxa" w:w="2570"/>
            <w:vAlign w:val="top"/>
          </w:tcPr>
          <w:p>
            <w:pPr>
              <w:spacing w:after="0"/>
            </w:pPr>
            <w:r>
              <w:rPr>
                <w:sz w:val="11"/>
              </w:rPr>
              <w:t>Include only Phase6B GREEN/GREEN-with-limits in first experiment: epilepsy clinic letters and EEG reports.</w:t>
            </w:r>
          </w:p>
        </w:tc>
        <w:tc>
          <w:tcPr>
            <w:tcW w:type="dxa" w:w="2570"/>
            <w:vAlign w:val="top"/>
          </w:tcPr>
          <w:p>
            <w:pPr>
              <w:spacing w:after="0"/>
            </w:pPr>
            <w:r>
              <w:rPr>
                <w:sz w:val="11"/>
              </w:rPr>
              <w:t>Phase6B evidence gate — MRI/video-EEG deferred from primary pilot because their evidence status is AMBER.</w:t>
            </w:r>
          </w:p>
        </w:tc>
      </w:tr>
      <w:tr>
        <w:tc>
          <w:tcPr>
            <w:tcW w:type="dxa" w:w="2570"/>
            <w:vAlign w:val="top"/>
          </w:tcPr>
          <w:p>
            <w:pPr>
              <w:spacing w:after="0"/>
            </w:pPr>
            <w:r>
              <w:rPr>
                <w:sz w:val="11"/>
              </w:rPr>
              <w:t>P02</w:t>
            </w:r>
          </w:p>
        </w:tc>
        <w:tc>
          <w:tcPr>
            <w:tcW w:type="dxa" w:w="2570"/>
            <w:vAlign w:val="top"/>
          </w:tcPr>
          <w:p>
            <w:pPr>
              <w:spacing w:after="0"/>
            </w:pPr>
            <w:r>
              <w:rPr>
                <w:sz w:val="11"/>
              </w:rPr>
              <w:t>Clinical semantics</w:t>
            </w:r>
          </w:p>
        </w:tc>
        <w:tc>
          <w:tcPr>
            <w:tcW w:type="dxa" w:w="2570"/>
            <w:vAlign w:val="top"/>
          </w:tcPr>
          <w:p>
            <w:pPr>
              <w:spacing w:after="0"/>
            </w:pPr>
            <w:r>
              <w:rPr>
                <w:sz w:val="11"/>
              </w:rPr>
              <w:t>Use only Phase3D/4.1 and Phase5 fields already frozen for generation.</w:t>
            </w:r>
          </w:p>
        </w:tc>
        <w:tc>
          <w:tcPr>
            <w:tcW w:type="dxa" w:w="2570"/>
            <w:vAlign w:val="top"/>
          </w:tcPr>
          <w:p>
            <w:pPr>
              <w:spacing w:after="0"/>
            </w:pPr>
            <w:r>
              <w:rPr>
                <w:sz w:val="11"/>
              </w:rPr>
              <w:t>Prior source audit — No new clinical value set may be introduced in Phase6D.</w:t>
            </w:r>
          </w:p>
        </w:tc>
      </w:tr>
      <w:tr>
        <w:tc>
          <w:tcPr>
            <w:tcW w:type="dxa" w:w="2570"/>
            <w:vAlign w:val="top"/>
          </w:tcPr>
          <w:p>
            <w:pPr>
              <w:spacing w:after="0"/>
            </w:pPr>
            <w:r>
              <w:rPr>
                <w:sz w:val="11"/>
              </w:rPr>
              <w:t>P03</w:t>
            </w:r>
          </w:p>
        </w:tc>
        <w:tc>
          <w:tcPr>
            <w:tcW w:type="dxa" w:w="2570"/>
            <w:vAlign w:val="top"/>
          </w:tcPr>
          <w:p>
            <w:pPr>
              <w:spacing w:after="0"/>
            </w:pPr>
            <w:r>
              <w:rPr>
                <w:sz w:val="11"/>
              </w:rPr>
              <w:t>Case construction</w:t>
            </w:r>
          </w:p>
        </w:tc>
        <w:tc>
          <w:tcPr>
            <w:tcW w:type="dxa" w:w="2570"/>
            <w:vAlign w:val="top"/>
          </w:tcPr>
          <w:p>
            <w:pPr>
              <w:spacing w:after="0"/>
            </w:pPr>
            <w:r>
              <w:rPr>
                <w:sz w:val="11"/>
              </w:rPr>
              <w:t>Cases are synthetic benchmark-design combinations of already-authorized values; do not label their combinations/frequencies as epidemiologic prevalence.</w:t>
            </w:r>
          </w:p>
        </w:tc>
        <w:tc>
          <w:tcPr>
            <w:tcW w:type="dxa" w:w="2570"/>
            <w:vAlign w:val="top"/>
          </w:tcPr>
          <w:p>
            <w:pPr>
              <w:spacing w:after="0"/>
            </w:pPr>
            <w:r>
              <w:rPr>
                <w:sz w:val="11"/>
              </w:rPr>
              <w:t>Phase5/6C claim boundary — Exact case combinations are MEDAI-PROPOSED experimental fixtures.</w:t>
            </w:r>
          </w:p>
        </w:tc>
      </w:tr>
      <w:tr>
        <w:tc>
          <w:tcPr>
            <w:tcW w:type="dxa" w:w="2570"/>
            <w:vAlign w:val="top"/>
          </w:tcPr>
          <w:p>
            <w:pPr>
              <w:spacing w:after="0"/>
            </w:pPr>
            <w:r>
              <w:rPr>
                <w:sz w:val="11"/>
              </w:rPr>
              <w:t>P04</w:t>
            </w:r>
          </w:p>
        </w:tc>
        <w:tc>
          <w:tcPr>
            <w:tcW w:type="dxa" w:w="2570"/>
            <w:vAlign w:val="top"/>
          </w:tcPr>
          <w:p>
            <w:pPr>
              <w:spacing w:after="0"/>
            </w:pPr>
            <w:r>
              <w:rPr>
                <w:sz w:val="11"/>
              </w:rPr>
              <w:t>Coverage</w:t>
            </w:r>
          </w:p>
        </w:tc>
        <w:tc>
          <w:tcPr>
            <w:tcW w:type="dxa" w:w="2570"/>
            <w:vAlign w:val="top"/>
          </w:tcPr>
          <w:p>
            <w:pPr>
              <w:spacing w:after="0"/>
            </w:pPr>
            <w:r>
              <w:rPr>
                <w:sz w:val="11"/>
              </w:rPr>
              <w:t>Select cases to exercise atomic assertions, negation/uncertainty where source model permits, temporal/frequency fields, medication explicitness, EEG normal/abnormal and explicit frozen findings.</w:t>
            </w:r>
          </w:p>
        </w:tc>
        <w:tc>
          <w:tcPr>
            <w:tcW w:type="dxa" w:w="2570"/>
            <w:vAlign w:val="top"/>
          </w:tcPr>
          <w:p>
            <w:pPr>
              <w:spacing w:after="0"/>
            </w:pPr>
            <w:r>
              <w:rPr>
                <w:sz w:val="11"/>
              </w:rPr>
              <w:t>Phase4/5 fields — Coverage is a testing objective, not prevalence.</w:t>
            </w:r>
          </w:p>
        </w:tc>
      </w:tr>
      <w:tr>
        <w:tc>
          <w:tcPr>
            <w:tcW w:type="dxa" w:w="2570"/>
            <w:vAlign w:val="top"/>
          </w:tcPr>
          <w:p>
            <w:pPr>
              <w:spacing w:after="0"/>
            </w:pPr>
            <w:r>
              <w:rPr>
                <w:sz w:val="11"/>
              </w:rPr>
              <w:t>P05</w:t>
            </w:r>
          </w:p>
        </w:tc>
        <w:tc>
          <w:tcPr>
            <w:tcW w:type="dxa" w:w="2570"/>
            <w:vAlign w:val="top"/>
          </w:tcPr>
          <w:p>
            <w:pPr>
              <w:spacing w:after="0"/>
            </w:pPr>
            <w:r>
              <w:rPr>
                <w:sz w:val="11"/>
              </w:rPr>
              <w:t>DRE</w:t>
            </w:r>
          </w:p>
        </w:tc>
        <w:tc>
          <w:tcPr>
            <w:tcW w:type="dxa" w:w="2570"/>
            <w:vAlign w:val="top"/>
          </w:tcPr>
          <w:p>
            <w:pPr>
              <w:spacing w:after="0"/>
            </w:pPr>
            <w:r>
              <w:rPr>
                <w:sz w:val="11"/>
              </w:rPr>
              <w:t>Only direct DRE statement target may appear if already authorized; no criteria-derived DRE cases.</w:t>
            </w:r>
          </w:p>
        </w:tc>
        <w:tc>
          <w:tcPr>
            <w:tcW w:type="dxa" w:w="2570"/>
            <w:vAlign w:val="top"/>
          </w:tcPr>
          <w:p>
            <w:pPr>
              <w:spacing w:after="0"/>
            </w:pPr>
            <w:r>
              <w:rPr>
                <w:sz w:val="11"/>
              </w:rPr>
              <w:t>ILAE DRE + Phase3D/5 blocker — Derived DRE remains blocked.</w:t>
            </w:r>
          </w:p>
        </w:tc>
      </w:tr>
      <w:tr>
        <w:tc>
          <w:tcPr>
            <w:tcW w:type="dxa" w:w="2570"/>
            <w:vAlign w:val="top"/>
          </w:tcPr>
          <w:p>
            <w:pPr>
              <w:spacing w:after="0"/>
            </w:pPr>
            <w:r>
              <w:rPr>
                <w:sz w:val="11"/>
              </w:rPr>
              <w:t>P06</w:t>
            </w:r>
          </w:p>
        </w:tc>
        <w:tc>
          <w:tcPr>
            <w:tcW w:type="dxa" w:w="2570"/>
            <w:vAlign w:val="top"/>
          </w:tcPr>
          <w:p>
            <w:pPr>
              <w:spacing w:after="0"/>
            </w:pPr>
            <w:r>
              <w:rPr>
                <w:sz w:val="11"/>
              </w:rPr>
              <w:t>Syndrome</w:t>
            </w:r>
          </w:p>
        </w:tc>
        <w:tc>
          <w:tcPr>
            <w:tcW w:type="dxa" w:w="2570"/>
            <w:vAlign w:val="top"/>
          </w:tcPr>
          <w:p>
            <w:pPr>
              <w:spacing w:after="0"/>
            </w:pPr>
            <w:r>
              <w:rPr>
                <w:sz w:val="11"/>
              </w:rPr>
              <w:t>Only direct syndrome label if frozen/source-listed; no computational syndrome diagnosis.</w:t>
            </w:r>
          </w:p>
        </w:tc>
        <w:tc>
          <w:tcPr>
            <w:tcW w:type="dxa" w:w="2570"/>
            <w:vAlign w:val="top"/>
          </w:tcPr>
          <w:p>
            <w:pPr>
              <w:spacing w:after="0"/>
            </w:pPr>
            <w:r>
              <w:rPr>
                <w:sz w:val="11"/>
              </w:rPr>
              <w:t>ILAE syndrome boundary + Phase3D/5 blocker — Derived syndrome remains blocked.</w:t>
            </w:r>
          </w:p>
        </w:tc>
      </w:tr>
      <w:tr>
        <w:tc>
          <w:tcPr>
            <w:tcW w:type="dxa" w:w="2570"/>
            <w:vAlign w:val="top"/>
          </w:tcPr>
          <w:p>
            <w:pPr>
              <w:spacing w:after="0"/>
            </w:pPr>
            <w:r>
              <w:rPr>
                <w:sz w:val="11"/>
              </w:rPr>
              <w:t>P07</w:t>
            </w:r>
          </w:p>
        </w:tc>
        <w:tc>
          <w:tcPr>
            <w:tcW w:type="dxa" w:w="2570"/>
            <w:vAlign w:val="top"/>
          </w:tcPr>
          <w:p>
            <w:pPr>
              <w:spacing w:after="0"/>
            </w:pPr>
            <w:r>
              <w:rPr>
                <w:sz w:val="11"/>
              </w:rPr>
              <w:t>MRI</w:t>
            </w:r>
          </w:p>
        </w:tc>
        <w:tc>
          <w:tcPr>
            <w:tcW w:type="dxa" w:w="2570"/>
            <w:vAlign w:val="top"/>
          </w:tcPr>
          <w:p>
            <w:pPr>
              <w:spacing w:after="0"/>
            </w:pPr>
            <w:r>
              <w:rPr>
                <w:sz w:val="11"/>
              </w:rPr>
              <w:t>Not part of first primary comparison.</w:t>
            </w:r>
          </w:p>
        </w:tc>
        <w:tc>
          <w:tcPr>
            <w:tcW w:type="dxa" w:w="2570"/>
            <w:vAlign w:val="top"/>
          </w:tcPr>
          <w:p>
            <w:pPr>
              <w:spacing w:after="0"/>
            </w:pPr>
            <w:r>
              <w:rPr>
                <w:sz w:val="11"/>
              </w:rPr>
              <w:t>Phase6B AMBER gate — Can be a later secondary pilot after primary mechanics pass.</w:t>
            </w:r>
          </w:p>
        </w:tc>
      </w:tr>
      <w:tr>
        <w:tc>
          <w:tcPr>
            <w:tcW w:type="dxa" w:w="2570"/>
            <w:vAlign w:val="top"/>
          </w:tcPr>
          <w:p>
            <w:pPr>
              <w:spacing w:after="0"/>
            </w:pPr>
            <w:r>
              <w:rPr>
                <w:sz w:val="11"/>
              </w:rPr>
              <w:t>P08</w:t>
            </w:r>
          </w:p>
        </w:tc>
        <w:tc>
          <w:tcPr>
            <w:tcW w:type="dxa" w:w="2570"/>
            <w:vAlign w:val="top"/>
          </w:tcPr>
          <w:p>
            <w:pPr>
              <w:spacing w:after="0"/>
            </w:pPr>
            <w:r>
              <w:rPr>
                <w:sz w:val="11"/>
              </w:rPr>
              <w:t>Conflict scenarios</w:t>
            </w:r>
          </w:p>
        </w:tc>
        <w:tc>
          <w:tcPr>
            <w:tcW w:type="dxa" w:w="2570"/>
            <w:vAlign w:val="top"/>
          </w:tcPr>
          <w:p>
            <w:pPr>
              <w:spacing w:after="0"/>
            </w:pPr>
            <w:r>
              <w:rPr>
                <w:sz w:val="11"/>
              </w:rPr>
              <w:t>Exclude from first primary experiment.</w:t>
            </w:r>
          </w:p>
        </w:tc>
        <w:tc>
          <w:tcPr>
            <w:tcW w:type="dxa" w:w="2570"/>
            <w:vAlign w:val="top"/>
          </w:tcPr>
          <w:p>
            <w:pPr>
              <w:spacing w:after="0"/>
            </w:pPr>
            <w:r>
              <w:rPr>
                <w:sz w:val="11"/>
              </w:rPr>
              <w:t>Phase6C experimental status — Add only after baseline truth-preservation behavior is characterized.</w:t>
            </w:r>
          </w:p>
        </w:tc>
      </w:tr>
      <w:tr>
        <w:tc>
          <w:tcPr>
            <w:tcW w:type="dxa" w:w="2570"/>
            <w:vAlign w:val="top"/>
          </w:tcPr>
          <w:p>
            <w:pPr>
              <w:spacing w:after="0"/>
            </w:pPr>
            <w:r>
              <w:rPr>
                <w:sz w:val="11"/>
              </w:rPr>
              <w:t>P09</w:t>
            </w:r>
          </w:p>
        </w:tc>
        <w:tc>
          <w:tcPr>
            <w:tcW w:type="dxa" w:w="2570"/>
            <w:vAlign w:val="top"/>
          </w:tcPr>
          <w:p>
            <w:pPr>
              <w:spacing w:after="0"/>
            </w:pPr>
            <w:r>
              <w:rPr>
                <w:sz w:val="11"/>
              </w:rPr>
              <w:t>Sample size</w:t>
            </w:r>
          </w:p>
        </w:tc>
        <w:tc>
          <w:tcPr>
            <w:tcW w:type="dxa" w:w="2570"/>
            <w:vAlign w:val="top"/>
          </w:tcPr>
          <w:p>
            <w:pPr>
              <w:spacing w:after="0"/>
            </w:pPr>
            <w:r>
              <w:rPr>
                <w:sz w:val="11"/>
              </w:rPr>
              <w:t>Do not invent a statistically 'correct' N in this protocol.</w:t>
            </w:r>
          </w:p>
        </w:tc>
        <w:tc>
          <w:tcPr>
            <w:tcW w:type="dxa" w:w="2570"/>
            <w:vAlign w:val="top"/>
          </w:tcPr>
          <w:p>
            <w:pPr>
              <w:spacing w:after="0"/>
            </w:pPr>
            <w:r>
              <w:rPr>
                <w:sz w:val="11"/>
              </w:rPr>
              <w:t>No source-backed universal N — Run a feasibility pilot; use observed event/error rates to plan a powered confirmatory experiment.</w:t>
            </w:r>
          </w:p>
        </w:tc>
      </w:tr>
      <w:tr>
        <w:tc>
          <w:tcPr>
            <w:tcW w:type="dxa" w:w="2570"/>
            <w:vAlign w:val="top"/>
          </w:tcPr>
          <w:p>
            <w:pPr>
              <w:spacing w:after="0"/>
            </w:pPr>
            <w:r>
              <w:rPr>
                <w:sz w:val="11"/>
              </w:rPr>
              <w:t>P10</w:t>
            </w:r>
          </w:p>
        </w:tc>
        <w:tc>
          <w:tcPr>
            <w:tcW w:type="dxa" w:w="2570"/>
            <w:vAlign w:val="top"/>
          </w:tcPr>
          <w:p>
            <w:pPr>
              <w:spacing w:after="0"/>
            </w:pPr>
            <w:r>
              <w:rPr>
                <w:sz w:val="11"/>
              </w:rPr>
              <w:t>Renderer models</w:t>
            </w:r>
          </w:p>
        </w:tc>
        <w:tc>
          <w:tcPr>
            <w:tcW w:type="dxa" w:w="2570"/>
            <w:vAlign w:val="top"/>
          </w:tcPr>
          <w:p>
            <w:pPr>
              <w:spacing w:after="0"/>
            </w:pPr>
            <w:r>
              <w:rPr>
                <w:sz w:val="11"/>
              </w:rPr>
              <w:t>Pin exact model name/version, decoding parameters, prompt/template version, and runtime before execution.</w:t>
            </w:r>
          </w:p>
        </w:tc>
        <w:tc>
          <w:tcPr>
            <w:tcW w:type="dxa" w:w="2570"/>
            <w:vAlign w:val="top"/>
          </w:tcPr>
          <w:p>
            <w:pPr>
              <w:spacing w:after="0"/>
            </w:pPr>
            <w:r>
              <w:rPr>
                <w:sz w:val="11"/>
              </w:rPr>
              <w:t>Model-card/reporting precedent — No result is interpretable without generator provenance.</w:t>
            </w:r>
          </w:p>
        </w:tc>
      </w:tr>
    </w:tbl>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Sample-size boundary</w:t>
              <w:br/>
            </w:r>
            <w:r>
              <w:t>No arbitrary pilot N is presented as statistically sufficient. Feasibility results should be used to estimate error rates and variability before a confirmatory design is powered.</w:t>
            </w:r>
          </w:p>
        </w:tc>
      </w:tr>
    </w:tbl>
    <w:p/>
    <w:p>
      <w:pPr>
        <w:pStyle w:val="Heading1"/>
      </w:pPr>
      <w:r>
        <w:t>6. Outcomes defined before generation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0"/>
              </w:rPr>
              <w:t>ID</w:t>
            </w:r>
          </w:p>
        </w:tc>
        <w:tc>
          <w:tcPr>
            <w:tcW w:type="dxa" w:w="2056"/>
            <w:shd w:fill="D9EAF7"/>
          </w:tcPr>
          <w:p>
            <w:r>
              <w:rPr>
                <w:b/>
                <w:sz w:val="10"/>
              </w:rPr>
              <w:t>Outcome</w:t>
            </w:r>
          </w:p>
        </w:tc>
        <w:tc>
          <w:tcPr>
            <w:tcW w:type="dxa" w:w="2056"/>
            <w:shd w:fill="D9EAF7"/>
          </w:tcPr>
          <w:p>
            <w:r>
              <w:rPr>
                <w:b/>
                <w:sz w:val="10"/>
              </w:rPr>
              <w:t>Definition</w:t>
            </w:r>
          </w:p>
        </w:tc>
        <w:tc>
          <w:tcPr>
            <w:tcW w:type="dxa" w:w="2056"/>
            <w:shd w:fill="D9EAF7"/>
          </w:tcPr>
          <w:p>
            <w:r>
              <w:rPr>
                <w:b/>
                <w:sz w:val="10"/>
              </w:rPr>
              <w:t>Measurement</w:t>
            </w:r>
          </w:p>
        </w:tc>
        <w:tc>
          <w:tcPr>
            <w:tcW w:type="dxa" w:w="2056"/>
            <w:shd w:fill="D9EAF7"/>
          </w:tcPr>
          <w:p>
            <w:r>
              <w:rPr>
                <w:b/>
                <w:sz w:val="10"/>
              </w:rPr>
              <w:t>Threshold policy</w:t>
            </w:r>
          </w:p>
        </w:tc>
      </w:tr>
      <w:tr>
        <w:tc>
          <w:tcPr>
            <w:tcW w:type="dxa" w:w="2056"/>
            <w:vAlign w:val="top"/>
          </w:tcPr>
          <w:p>
            <w:pPr>
              <w:spacing w:after="0"/>
            </w:pPr>
            <w:r>
              <w:rPr>
                <w:sz w:val="10"/>
              </w:rPr>
              <w:t>O01</w:t>
            </w:r>
          </w:p>
        </w:tc>
        <w:tc>
          <w:tcPr>
            <w:tcW w:type="dxa" w:w="2056"/>
            <w:vAlign w:val="top"/>
          </w:tcPr>
          <w:p>
            <w:pPr>
              <w:spacing w:after="0"/>
            </w:pPr>
            <w:r>
              <w:rPr>
                <w:sz w:val="10"/>
              </w:rPr>
              <w:t>Unsupported assertion</w:t>
            </w:r>
          </w:p>
        </w:tc>
        <w:tc>
          <w:tcPr>
            <w:tcW w:type="dxa" w:w="2056"/>
            <w:vAlign w:val="top"/>
          </w:tcPr>
          <w:p>
            <w:pPr>
              <w:spacing w:after="0"/>
            </w:pPr>
            <w:r>
              <w:rPr>
                <w:sz w:val="10"/>
              </w:rPr>
              <w:t>A clinical assertion in rendered text for which adjudicators cannot identify an authorizing assertion/event in the condition's permitted source information.</w:t>
            </w:r>
          </w:p>
        </w:tc>
        <w:tc>
          <w:tcPr>
            <w:tcW w:type="dxa" w:w="2056"/>
            <w:vAlign w:val="top"/>
          </w:tcPr>
          <w:p>
            <w:pPr>
              <w:spacing w:after="0"/>
            </w:pPr>
            <w:r>
              <w:rPr>
                <w:sz w:val="10"/>
              </w:rPr>
              <w:t>Claim-level binary label; report count and proportion with numerator/denominator.</w:t>
            </w:r>
          </w:p>
        </w:tc>
        <w:tc>
          <w:tcPr>
            <w:tcW w:type="dxa" w:w="2056"/>
            <w:vAlign w:val="top"/>
          </w:tcPr>
          <w:p>
            <w:pPr>
              <w:spacing w:after="0"/>
            </w:pPr>
            <w:r>
              <w:rPr>
                <w:sz w:val="10"/>
              </w:rPr>
              <w:t>No acceptance cutoff pre-specified.</w:t>
            </w:r>
          </w:p>
        </w:tc>
      </w:tr>
      <w:tr>
        <w:tc>
          <w:tcPr>
            <w:tcW w:type="dxa" w:w="2056"/>
            <w:vAlign w:val="top"/>
          </w:tcPr>
          <w:p>
            <w:pPr>
              <w:spacing w:after="0"/>
            </w:pPr>
            <w:r>
              <w:rPr>
                <w:sz w:val="10"/>
              </w:rPr>
              <w:t>O02</w:t>
            </w:r>
          </w:p>
        </w:tc>
        <w:tc>
          <w:tcPr>
            <w:tcW w:type="dxa" w:w="2056"/>
            <w:vAlign w:val="top"/>
          </w:tcPr>
          <w:p>
            <w:pPr>
              <w:spacing w:after="0"/>
            </w:pPr>
            <w:r>
              <w:rPr>
                <w:sz w:val="10"/>
              </w:rPr>
              <w:t>Target expression</w:t>
            </w:r>
          </w:p>
        </w:tc>
        <w:tc>
          <w:tcPr>
            <w:tcW w:type="dxa" w:w="2056"/>
            <w:vAlign w:val="top"/>
          </w:tcPr>
          <w:p>
            <w:pPr>
              <w:spacing w:after="0"/>
            </w:pPr>
            <w:r>
              <w:rPr>
                <w:sz w:val="10"/>
              </w:rPr>
              <w:t>Whether a required target assertion is expressed in the rendered document without changing its clinical value.</w:t>
            </w:r>
          </w:p>
        </w:tc>
        <w:tc>
          <w:tcPr>
            <w:tcW w:type="dxa" w:w="2056"/>
            <w:vAlign w:val="top"/>
          </w:tcPr>
          <w:p>
            <w:pPr>
              <w:spacing w:after="0"/>
            </w:pPr>
            <w:r>
              <w:rPr>
                <w:sz w:val="10"/>
              </w:rPr>
              <w:t>Assertion-level expressed/not expressed.</w:t>
            </w:r>
          </w:p>
        </w:tc>
        <w:tc>
          <w:tcPr>
            <w:tcW w:type="dxa" w:w="2056"/>
            <w:vAlign w:val="top"/>
          </w:tcPr>
          <w:p>
            <w:pPr>
              <w:spacing w:after="0"/>
            </w:pPr>
            <w:r>
              <w:rPr>
                <w:sz w:val="10"/>
              </w:rPr>
              <w:t>No cutoff pre-specified.</w:t>
            </w:r>
          </w:p>
        </w:tc>
      </w:tr>
      <w:tr>
        <w:tc>
          <w:tcPr>
            <w:tcW w:type="dxa" w:w="2056"/>
            <w:vAlign w:val="top"/>
          </w:tcPr>
          <w:p>
            <w:pPr>
              <w:spacing w:after="0"/>
            </w:pPr>
            <w:r>
              <w:rPr>
                <w:sz w:val="10"/>
              </w:rPr>
              <w:t>O03</w:t>
            </w:r>
          </w:p>
        </w:tc>
        <w:tc>
          <w:tcPr>
            <w:tcW w:type="dxa" w:w="2056"/>
            <w:vAlign w:val="top"/>
          </w:tcPr>
          <w:p>
            <w:pPr>
              <w:spacing w:after="0"/>
            </w:pPr>
            <w:r>
              <w:rPr>
                <w:sz w:val="10"/>
              </w:rPr>
              <w:t>Semantic corruption</w:t>
            </w:r>
          </w:p>
        </w:tc>
        <w:tc>
          <w:tcPr>
            <w:tcW w:type="dxa" w:w="2056"/>
            <w:vAlign w:val="top"/>
          </w:tcPr>
          <w:p>
            <w:pPr>
              <w:spacing w:after="0"/>
            </w:pPr>
            <w:r>
              <w:rPr>
                <w:sz w:val="10"/>
              </w:rPr>
              <w:t>A rendered target changes value, polarity, certainty, temporality, laterality, dose/frequency, or other frozen attribute relative to source assertion.</w:t>
            </w:r>
          </w:p>
        </w:tc>
        <w:tc>
          <w:tcPr>
            <w:tcW w:type="dxa" w:w="2056"/>
            <w:vAlign w:val="top"/>
          </w:tcPr>
          <w:p>
            <w:pPr>
              <w:spacing w:after="0"/>
            </w:pPr>
            <w:r>
              <w:rPr>
                <w:sz w:val="10"/>
              </w:rPr>
              <w:t>Attribute-level error categories and proportion.</w:t>
            </w:r>
          </w:p>
        </w:tc>
        <w:tc>
          <w:tcPr>
            <w:tcW w:type="dxa" w:w="2056"/>
            <w:vAlign w:val="top"/>
          </w:tcPr>
          <w:p>
            <w:pPr>
              <w:spacing w:after="0"/>
            </w:pPr>
            <w:r>
              <w:rPr>
                <w:sz w:val="10"/>
              </w:rPr>
              <w:t>No cutoff pre-specified.</w:t>
            </w:r>
          </w:p>
        </w:tc>
      </w:tr>
      <w:tr>
        <w:tc>
          <w:tcPr>
            <w:tcW w:type="dxa" w:w="2056"/>
            <w:vAlign w:val="top"/>
          </w:tcPr>
          <w:p>
            <w:pPr>
              <w:spacing w:after="0"/>
            </w:pPr>
            <w:r>
              <w:rPr>
                <w:sz w:val="10"/>
              </w:rPr>
              <w:t>O04</w:t>
            </w:r>
          </w:p>
        </w:tc>
        <w:tc>
          <w:tcPr>
            <w:tcW w:type="dxa" w:w="2056"/>
            <w:vAlign w:val="top"/>
          </w:tcPr>
          <w:p>
            <w:pPr>
              <w:spacing w:after="0"/>
            </w:pPr>
            <w:r>
              <w:rPr>
                <w:sz w:val="10"/>
              </w:rPr>
              <w:t>Contradiction</w:t>
            </w:r>
          </w:p>
        </w:tc>
        <w:tc>
          <w:tcPr>
            <w:tcW w:type="dxa" w:w="2056"/>
            <w:vAlign w:val="top"/>
          </w:tcPr>
          <w:p>
            <w:pPr>
              <w:spacing w:after="0"/>
            </w:pPr>
            <w:r>
              <w:rPr>
                <w:sz w:val="10"/>
              </w:rPr>
              <w:t>Rendered text contains mutually incompatible claims or conflicts with permitted latent truth without an authorized controlled-conflict scenario.</w:t>
            </w:r>
          </w:p>
        </w:tc>
        <w:tc>
          <w:tcPr>
            <w:tcW w:type="dxa" w:w="2056"/>
            <w:vAlign w:val="top"/>
          </w:tcPr>
          <w:p>
            <w:pPr>
              <w:spacing w:after="0"/>
            </w:pPr>
            <w:r>
              <w:rPr>
                <w:sz w:val="10"/>
              </w:rPr>
              <w:t>Document/claim-level adjudication.</w:t>
            </w:r>
          </w:p>
        </w:tc>
        <w:tc>
          <w:tcPr>
            <w:tcW w:type="dxa" w:w="2056"/>
            <w:vAlign w:val="top"/>
          </w:tcPr>
          <w:p>
            <w:pPr>
              <w:spacing w:after="0"/>
            </w:pPr>
            <w:r>
              <w:rPr>
                <w:sz w:val="10"/>
              </w:rPr>
              <w:t>No cutoff pre-specified.</w:t>
            </w:r>
          </w:p>
        </w:tc>
      </w:tr>
      <w:tr>
        <w:tc>
          <w:tcPr>
            <w:tcW w:type="dxa" w:w="2056"/>
            <w:vAlign w:val="top"/>
          </w:tcPr>
          <w:p>
            <w:pPr>
              <w:spacing w:after="0"/>
            </w:pPr>
            <w:r>
              <w:rPr>
                <w:sz w:val="10"/>
              </w:rPr>
              <w:t>O05</w:t>
            </w:r>
          </w:p>
        </w:tc>
        <w:tc>
          <w:tcPr>
            <w:tcW w:type="dxa" w:w="2056"/>
            <w:vAlign w:val="top"/>
          </w:tcPr>
          <w:p>
            <w:pPr>
              <w:spacing w:after="0"/>
            </w:pPr>
            <w:r>
              <w:rPr>
                <w:sz w:val="10"/>
              </w:rPr>
              <w:t>Evidence traceability</w:t>
            </w:r>
          </w:p>
        </w:tc>
        <w:tc>
          <w:tcPr>
            <w:tcW w:type="dxa" w:w="2056"/>
            <w:vAlign w:val="top"/>
          </w:tcPr>
          <w:p>
            <w:pPr>
              <w:spacing w:after="0"/>
            </w:pPr>
            <w:r>
              <w:rPr>
                <w:sz w:val="10"/>
              </w:rPr>
              <w:t>A rendered target can be linked to exact text span(s) and source event/assertion ID(s).</w:t>
            </w:r>
          </w:p>
        </w:tc>
        <w:tc>
          <w:tcPr>
            <w:tcW w:type="dxa" w:w="2056"/>
            <w:vAlign w:val="top"/>
          </w:tcPr>
          <w:p>
            <w:pPr>
              <w:spacing w:after="0"/>
            </w:pPr>
            <w:r>
              <w:rPr>
                <w:sz w:val="10"/>
              </w:rPr>
              <w:t>Exact offset equality + source-link completeness.</w:t>
            </w:r>
          </w:p>
        </w:tc>
        <w:tc>
          <w:tcPr>
            <w:tcW w:type="dxa" w:w="2056"/>
            <w:vAlign w:val="top"/>
          </w:tcPr>
          <w:p>
            <w:pPr>
              <w:spacing w:after="0"/>
            </w:pPr>
            <w:r>
              <w:rPr>
                <w:sz w:val="10"/>
              </w:rPr>
              <w:t>Structural target = complete traceability for released gold.</w:t>
            </w:r>
          </w:p>
        </w:tc>
      </w:tr>
      <w:tr>
        <w:tc>
          <w:tcPr>
            <w:tcW w:type="dxa" w:w="2056"/>
            <w:vAlign w:val="top"/>
          </w:tcPr>
          <w:p>
            <w:pPr>
              <w:spacing w:after="0"/>
            </w:pPr>
            <w:r>
              <w:rPr>
                <w:sz w:val="10"/>
              </w:rPr>
              <w:t>O06</w:t>
            </w:r>
          </w:p>
        </w:tc>
        <w:tc>
          <w:tcPr>
            <w:tcW w:type="dxa" w:w="2056"/>
            <w:vAlign w:val="top"/>
          </w:tcPr>
          <w:p>
            <w:pPr>
              <w:spacing w:after="0"/>
            </w:pPr>
            <w:r>
              <w:rPr>
                <w:sz w:val="10"/>
              </w:rPr>
              <w:t>Information leakage</w:t>
            </w:r>
          </w:p>
        </w:tc>
        <w:tc>
          <w:tcPr>
            <w:tcW w:type="dxa" w:w="2056"/>
            <w:vAlign w:val="top"/>
          </w:tcPr>
          <w:p>
            <w:pPr>
              <w:spacing w:after="0"/>
            </w:pPr>
            <w:r>
              <w:rPr>
                <w:sz w:val="10"/>
              </w:rPr>
              <w:t>Text expresses a fact from the full synthetic patient record that was not supplied in the condition's permitted information scope.</w:t>
            </w:r>
          </w:p>
        </w:tc>
        <w:tc>
          <w:tcPr>
            <w:tcW w:type="dxa" w:w="2056"/>
            <w:vAlign w:val="top"/>
          </w:tcPr>
          <w:p>
            <w:pPr>
              <w:spacing w:after="0"/>
            </w:pPr>
            <w:r>
              <w:rPr>
                <w:sz w:val="10"/>
              </w:rPr>
              <w:t>Claim-level binary label.</w:t>
            </w:r>
          </w:p>
        </w:tc>
        <w:tc>
          <w:tcPr>
            <w:tcW w:type="dxa" w:w="2056"/>
            <w:vAlign w:val="top"/>
          </w:tcPr>
          <w:p>
            <w:pPr>
              <w:spacing w:after="0"/>
            </w:pPr>
            <w:r>
              <w:rPr>
                <w:sz w:val="10"/>
              </w:rPr>
              <w:t>No cutoff pre-specified.</w:t>
            </w:r>
          </w:p>
        </w:tc>
      </w:tr>
      <w:tr>
        <w:tc>
          <w:tcPr>
            <w:tcW w:type="dxa" w:w="2056"/>
            <w:vAlign w:val="top"/>
          </w:tcPr>
          <w:p>
            <w:pPr>
              <w:spacing w:after="0"/>
            </w:pPr>
            <w:r>
              <w:rPr>
                <w:sz w:val="10"/>
              </w:rPr>
              <w:t>O07</w:t>
            </w:r>
          </w:p>
        </w:tc>
        <w:tc>
          <w:tcPr>
            <w:tcW w:type="dxa" w:w="2056"/>
            <w:vAlign w:val="top"/>
          </w:tcPr>
          <w:p>
            <w:pPr>
              <w:spacing w:after="0"/>
            </w:pPr>
            <w:r>
              <w:rPr>
                <w:sz w:val="10"/>
              </w:rPr>
              <w:t>Document-family rule violation</w:t>
            </w:r>
          </w:p>
        </w:tc>
        <w:tc>
          <w:tcPr>
            <w:tcW w:type="dxa" w:w="2056"/>
            <w:vAlign w:val="top"/>
          </w:tcPr>
          <w:p>
            <w:pPr>
              <w:spacing w:after="0"/>
            </w:pPr>
            <w:r>
              <w:rPr>
                <w:sz w:val="10"/>
              </w:rPr>
              <w:t>Rendered content violates a Phase6B source-backed family boundary (e.g., unsupported canonical template/term inference).</w:t>
            </w:r>
          </w:p>
        </w:tc>
        <w:tc>
          <w:tcPr>
            <w:tcW w:type="dxa" w:w="2056"/>
            <w:vAlign w:val="top"/>
          </w:tcPr>
          <w:p>
            <w:pPr>
              <w:spacing w:after="0"/>
            </w:pPr>
            <w:r>
              <w:rPr>
                <w:sz w:val="10"/>
              </w:rPr>
              <w:t>Rule-based + human adjudication.</w:t>
            </w:r>
          </w:p>
        </w:tc>
        <w:tc>
          <w:tcPr>
            <w:tcW w:type="dxa" w:w="2056"/>
            <w:vAlign w:val="top"/>
          </w:tcPr>
          <w:p>
            <w:pPr>
              <w:spacing w:after="0"/>
            </w:pPr>
            <w:r>
              <w:rPr>
                <w:sz w:val="10"/>
              </w:rPr>
              <w:t>Any violation reported; release decision after review.</w:t>
            </w:r>
          </w:p>
        </w:tc>
      </w:tr>
      <w:tr>
        <w:tc>
          <w:tcPr>
            <w:tcW w:type="dxa" w:w="2056"/>
            <w:vAlign w:val="top"/>
          </w:tcPr>
          <w:p>
            <w:pPr>
              <w:spacing w:after="0"/>
            </w:pPr>
            <w:r>
              <w:rPr>
                <w:sz w:val="10"/>
              </w:rPr>
              <w:t>O08</w:t>
            </w:r>
          </w:p>
        </w:tc>
        <w:tc>
          <w:tcPr>
            <w:tcW w:type="dxa" w:w="2056"/>
            <w:vAlign w:val="top"/>
          </w:tcPr>
          <w:p>
            <w:pPr>
              <w:spacing w:after="0"/>
            </w:pPr>
            <w:r>
              <w:rPr>
                <w:sz w:val="10"/>
              </w:rPr>
              <w:t>Clinician coherence/realism</w:t>
            </w:r>
          </w:p>
        </w:tc>
        <w:tc>
          <w:tcPr>
            <w:tcW w:type="dxa" w:w="2056"/>
            <w:vAlign w:val="top"/>
          </w:tcPr>
          <w:p>
            <w:pPr>
              <w:spacing w:after="0"/>
            </w:pPr>
            <w:r>
              <w:rPr>
                <w:sz w:val="10"/>
              </w:rPr>
              <w:t>Expert judgment of whether the document is coherent/plausible for the claimed family.</w:t>
            </w:r>
          </w:p>
        </w:tc>
        <w:tc>
          <w:tcPr>
            <w:tcW w:type="dxa" w:w="2056"/>
            <w:vAlign w:val="top"/>
          </w:tcPr>
          <w:p>
            <w:pPr>
              <w:spacing w:after="0"/>
            </w:pPr>
            <w:r>
              <w:rPr>
                <w:sz w:val="10"/>
              </w:rPr>
              <w:t>NOT SCORED IN INITIAL AUTOMATIC RUN; instrument must be developed/frozen before use.</w:t>
            </w:r>
          </w:p>
        </w:tc>
        <w:tc>
          <w:tcPr>
            <w:tcW w:type="dxa" w:w="2056"/>
            <w:vAlign w:val="top"/>
          </w:tcPr>
          <w:p>
            <w:pPr>
              <w:spacing w:after="0"/>
            </w:pPr>
            <w:r>
              <w:rPr>
                <w:sz w:val="10"/>
              </w:rPr>
              <w:t>BLOCKED until rubric protocol.</w:t>
            </w:r>
          </w:p>
        </w:tc>
      </w:tr>
    </w:tbl>
    <w:p/>
    <w:p>
      <w:pPr>
        <w:pStyle w:val="Heading1"/>
      </w:pPr>
      <w:r>
        <w:t>7. Human claim adjudication</w:t>
      </w:r>
    </w:p>
    <w:p>
      <w:r>
        <w:t>The automatic validator cannot serve as its own reference standard. A manually adjudicated claim-level reference set is required. The epilepsy clinic-letter literature provides domain-specific precedent for double annotation, review, and consensus gold; the exact MedAI fields below are project-specific.</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Field</w:t>
            </w:r>
          </w:p>
        </w:tc>
        <w:tc>
          <w:tcPr>
            <w:tcW w:type="dxa" w:w="3427"/>
            <w:shd w:fill="D9EAF7"/>
          </w:tcPr>
          <w:p>
            <w:r>
              <w:rPr>
                <w:b/>
                <w:sz w:val="12"/>
              </w:rPr>
              <w:t>Requirement</w:t>
            </w:r>
          </w:p>
        </w:tc>
        <w:tc>
          <w:tcPr>
            <w:tcW w:type="dxa" w:w="3427"/>
            <w:shd w:fill="D9EAF7"/>
          </w:tcPr>
          <w:p>
            <w:r>
              <w:rPr>
                <w:b/>
                <w:sz w:val="12"/>
              </w:rPr>
              <w:t>Definition</w:t>
            </w:r>
          </w:p>
        </w:tc>
      </w:tr>
      <w:tr>
        <w:tc>
          <w:tcPr>
            <w:tcW w:type="dxa" w:w="3427"/>
            <w:vAlign w:val="top"/>
          </w:tcPr>
          <w:p>
            <w:pPr>
              <w:spacing w:after="0"/>
            </w:pPr>
            <w:r>
              <w:rPr>
                <w:sz w:val="11"/>
              </w:rPr>
              <w:t>render_id</w:t>
            </w:r>
          </w:p>
        </w:tc>
        <w:tc>
          <w:tcPr>
            <w:tcW w:type="dxa" w:w="3427"/>
            <w:vAlign w:val="top"/>
          </w:tcPr>
          <w:p>
            <w:pPr>
              <w:spacing w:after="0"/>
            </w:pPr>
            <w:r>
              <w:rPr>
                <w:sz w:val="11"/>
              </w:rPr>
              <w:t>required</w:t>
            </w:r>
          </w:p>
        </w:tc>
        <w:tc>
          <w:tcPr>
            <w:tcW w:type="dxa" w:w="3427"/>
            <w:vAlign w:val="top"/>
          </w:tcPr>
          <w:p>
            <w:pPr>
              <w:spacing w:after="0"/>
            </w:pPr>
            <w:r>
              <w:rPr>
                <w:sz w:val="11"/>
              </w:rPr>
              <w:t>Unique generated artifact ID</w:t>
            </w:r>
          </w:p>
        </w:tc>
      </w:tr>
      <w:tr>
        <w:tc>
          <w:tcPr>
            <w:tcW w:type="dxa" w:w="3427"/>
            <w:vAlign w:val="top"/>
          </w:tcPr>
          <w:p>
            <w:pPr>
              <w:spacing w:after="0"/>
            </w:pPr>
            <w:r>
              <w:rPr>
                <w:sz w:val="11"/>
              </w:rPr>
              <w:t>condition_id</w:t>
            </w:r>
          </w:p>
        </w:tc>
        <w:tc>
          <w:tcPr>
            <w:tcW w:type="dxa" w:w="3427"/>
            <w:vAlign w:val="top"/>
          </w:tcPr>
          <w:p>
            <w:pPr>
              <w:spacing w:after="0"/>
            </w:pPr>
            <w:r>
              <w:rPr>
                <w:sz w:val="11"/>
              </w:rPr>
              <w:t>required</w:t>
            </w:r>
          </w:p>
        </w:tc>
        <w:tc>
          <w:tcPr>
            <w:tcW w:type="dxa" w:w="3427"/>
            <w:vAlign w:val="top"/>
          </w:tcPr>
          <w:p>
            <w:pPr>
              <w:spacing w:after="0"/>
            </w:pPr>
            <w:r>
              <w:rPr>
                <w:sz w:val="11"/>
              </w:rPr>
              <w:t>C0-C3</w:t>
            </w:r>
          </w:p>
        </w:tc>
      </w:tr>
      <w:tr>
        <w:tc>
          <w:tcPr>
            <w:tcW w:type="dxa" w:w="3427"/>
            <w:vAlign w:val="top"/>
          </w:tcPr>
          <w:p>
            <w:pPr>
              <w:spacing w:after="0"/>
            </w:pPr>
            <w:r>
              <w:rPr>
                <w:sz w:val="11"/>
              </w:rPr>
              <w:t>patient_id</w:t>
            </w:r>
          </w:p>
        </w:tc>
        <w:tc>
          <w:tcPr>
            <w:tcW w:type="dxa" w:w="3427"/>
            <w:vAlign w:val="top"/>
          </w:tcPr>
          <w:p>
            <w:pPr>
              <w:spacing w:after="0"/>
            </w:pPr>
            <w:r>
              <w:rPr>
                <w:sz w:val="11"/>
              </w:rPr>
              <w:t>required</w:t>
            </w:r>
          </w:p>
        </w:tc>
        <w:tc>
          <w:tcPr>
            <w:tcW w:type="dxa" w:w="3427"/>
            <w:vAlign w:val="top"/>
          </w:tcPr>
          <w:p>
            <w:pPr>
              <w:spacing w:after="0"/>
            </w:pPr>
            <w:r>
              <w:rPr>
                <w:sz w:val="11"/>
              </w:rPr>
              <w:t>Synthetic patient identifier</w:t>
            </w:r>
          </w:p>
        </w:tc>
      </w:tr>
      <w:tr>
        <w:tc>
          <w:tcPr>
            <w:tcW w:type="dxa" w:w="3427"/>
            <w:vAlign w:val="top"/>
          </w:tcPr>
          <w:p>
            <w:pPr>
              <w:spacing w:after="0"/>
            </w:pPr>
            <w:r>
              <w:rPr>
                <w:sz w:val="11"/>
              </w:rPr>
              <w:t>document_family</w:t>
            </w:r>
          </w:p>
        </w:tc>
        <w:tc>
          <w:tcPr>
            <w:tcW w:type="dxa" w:w="3427"/>
            <w:vAlign w:val="top"/>
          </w:tcPr>
          <w:p>
            <w:pPr>
              <w:spacing w:after="0"/>
            </w:pPr>
            <w:r>
              <w:rPr>
                <w:sz w:val="11"/>
              </w:rPr>
              <w:t>required</w:t>
            </w:r>
          </w:p>
        </w:tc>
        <w:tc>
          <w:tcPr>
            <w:tcW w:type="dxa" w:w="3427"/>
            <w:vAlign w:val="top"/>
          </w:tcPr>
          <w:p>
            <w:pPr>
              <w:spacing w:after="0"/>
            </w:pPr>
            <w:r>
              <w:rPr>
                <w:sz w:val="11"/>
              </w:rPr>
              <w:t>Phase6B-authorized family</w:t>
            </w:r>
          </w:p>
        </w:tc>
      </w:tr>
      <w:tr>
        <w:tc>
          <w:tcPr>
            <w:tcW w:type="dxa" w:w="3427"/>
            <w:vAlign w:val="top"/>
          </w:tcPr>
          <w:p>
            <w:pPr>
              <w:spacing w:after="0"/>
            </w:pPr>
            <w:r>
              <w:rPr>
                <w:sz w:val="11"/>
              </w:rPr>
              <w:t>claim_id</w:t>
            </w:r>
          </w:p>
        </w:tc>
        <w:tc>
          <w:tcPr>
            <w:tcW w:type="dxa" w:w="3427"/>
            <w:vAlign w:val="top"/>
          </w:tcPr>
          <w:p>
            <w:pPr>
              <w:spacing w:after="0"/>
            </w:pPr>
            <w:r>
              <w:rPr>
                <w:sz w:val="11"/>
              </w:rPr>
              <w:t>required</w:t>
            </w:r>
          </w:p>
        </w:tc>
        <w:tc>
          <w:tcPr>
            <w:tcW w:type="dxa" w:w="3427"/>
            <w:vAlign w:val="top"/>
          </w:tcPr>
          <w:p>
            <w:pPr>
              <w:spacing w:after="0"/>
            </w:pPr>
            <w:r>
              <w:rPr>
                <w:sz w:val="11"/>
              </w:rPr>
              <w:t>Adjudicated textual clinical claim</w:t>
            </w:r>
          </w:p>
        </w:tc>
      </w:tr>
      <w:tr>
        <w:tc>
          <w:tcPr>
            <w:tcW w:type="dxa" w:w="3427"/>
            <w:vAlign w:val="top"/>
          </w:tcPr>
          <w:p>
            <w:pPr>
              <w:spacing w:after="0"/>
            </w:pPr>
            <w:r>
              <w:rPr>
                <w:sz w:val="11"/>
              </w:rPr>
              <w:t>claim_text</w:t>
            </w:r>
          </w:p>
        </w:tc>
        <w:tc>
          <w:tcPr>
            <w:tcW w:type="dxa" w:w="3427"/>
            <w:vAlign w:val="top"/>
          </w:tcPr>
          <w:p>
            <w:pPr>
              <w:spacing w:after="0"/>
            </w:pPr>
            <w:r>
              <w:rPr>
                <w:sz w:val="11"/>
              </w:rPr>
              <w:t>required</w:t>
            </w:r>
          </w:p>
        </w:tc>
        <w:tc>
          <w:tcPr>
            <w:tcW w:type="dxa" w:w="3427"/>
            <w:vAlign w:val="top"/>
          </w:tcPr>
          <w:p>
            <w:pPr>
              <w:spacing w:after="0"/>
            </w:pPr>
            <w:r>
              <w:rPr>
                <w:sz w:val="11"/>
              </w:rPr>
              <w:t>Exact claim text/span</w:t>
            </w:r>
          </w:p>
        </w:tc>
      </w:tr>
      <w:tr>
        <w:tc>
          <w:tcPr>
            <w:tcW w:type="dxa" w:w="3427"/>
            <w:vAlign w:val="top"/>
          </w:tcPr>
          <w:p>
            <w:pPr>
              <w:spacing w:after="0"/>
            </w:pPr>
            <w:r>
              <w:rPr>
                <w:sz w:val="11"/>
              </w:rPr>
              <w:t>start_offset</w:t>
            </w:r>
          </w:p>
        </w:tc>
        <w:tc>
          <w:tcPr>
            <w:tcW w:type="dxa" w:w="3427"/>
            <w:vAlign w:val="top"/>
          </w:tcPr>
          <w:p>
            <w:pPr>
              <w:spacing w:after="0"/>
            </w:pPr>
            <w:r>
              <w:rPr>
                <w:sz w:val="11"/>
              </w:rPr>
              <w:t>required</w:t>
            </w:r>
          </w:p>
        </w:tc>
        <w:tc>
          <w:tcPr>
            <w:tcW w:type="dxa" w:w="3427"/>
            <w:vAlign w:val="top"/>
          </w:tcPr>
          <w:p>
            <w:pPr>
              <w:spacing w:after="0"/>
            </w:pPr>
            <w:r>
              <w:rPr>
                <w:sz w:val="11"/>
              </w:rPr>
              <w:t>0-based inclusive character start</w:t>
            </w:r>
          </w:p>
        </w:tc>
      </w:tr>
      <w:tr>
        <w:tc>
          <w:tcPr>
            <w:tcW w:type="dxa" w:w="3427"/>
            <w:vAlign w:val="top"/>
          </w:tcPr>
          <w:p>
            <w:pPr>
              <w:spacing w:after="0"/>
            </w:pPr>
            <w:r>
              <w:rPr>
                <w:sz w:val="11"/>
              </w:rPr>
              <w:t>end_offset</w:t>
            </w:r>
          </w:p>
        </w:tc>
        <w:tc>
          <w:tcPr>
            <w:tcW w:type="dxa" w:w="3427"/>
            <w:vAlign w:val="top"/>
          </w:tcPr>
          <w:p>
            <w:pPr>
              <w:spacing w:after="0"/>
            </w:pPr>
            <w:r>
              <w:rPr>
                <w:sz w:val="11"/>
              </w:rPr>
              <w:t>required</w:t>
            </w:r>
          </w:p>
        </w:tc>
        <w:tc>
          <w:tcPr>
            <w:tcW w:type="dxa" w:w="3427"/>
            <w:vAlign w:val="top"/>
          </w:tcPr>
          <w:p>
            <w:pPr>
              <w:spacing w:after="0"/>
            </w:pPr>
            <w:r>
              <w:rPr>
                <w:sz w:val="11"/>
              </w:rPr>
              <w:t>0-based exclusive character end</w:t>
            </w:r>
          </w:p>
        </w:tc>
      </w:tr>
      <w:tr>
        <w:tc>
          <w:tcPr>
            <w:tcW w:type="dxa" w:w="3427"/>
            <w:vAlign w:val="top"/>
          </w:tcPr>
          <w:p>
            <w:pPr>
              <w:spacing w:after="0"/>
            </w:pPr>
            <w:r>
              <w:rPr>
                <w:sz w:val="11"/>
              </w:rPr>
              <w:t>source_assertion_ids</w:t>
            </w:r>
          </w:p>
        </w:tc>
        <w:tc>
          <w:tcPr>
            <w:tcW w:type="dxa" w:w="3427"/>
            <w:vAlign w:val="top"/>
          </w:tcPr>
          <w:p>
            <w:pPr>
              <w:spacing w:after="0"/>
            </w:pPr>
            <w:r>
              <w:rPr>
                <w:sz w:val="11"/>
              </w:rPr>
              <w:t>required if supported</w:t>
            </w:r>
          </w:p>
        </w:tc>
        <w:tc>
          <w:tcPr>
            <w:tcW w:type="dxa" w:w="3427"/>
            <w:vAlign w:val="top"/>
          </w:tcPr>
          <w:p>
            <w:pPr>
              <w:spacing w:after="0"/>
            </w:pPr>
            <w:r>
              <w:rPr>
                <w:sz w:val="11"/>
              </w:rPr>
              <w:t>Authorizing assertion(s), if any</w:t>
            </w:r>
          </w:p>
        </w:tc>
      </w:tr>
      <w:tr>
        <w:tc>
          <w:tcPr>
            <w:tcW w:type="dxa" w:w="3427"/>
            <w:vAlign w:val="top"/>
          </w:tcPr>
          <w:p>
            <w:pPr>
              <w:spacing w:after="0"/>
            </w:pPr>
            <w:r>
              <w:rPr>
                <w:sz w:val="11"/>
              </w:rPr>
              <w:t>source_event_ids</w:t>
            </w:r>
          </w:p>
        </w:tc>
        <w:tc>
          <w:tcPr>
            <w:tcW w:type="dxa" w:w="3427"/>
            <w:vAlign w:val="top"/>
          </w:tcPr>
          <w:p>
            <w:pPr>
              <w:spacing w:after="0"/>
            </w:pPr>
            <w:r>
              <w:rPr>
                <w:sz w:val="11"/>
              </w:rPr>
              <w:t>required if supported</w:t>
            </w:r>
          </w:p>
        </w:tc>
        <w:tc>
          <w:tcPr>
            <w:tcW w:type="dxa" w:w="3427"/>
            <w:vAlign w:val="top"/>
          </w:tcPr>
          <w:p>
            <w:pPr>
              <w:spacing w:after="0"/>
            </w:pPr>
            <w:r>
              <w:rPr>
                <w:sz w:val="11"/>
              </w:rPr>
              <w:t>Authorizing event(s), if any</w:t>
            </w:r>
          </w:p>
        </w:tc>
      </w:tr>
      <w:tr>
        <w:tc>
          <w:tcPr>
            <w:tcW w:type="dxa" w:w="3427"/>
            <w:vAlign w:val="top"/>
          </w:tcPr>
          <w:p>
            <w:pPr>
              <w:spacing w:after="0"/>
            </w:pPr>
            <w:r>
              <w:rPr>
                <w:sz w:val="11"/>
              </w:rPr>
              <w:t>support_status</w:t>
            </w:r>
          </w:p>
        </w:tc>
        <w:tc>
          <w:tcPr>
            <w:tcW w:type="dxa" w:w="3427"/>
            <w:vAlign w:val="top"/>
          </w:tcPr>
          <w:p>
            <w:pPr>
              <w:spacing w:after="0"/>
            </w:pPr>
            <w:r>
              <w:rPr>
                <w:sz w:val="11"/>
              </w:rPr>
              <w:t>required</w:t>
            </w:r>
          </w:p>
        </w:tc>
        <w:tc>
          <w:tcPr>
            <w:tcW w:type="dxa" w:w="3427"/>
            <w:vAlign w:val="top"/>
          </w:tcPr>
          <w:p>
            <w:pPr>
              <w:spacing w:after="0"/>
            </w:pPr>
            <w:r>
              <w:rPr>
                <w:sz w:val="11"/>
              </w:rPr>
              <w:t>SUPPORTED / UNSUPPORTED / AMBIGUOUS</w:t>
            </w:r>
          </w:p>
        </w:tc>
      </w:tr>
      <w:tr>
        <w:tc>
          <w:tcPr>
            <w:tcW w:type="dxa" w:w="3427"/>
            <w:vAlign w:val="top"/>
          </w:tcPr>
          <w:p>
            <w:pPr>
              <w:spacing w:after="0"/>
            </w:pPr>
            <w:r>
              <w:rPr>
                <w:sz w:val="11"/>
              </w:rPr>
              <w:t>target_status</w:t>
            </w:r>
          </w:p>
        </w:tc>
        <w:tc>
          <w:tcPr>
            <w:tcW w:type="dxa" w:w="3427"/>
            <w:vAlign w:val="top"/>
          </w:tcPr>
          <w:p>
            <w:pPr>
              <w:spacing w:after="0"/>
            </w:pPr>
            <w:r>
              <w:rPr>
                <w:sz w:val="11"/>
              </w:rPr>
              <w:t>required</w:t>
            </w:r>
          </w:p>
        </w:tc>
        <w:tc>
          <w:tcPr>
            <w:tcW w:type="dxa" w:w="3427"/>
            <w:vAlign w:val="top"/>
          </w:tcPr>
          <w:p>
            <w:pPr>
              <w:spacing w:after="0"/>
            </w:pPr>
            <w:r>
              <w:rPr>
                <w:sz w:val="11"/>
              </w:rPr>
              <w:t>TARGET / NON_TARGET</w:t>
            </w:r>
          </w:p>
        </w:tc>
      </w:tr>
      <w:tr>
        <w:tc>
          <w:tcPr>
            <w:tcW w:type="dxa" w:w="3427"/>
            <w:vAlign w:val="top"/>
          </w:tcPr>
          <w:p>
            <w:pPr>
              <w:spacing w:after="0"/>
            </w:pPr>
            <w:r>
              <w:rPr>
                <w:sz w:val="11"/>
              </w:rPr>
              <w:t>attribute_error</w:t>
            </w:r>
          </w:p>
        </w:tc>
        <w:tc>
          <w:tcPr>
            <w:tcW w:type="dxa" w:w="3427"/>
            <w:vAlign w:val="top"/>
          </w:tcPr>
          <w:p>
            <w:pPr>
              <w:spacing w:after="0"/>
            </w:pPr>
            <w:r>
              <w:rPr>
                <w:sz w:val="11"/>
              </w:rPr>
              <w:t>required</w:t>
            </w:r>
          </w:p>
        </w:tc>
        <w:tc>
          <w:tcPr>
            <w:tcW w:type="dxa" w:w="3427"/>
            <w:vAlign w:val="top"/>
          </w:tcPr>
          <w:p>
            <w:pPr>
              <w:spacing w:after="0"/>
            </w:pPr>
            <w:r>
              <w:rPr>
                <w:sz w:val="11"/>
              </w:rPr>
              <w:t>NONE or frozen error category</w:t>
            </w:r>
          </w:p>
        </w:tc>
      </w:tr>
      <w:tr>
        <w:tc>
          <w:tcPr>
            <w:tcW w:type="dxa" w:w="3427"/>
            <w:vAlign w:val="top"/>
          </w:tcPr>
          <w:p>
            <w:pPr>
              <w:spacing w:after="0"/>
            </w:pPr>
            <w:r>
              <w:rPr>
                <w:sz w:val="11"/>
              </w:rPr>
              <w:t>contradiction_status</w:t>
            </w:r>
          </w:p>
        </w:tc>
        <w:tc>
          <w:tcPr>
            <w:tcW w:type="dxa" w:w="3427"/>
            <w:vAlign w:val="top"/>
          </w:tcPr>
          <w:p>
            <w:pPr>
              <w:spacing w:after="0"/>
            </w:pPr>
            <w:r>
              <w:rPr>
                <w:sz w:val="11"/>
              </w:rPr>
              <w:t>required</w:t>
            </w:r>
          </w:p>
        </w:tc>
        <w:tc>
          <w:tcPr>
            <w:tcW w:type="dxa" w:w="3427"/>
            <w:vAlign w:val="top"/>
          </w:tcPr>
          <w:p>
            <w:pPr>
              <w:spacing w:after="0"/>
            </w:pPr>
            <w:r>
              <w:rPr>
                <w:sz w:val="11"/>
              </w:rPr>
              <w:t>NONE / CONTRADICTION / AUTHORIZED_CONTROLLED_CONFLICT</w:t>
            </w:r>
          </w:p>
        </w:tc>
      </w:tr>
      <w:tr>
        <w:tc>
          <w:tcPr>
            <w:tcW w:type="dxa" w:w="3427"/>
            <w:vAlign w:val="top"/>
          </w:tcPr>
          <w:p>
            <w:pPr>
              <w:spacing w:after="0"/>
            </w:pPr>
            <w:r>
              <w:rPr>
                <w:sz w:val="11"/>
              </w:rPr>
              <w:t>information_leakage</w:t>
            </w:r>
          </w:p>
        </w:tc>
        <w:tc>
          <w:tcPr>
            <w:tcW w:type="dxa" w:w="3427"/>
            <w:vAlign w:val="top"/>
          </w:tcPr>
          <w:p>
            <w:pPr>
              <w:spacing w:after="0"/>
            </w:pPr>
            <w:r>
              <w:rPr>
                <w:sz w:val="11"/>
              </w:rPr>
              <w:t>required</w:t>
            </w:r>
          </w:p>
        </w:tc>
        <w:tc>
          <w:tcPr>
            <w:tcW w:type="dxa" w:w="3427"/>
            <w:vAlign w:val="top"/>
          </w:tcPr>
          <w:p>
            <w:pPr>
              <w:spacing w:after="0"/>
            </w:pPr>
            <w:r>
              <w:rPr>
                <w:sz w:val="11"/>
              </w:rPr>
              <w:t>YES / NO / UNDETERMINED</w:t>
            </w:r>
          </w:p>
        </w:tc>
      </w:tr>
      <w:tr>
        <w:tc>
          <w:tcPr>
            <w:tcW w:type="dxa" w:w="3427"/>
            <w:vAlign w:val="top"/>
          </w:tcPr>
          <w:p>
            <w:pPr>
              <w:spacing w:after="0"/>
            </w:pPr>
            <w:r>
              <w:rPr>
                <w:sz w:val="11"/>
              </w:rPr>
              <w:t>document_rule_violation</w:t>
            </w:r>
          </w:p>
        </w:tc>
        <w:tc>
          <w:tcPr>
            <w:tcW w:type="dxa" w:w="3427"/>
            <w:vAlign w:val="top"/>
          </w:tcPr>
          <w:p>
            <w:pPr>
              <w:spacing w:after="0"/>
            </w:pPr>
            <w:r>
              <w:rPr>
                <w:sz w:val="11"/>
              </w:rPr>
              <w:t>required</w:t>
            </w:r>
          </w:p>
        </w:tc>
        <w:tc>
          <w:tcPr>
            <w:tcW w:type="dxa" w:w="3427"/>
            <w:vAlign w:val="top"/>
          </w:tcPr>
          <w:p>
            <w:pPr>
              <w:spacing w:after="0"/>
            </w:pPr>
            <w:r>
              <w:rPr>
                <w:sz w:val="11"/>
              </w:rPr>
              <w:t>NONE or Phase6B rule ID</w:t>
            </w:r>
          </w:p>
        </w:tc>
      </w:tr>
      <w:tr>
        <w:tc>
          <w:tcPr>
            <w:tcW w:type="dxa" w:w="3427"/>
            <w:vAlign w:val="top"/>
          </w:tcPr>
          <w:p>
            <w:pPr>
              <w:spacing w:after="0"/>
            </w:pPr>
            <w:r>
              <w:rPr>
                <w:sz w:val="11"/>
              </w:rPr>
              <w:t>adjudicator_id</w:t>
            </w:r>
          </w:p>
        </w:tc>
        <w:tc>
          <w:tcPr>
            <w:tcW w:type="dxa" w:w="3427"/>
            <w:vAlign w:val="top"/>
          </w:tcPr>
          <w:p>
            <w:pPr>
              <w:spacing w:after="0"/>
            </w:pPr>
            <w:r>
              <w:rPr>
                <w:sz w:val="11"/>
              </w:rPr>
              <w:t>required</w:t>
            </w:r>
          </w:p>
        </w:tc>
        <w:tc>
          <w:tcPr>
            <w:tcW w:type="dxa" w:w="3427"/>
            <w:vAlign w:val="top"/>
          </w:tcPr>
          <w:p>
            <w:pPr>
              <w:spacing w:after="0"/>
            </w:pPr>
            <w:r>
              <w:rPr>
                <w:sz w:val="11"/>
              </w:rPr>
              <w:t>Pseudonymous reviewer ID</w:t>
            </w:r>
          </w:p>
        </w:tc>
      </w:tr>
      <w:tr>
        <w:tc>
          <w:tcPr>
            <w:tcW w:type="dxa" w:w="3427"/>
            <w:vAlign w:val="top"/>
          </w:tcPr>
          <w:p>
            <w:pPr>
              <w:spacing w:after="0"/>
            </w:pPr>
            <w:r>
              <w:rPr>
                <w:sz w:val="11"/>
              </w:rPr>
              <w:t>adjudication_status</w:t>
            </w:r>
          </w:p>
        </w:tc>
        <w:tc>
          <w:tcPr>
            <w:tcW w:type="dxa" w:w="3427"/>
            <w:vAlign w:val="top"/>
          </w:tcPr>
          <w:p>
            <w:pPr>
              <w:spacing w:after="0"/>
            </w:pPr>
            <w:r>
              <w:rPr>
                <w:sz w:val="11"/>
              </w:rPr>
              <w:t>required</w:t>
            </w:r>
          </w:p>
        </w:tc>
        <w:tc>
          <w:tcPr>
            <w:tcW w:type="dxa" w:w="3427"/>
            <w:vAlign w:val="top"/>
          </w:tcPr>
          <w:p>
            <w:pPr>
              <w:spacing w:after="0"/>
            </w:pPr>
            <w:r>
              <w:rPr>
                <w:sz w:val="11"/>
              </w:rPr>
              <w:t>FIRST_REVIEW / SECOND_REVIEW / CONSENSUS</w:t>
            </w:r>
          </w:p>
        </w:tc>
      </w:tr>
      <w:tr>
        <w:tc>
          <w:tcPr>
            <w:tcW w:type="dxa" w:w="3427"/>
            <w:vAlign w:val="top"/>
          </w:tcPr>
          <w:p>
            <w:pPr>
              <w:spacing w:after="0"/>
            </w:pPr>
            <w:r>
              <w:rPr>
                <w:sz w:val="11"/>
              </w:rPr>
              <w:t>notes</w:t>
            </w:r>
          </w:p>
        </w:tc>
        <w:tc>
          <w:tcPr>
            <w:tcW w:type="dxa" w:w="3427"/>
            <w:vAlign w:val="top"/>
          </w:tcPr>
          <w:p>
            <w:pPr>
              <w:spacing w:after="0"/>
            </w:pPr>
            <w:r>
              <w:rPr>
                <w:sz w:val="11"/>
              </w:rPr>
              <w:t>optional</w:t>
            </w:r>
          </w:p>
        </w:tc>
        <w:tc>
          <w:tcPr>
            <w:tcW w:type="dxa" w:w="3427"/>
            <w:vAlign w:val="top"/>
          </w:tcPr>
          <w:p>
            <w:pPr>
              <w:spacing w:after="0"/>
            </w:pPr>
            <w:r>
              <w:rPr>
                <w:sz w:val="11"/>
              </w:rPr>
              <w:t>Reasoning limited to adjudication evidence</w:t>
            </w:r>
          </w:p>
        </w:tc>
      </w:tr>
    </w:tbl>
    <w:p/>
    <w:p>
      <w:pPr>
        <w:pStyle w:val="Heading1"/>
      </w:pPr>
      <w:r>
        <w:t>8. Analysis plan</w:t>
      </w:r>
    </w:p>
    <w:p>
      <w:r>
        <w:t>For each condition, report raw numerators, denominators and proportions for unsupported assertions, target-expression failures, semantic corruptions, contradictions, information leakage and document-rule violations. Evidence traceability is reported separately as a structural property.</w:t>
      </w:r>
    </w:p>
    <w:p>
      <w:r>
        <w:t>This feasibility protocol does not choose a statistical test or confidence-interval method without a separate analysis plan matched to the observed paired data structure. It also does not create a post-hoc success threshold.</w:t>
      </w:r>
    </w:p>
    <w:p>
      <w:pPr>
        <w:pStyle w:val="Heading1"/>
      </w:pPr>
      <w:r>
        <w:t>9. Validator evaluation</w:t>
      </w:r>
    </w:p>
    <w:p>
      <w:r>
        <w:t>Compare the validator with the human-adjudicated claim set. If supported/unsupported is binary, sensitivity, specificity, precision, recall and F1 are appropriate descriptive classification measures. A probabilistic threshold must be prospectively specified or tuned only on a designated development subset.</w:t>
      </w:r>
    </w:p>
    <w:p>
      <w:pPr>
        <w:pStyle w:val="Heading1"/>
      </w:pPr>
      <w:r>
        <w:t>10. Synthetic-data claim boundaries</w:t>
      </w:r>
    </w:p>
    <w:p>
      <w:r>
        <w:t>Published review evidence shows no consensus standardized evaluation approach for medical synthetic data and warns that privacy is often not empirically evaluated. Therefore privacy, fidelity and downstream utility remain separate empirical questions.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Claim</w:t>
            </w:r>
          </w:p>
        </w:tc>
        <w:tc>
          <w:tcPr>
            <w:tcW w:type="dxa" w:w="3427"/>
            <w:shd w:fill="D9EAF7"/>
          </w:tcPr>
          <w:p>
            <w:r>
              <w:rPr>
                <w:b/>
                <w:sz w:val="12"/>
              </w:rPr>
              <w:t>Status</w:t>
            </w:r>
          </w:p>
        </w:tc>
        <w:tc>
          <w:tcPr>
            <w:tcW w:type="dxa" w:w="3427"/>
            <w:shd w:fill="D9EAF7"/>
          </w:tcPr>
          <w:p>
            <w:r>
              <w:rPr>
                <w:b/>
                <w:sz w:val="12"/>
              </w:rPr>
              <w:t>Evidence required / basis</w:t>
            </w:r>
          </w:p>
        </w:tc>
      </w:tr>
      <w:tr>
        <w:tc>
          <w:tcPr>
            <w:tcW w:type="dxa" w:w="3427"/>
            <w:vAlign w:val="top"/>
          </w:tcPr>
          <w:p>
            <w:pPr>
              <w:spacing w:after="0"/>
            </w:pPr>
            <w:r>
              <w:rPr>
                <w:sz w:val="11"/>
              </w:rPr>
              <w:t>Generated text is synthetic</w:t>
            </w:r>
          </w:p>
        </w:tc>
        <w:tc>
          <w:tcPr>
            <w:tcW w:type="dxa" w:w="3427"/>
            <w:vAlign w:val="top"/>
          </w:tcPr>
          <w:p>
            <w:pPr>
              <w:spacing w:after="0"/>
            </w:pPr>
            <w:r>
              <w:rPr>
                <w:sz w:val="11"/>
              </w:rPr>
              <w:t>ALLOWED if generation provenance confirms it</w:t>
            </w:r>
          </w:p>
        </w:tc>
        <w:tc>
          <w:tcPr>
            <w:tcW w:type="dxa" w:w="3427"/>
            <w:vAlign w:val="top"/>
          </w:tcPr>
          <w:p>
            <w:pPr>
              <w:spacing w:after="0"/>
            </w:pPr>
            <w:r>
              <w:rPr>
                <w:sz w:val="11"/>
              </w:rPr>
              <w:t>Construction/provenance</w:t>
            </w:r>
          </w:p>
        </w:tc>
      </w:tr>
      <w:tr>
        <w:tc>
          <w:tcPr>
            <w:tcW w:type="dxa" w:w="3427"/>
            <w:vAlign w:val="top"/>
          </w:tcPr>
          <w:p>
            <w:pPr>
              <w:spacing w:after="0"/>
            </w:pPr>
            <w:r>
              <w:rPr>
                <w:sz w:val="11"/>
              </w:rPr>
              <w:t>Semantic planner improves truth preservation</w:t>
            </w:r>
          </w:p>
        </w:tc>
        <w:tc>
          <w:tcPr>
            <w:tcW w:type="dxa" w:w="3427"/>
            <w:vAlign w:val="top"/>
          </w:tcPr>
          <w:p>
            <w:pPr>
              <w:spacing w:after="0"/>
            </w:pPr>
            <w:r>
              <w:rPr>
                <w:sz w:val="11"/>
              </w:rPr>
              <w:t>NOT YET ALLOWED</w:t>
            </w:r>
          </w:p>
        </w:tc>
        <w:tc>
          <w:tcPr>
            <w:tcW w:type="dxa" w:w="3427"/>
            <w:vAlign w:val="top"/>
          </w:tcPr>
          <w:p>
            <w:pPr>
              <w:spacing w:after="0"/>
            </w:pPr>
            <w:r>
              <w:rPr>
                <w:sz w:val="11"/>
              </w:rPr>
              <w:t>Requires comparative Phase6D results</w:t>
            </w:r>
          </w:p>
        </w:tc>
      </w:tr>
      <w:tr>
        <w:tc>
          <w:tcPr>
            <w:tcW w:type="dxa" w:w="3427"/>
            <w:vAlign w:val="top"/>
          </w:tcPr>
          <w:p>
            <w:pPr>
              <w:spacing w:after="0"/>
            </w:pPr>
            <w:r>
              <w:rPr>
                <w:sz w:val="11"/>
              </w:rPr>
              <w:t>Automatic validator is accurate</w:t>
            </w:r>
          </w:p>
        </w:tc>
        <w:tc>
          <w:tcPr>
            <w:tcW w:type="dxa" w:w="3427"/>
            <w:vAlign w:val="top"/>
          </w:tcPr>
          <w:p>
            <w:pPr>
              <w:spacing w:after="0"/>
            </w:pPr>
            <w:r>
              <w:rPr>
                <w:sz w:val="11"/>
              </w:rPr>
              <w:t>NOT YET ALLOWED</w:t>
            </w:r>
          </w:p>
        </w:tc>
        <w:tc>
          <w:tcPr>
            <w:tcW w:type="dxa" w:w="3427"/>
            <w:vAlign w:val="top"/>
          </w:tcPr>
          <w:p>
            <w:pPr>
              <w:spacing w:after="0"/>
            </w:pPr>
            <w:r>
              <w:rPr>
                <w:sz w:val="11"/>
              </w:rPr>
              <w:t>Requires human-adjudicated reference evaluation</w:t>
            </w:r>
          </w:p>
        </w:tc>
      </w:tr>
      <w:tr>
        <w:tc>
          <w:tcPr>
            <w:tcW w:type="dxa" w:w="3427"/>
            <w:vAlign w:val="top"/>
          </w:tcPr>
          <w:p>
            <w:pPr>
              <w:spacing w:after="0"/>
            </w:pPr>
            <w:r>
              <w:rPr>
                <w:sz w:val="11"/>
              </w:rPr>
              <w:t>Generated notes are clinically realistic</w:t>
            </w:r>
          </w:p>
        </w:tc>
        <w:tc>
          <w:tcPr>
            <w:tcW w:type="dxa" w:w="3427"/>
            <w:vAlign w:val="top"/>
          </w:tcPr>
          <w:p>
            <w:pPr>
              <w:spacing w:after="0"/>
            </w:pPr>
            <w:r>
              <w:rPr>
                <w:sz w:val="11"/>
              </w:rPr>
              <w:t>BLOCKED</w:t>
            </w:r>
          </w:p>
        </w:tc>
        <w:tc>
          <w:tcPr>
            <w:tcW w:type="dxa" w:w="3427"/>
            <w:vAlign w:val="top"/>
          </w:tcPr>
          <w:p>
            <w:pPr>
              <w:spacing w:after="0"/>
            </w:pPr>
            <w:r>
              <w:rPr>
                <w:sz w:val="11"/>
              </w:rPr>
              <w:t>Requires prospective clinician rubric/review</w:t>
            </w:r>
          </w:p>
        </w:tc>
      </w:tr>
      <w:tr>
        <w:tc>
          <w:tcPr>
            <w:tcW w:type="dxa" w:w="3427"/>
            <w:vAlign w:val="top"/>
          </w:tcPr>
          <w:p>
            <w:pPr>
              <w:spacing w:after="0"/>
            </w:pPr>
            <w:r>
              <w:rPr>
                <w:sz w:val="11"/>
              </w:rPr>
              <w:t>Synthetic corpus is useful on real clinical notes</w:t>
            </w:r>
          </w:p>
        </w:tc>
        <w:tc>
          <w:tcPr>
            <w:tcW w:type="dxa" w:w="3427"/>
            <w:vAlign w:val="top"/>
          </w:tcPr>
          <w:p>
            <w:pPr>
              <w:spacing w:after="0"/>
            </w:pPr>
            <w:r>
              <w:rPr>
                <w:sz w:val="11"/>
              </w:rPr>
              <w:t>BLOCKED</w:t>
            </w:r>
          </w:p>
        </w:tc>
        <w:tc>
          <w:tcPr>
            <w:tcW w:type="dxa" w:w="3427"/>
            <w:vAlign w:val="top"/>
          </w:tcPr>
          <w:p>
            <w:pPr>
              <w:spacing w:after="0"/>
            </w:pPr>
            <w:r>
              <w:rPr>
                <w:sz w:val="11"/>
              </w:rPr>
              <w:t>Requires held-out real-data transfer evaluation</w:t>
            </w:r>
          </w:p>
        </w:tc>
      </w:tr>
      <w:tr>
        <w:tc>
          <w:tcPr>
            <w:tcW w:type="dxa" w:w="3427"/>
            <w:vAlign w:val="top"/>
          </w:tcPr>
          <w:p>
            <w:pPr>
              <w:spacing w:after="0"/>
            </w:pPr>
            <w:r>
              <w:rPr>
                <w:sz w:val="11"/>
              </w:rPr>
              <w:t>Synthetic corpus is privacy-safe</w:t>
            </w:r>
          </w:p>
        </w:tc>
        <w:tc>
          <w:tcPr>
            <w:tcW w:type="dxa" w:w="3427"/>
            <w:vAlign w:val="top"/>
          </w:tcPr>
          <w:p>
            <w:pPr>
              <w:spacing w:after="0"/>
            </w:pPr>
            <w:r>
              <w:rPr>
                <w:sz w:val="11"/>
              </w:rPr>
              <w:t>BLOCKED</w:t>
            </w:r>
          </w:p>
        </w:tc>
        <w:tc>
          <w:tcPr>
            <w:tcW w:type="dxa" w:w="3427"/>
            <w:vAlign w:val="top"/>
          </w:tcPr>
          <w:p>
            <w:pPr>
              <w:spacing w:after="0"/>
            </w:pPr>
            <w:r>
              <w:rPr>
                <w:sz w:val="11"/>
              </w:rPr>
              <w:t>Requires threat-model-specific privacy evaluation</w:t>
            </w:r>
          </w:p>
        </w:tc>
      </w:tr>
      <w:tr>
        <w:tc>
          <w:tcPr>
            <w:tcW w:type="dxa" w:w="3427"/>
            <w:vAlign w:val="top"/>
          </w:tcPr>
          <w:p>
            <w:pPr>
              <w:spacing w:after="0"/>
            </w:pPr>
            <w:r>
              <w:rPr>
                <w:sz w:val="11"/>
              </w:rPr>
              <w:t>Synthetic corpus represents real epilepsy prevalence/document frequencies</w:t>
            </w:r>
          </w:p>
        </w:tc>
        <w:tc>
          <w:tcPr>
            <w:tcW w:type="dxa" w:w="3427"/>
            <w:vAlign w:val="top"/>
          </w:tcPr>
          <w:p>
            <w:pPr>
              <w:spacing w:after="0"/>
            </w:pPr>
            <w:r>
              <w:rPr>
                <w:sz w:val="11"/>
              </w:rPr>
              <w:t>PROHIBITED</w:t>
            </w:r>
          </w:p>
        </w:tc>
        <w:tc>
          <w:tcPr>
            <w:tcW w:type="dxa" w:w="3427"/>
            <w:vAlign w:val="top"/>
          </w:tcPr>
          <w:p>
            <w:pPr>
              <w:spacing w:after="0"/>
            </w:pPr>
            <w:r>
              <w:rPr>
                <w:sz w:val="11"/>
              </w:rPr>
              <w:t>No epidemiologic sampling basis</w:t>
            </w:r>
          </w:p>
        </w:tc>
      </w:tr>
      <w:tr>
        <w:tc>
          <w:tcPr>
            <w:tcW w:type="dxa" w:w="3427"/>
            <w:vAlign w:val="top"/>
          </w:tcPr>
          <w:p>
            <w:pPr>
              <w:spacing w:after="0"/>
            </w:pPr>
            <w:r>
              <w:rPr>
                <w:sz w:val="11"/>
              </w:rPr>
              <w:t>MedAI is W3C PROV compliant</w:t>
            </w:r>
          </w:p>
        </w:tc>
        <w:tc>
          <w:tcPr>
            <w:tcW w:type="dxa" w:w="3427"/>
            <w:vAlign w:val="top"/>
          </w:tcPr>
          <w:p>
            <w:pPr>
              <w:spacing w:after="0"/>
            </w:pPr>
            <w:r>
              <w:rPr>
                <w:sz w:val="11"/>
              </w:rPr>
              <w:t>NOT CLAIMED</w:t>
            </w:r>
          </w:p>
        </w:tc>
        <w:tc>
          <w:tcPr>
            <w:tcW w:type="dxa" w:w="3427"/>
            <w:vAlign w:val="top"/>
          </w:tcPr>
          <w:p>
            <w:pPr>
              <w:spacing w:after="0"/>
            </w:pPr>
            <w:r>
              <w:rPr>
                <w:sz w:val="11"/>
              </w:rPr>
              <w:t>Only provenance principles are adapted unless formal conformance is implemented</w:t>
            </w:r>
          </w:p>
        </w:tc>
      </w:tr>
      <w:tr>
        <w:tc>
          <w:tcPr>
            <w:tcW w:type="dxa" w:w="3427"/>
            <w:vAlign w:val="top"/>
          </w:tcPr>
          <w:p>
            <w:pPr>
              <w:spacing w:after="0"/>
            </w:pPr>
            <w:r>
              <w:rPr>
                <w:sz w:val="11"/>
              </w:rPr>
              <w:t>MedAI complies with TRIPOD+AI/CONSORT-AI</w:t>
            </w:r>
          </w:p>
        </w:tc>
        <w:tc>
          <w:tcPr>
            <w:tcW w:type="dxa" w:w="3427"/>
            <w:vAlign w:val="top"/>
          </w:tcPr>
          <w:p>
            <w:pPr>
              <w:spacing w:after="0"/>
            </w:pPr>
            <w:r>
              <w:rPr>
                <w:sz w:val="11"/>
              </w:rPr>
              <w:t>NOT CLAIMED</w:t>
            </w:r>
          </w:p>
        </w:tc>
        <w:tc>
          <w:tcPr>
            <w:tcW w:type="dxa" w:w="3427"/>
            <w:vAlign w:val="top"/>
          </w:tcPr>
          <w:p>
            <w:pPr>
              <w:spacing w:after="0"/>
            </w:pPr>
            <w:r>
              <w:rPr>
                <w:sz w:val="11"/>
              </w:rPr>
              <w:t>Those have specific reporting scopes; not used as blanket certification</w:t>
            </w:r>
          </w:p>
        </w:tc>
      </w:tr>
    </w:tbl>
    <w:p/>
    <w:p>
      <w:pPr>
        <w:pStyle w:val="Heading1"/>
      </w:pPr>
      <w:r>
        <w:t>11. Pre-run QA gates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Gate</w:t>
            </w:r>
          </w:p>
        </w:tc>
        <w:tc>
          <w:tcPr>
            <w:tcW w:type="dxa" w:w="3427"/>
            <w:shd w:fill="D9EAF7"/>
          </w:tcPr>
          <w:p>
            <w:r>
              <w:rPr>
                <w:b/>
                <w:sz w:val="12"/>
              </w:rPr>
              <w:t>Check</w:t>
            </w:r>
          </w:p>
        </w:tc>
        <w:tc>
          <w:tcPr>
            <w:tcW w:type="dxa" w:w="3427"/>
            <w:shd w:fill="D9EAF7"/>
          </w:tcPr>
          <w:p>
            <w:r>
              <w:rPr>
                <w:b/>
                <w:sz w:val="12"/>
              </w:rPr>
              <w:t>Failure action</w:t>
            </w:r>
          </w:p>
        </w:tc>
      </w:tr>
      <w:tr>
        <w:tc>
          <w:tcPr>
            <w:tcW w:type="dxa" w:w="3427"/>
            <w:vAlign w:val="top"/>
          </w:tcPr>
          <w:p>
            <w:pPr>
              <w:spacing w:after="0"/>
            </w:pPr>
            <w:r>
              <w:rPr>
                <w:sz w:val="11"/>
              </w:rPr>
              <w:t>PR-01</w:t>
            </w:r>
          </w:p>
        </w:tc>
        <w:tc>
          <w:tcPr>
            <w:tcW w:type="dxa" w:w="3427"/>
            <w:vAlign w:val="top"/>
          </w:tcPr>
          <w:p>
            <w:pPr>
              <w:spacing w:after="0"/>
            </w:pPr>
            <w:r>
              <w:rPr>
                <w:sz w:val="11"/>
              </w:rPr>
              <w:t>All document families in experiment are Phase6B-authorized.</w:t>
            </w:r>
          </w:p>
        </w:tc>
        <w:tc>
          <w:tcPr>
            <w:tcW w:type="dxa" w:w="3427"/>
            <w:vAlign w:val="top"/>
          </w:tcPr>
          <w:p>
            <w:pPr>
              <w:spacing w:after="0"/>
            </w:pPr>
            <w:r>
              <w:rPr>
                <w:sz w:val="11"/>
              </w:rPr>
              <w:t>HARD FAIL</w:t>
            </w:r>
          </w:p>
        </w:tc>
      </w:tr>
      <w:tr>
        <w:tc>
          <w:tcPr>
            <w:tcW w:type="dxa" w:w="3427"/>
            <w:vAlign w:val="top"/>
          </w:tcPr>
          <w:p>
            <w:pPr>
              <w:spacing w:after="0"/>
            </w:pPr>
            <w:r>
              <w:rPr>
                <w:sz w:val="11"/>
              </w:rPr>
              <w:t>PR-02</w:t>
            </w:r>
          </w:p>
        </w:tc>
        <w:tc>
          <w:tcPr>
            <w:tcW w:type="dxa" w:w="3427"/>
            <w:vAlign w:val="top"/>
          </w:tcPr>
          <w:p>
            <w:pPr>
              <w:spacing w:after="0"/>
            </w:pPr>
            <w:r>
              <w:rPr>
                <w:sz w:val="11"/>
              </w:rPr>
              <w:t>All clinical values/concepts are from frozen upstream profiles.</w:t>
            </w:r>
          </w:p>
        </w:tc>
        <w:tc>
          <w:tcPr>
            <w:tcW w:type="dxa" w:w="3427"/>
            <w:vAlign w:val="top"/>
          </w:tcPr>
          <w:p>
            <w:pPr>
              <w:spacing w:after="0"/>
            </w:pPr>
            <w:r>
              <w:rPr>
                <w:sz w:val="11"/>
              </w:rPr>
              <w:t>HARD FAIL</w:t>
            </w:r>
          </w:p>
        </w:tc>
      </w:tr>
      <w:tr>
        <w:tc>
          <w:tcPr>
            <w:tcW w:type="dxa" w:w="3427"/>
            <w:vAlign w:val="top"/>
          </w:tcPr>
          <w:p>
            <w:pPr>
              <w:spacing w:after="0"/>
            </w:pPr>
            <w:r>
              <w:rPr>
                <w:sz w:val="11"/>
              </w:rPr>
              <w:t>PR-03</w:t>
            </w:r>
          </w:p>
        </w:tc>
        <w:tc>
          <w:tcPr>
            <w:tcW w:type="dxa" w:w="3427"/>
            <w:vAlign w:val="top"/>
          </w:tcPr>
          <w:p>
            <w:pPr>
              <w:spacing w:after="0"/>
            </w:pPr>
            <w:r>
              <w:rPr>
                <w:sz w:val="11"/>
              </w:rPr>
              <w:t>No unresolved RxNorm/EpSO/NINDS/RadLex/SCORE IDs are introduced.</w:t>
            </w:r>
          </w:p>
        </w:tc>
        <w:tc>
          <w:tcPr>
            <w:tcW w:type="dxa" w:w="3427"/>
            <w:vAlign w:val="top"/>
          </w:tcPr>
          <w:p>
            <w:pPr>
              <w:spacing w:after="0"/>
            </w:pPr>
            <w:r>
              <w:rPr>
                <w:sz w:val="11"/>
              </w:rPr>
              <w:t>HARD FAIL</w:t>
            </w:r>
          </w:p>
        </w:tc>
      </w:tr>
      <w:tr>
        <w:tc>
          <w:tcPr>
            <w:tcW w:type="dxa" w:w="3427"/>
            <w:vAlign w:val="top"/>
          </w:tcPr>
          <w:p>
            <w:pPr>
              <w:spacing w:after="0"/>
            </w:pPr>
            <w:r>
              <w:rPr>
                <w:sz w:val="11"/>
              </w:rPr>
              <w:t>PR-04</w:t>
            </w:r>
          </w:p>
        </w:tc>
        <w:tc>
          <w:tcPr>
            <w:tcW w:type="dxa" w:w="3427"/>
            <w:vAlign w:val="top"/>
          </w:tcPr>
          <w:p>
            <w:pPr>
              <w:spacing w:after="0"/>
            </w:pPr>
            <w:r>
              <w:rPr>
                <w:sz w:val="11"/>
              </w:rPr>
              <w:t>Every synthetic case has explicit latent assertions/events before rendering.</w:t>
            </w:r>
          </w:p>
        </w:tc>
        <w:tc>
          <w:tcPr>
            <w:tcW w:type="dxa" w:w="3427"/>
            <w:vAlign w:val="top"/>
          </w:tcPr>
          <w:p>
            <w:pPr>
              <w:spacing w:after="0"/>
            </w:pPr>
            <w:r>
              <w:rPr>
                <w:sz w:val="11"/>
              </w:rPr>
              <w:t>HARD FAIL</w:t>
            </w:r>
          </w:p>
        </w:tc>
      </w:tr>
      <w:tr>
        <w:tc>
          <w:tcPr>
            <w:tcW w:type="dxa" w:w="3427"/>
            <w:vAlign w:val="top"/>
          </w:tcPr>
          <w:p>
            <w:pPr>
              <w:spacing w:after="0"/>
            </w:pPr>
            <w:r>
              <w:rPr>
                <w:sz w:val="11"/>
              </w:rPr>
              <w:t>PR-05</w:t>
            </w:r>
          </w:p>
        </w:tc>
        <w:tc>
          <w:tcPr>
            <w:tcW w:type="dxa" w:w="3427"/>
            <w:vAlign w:val="top"/>
          </w:tcPr>
          <w:p>
            <w:pPr>
              <w:spacing w:after="0"/>
            </w:pPr>
            <w:r>
              <w:rPr>
                <w:sz w:val="11"/>
              </w:rPr>
              <w:t>Every condition receives only its prospectively defined information.</w:t>
            </w:r>
          </w:p>
        </w:tc>
        <w:tc>
          <w:tcPr>
            <w:tcW w:type="dxa" w:w="3427"/>
            <w:vAlign w:val="top"/>
          </w:tcPr>
          <w:p>
            <w:pPr>
              <w:spacing w:after="0"/>
            </w:pPr>
            <w:r>
              <w:rPr>
                <w:sz w:val="11"/>
              </w:rPr>
              <w:t>HARD FAIL</w:t>
            </w:r>
          </w:p>
        </w:tc>
      </w:tr>
      <w:tr>
        <w:tc>
          <w:tcPr>
            <w:tcW w:type="dxa" w:w="3427"/>
            <w:vAlign w:val="top"/>
          </w:tcPr>
          <w:p>
            <w:pPr>
              <w:spacing w:after="0"/>
            </w:pPr>
            <w:r>
              <w:rPr>
                <w:sz w:val="11"/>
              </w:rPr>
              <w:t>PR-06</w:t>
            </w:r>
          </w:p>
        </w:tc>
        <w:tc>
          <w:tcPr>
            <w:tcW w:type="dxa" w:w="3427"/>
            <w:vAlign w:val="top"/>
          </w:tcPr>
          <w:p>
            <w:pPr>
              <w:spacing w:after="0"/>
            </w:pPr>
            <w:r>
              <w:rPr>
                <w:sz w:val="11"/>
              </w:rPr>
              <w:t>Exact renderer/model/version/parameters/prompt-template are frozen before generation.</w:t>
            </w:r>
          </w:p>
        </w:tc>
        <w:tc>
          <w:tcPr>
            <w:tcW w:type="dxa" w:w="3427"/>
            <w:vAlign w:val="top"/>
          </w:tcPr>
          <w:p>
            <w:pPr>
              <w:spacing w:after="0"/>
            </w:pPr>
            <w:r>
              <w:rPr>
                <w:sz w:val="11"/>
              </w:rPr>
              <w:t>HARD FAIL</w:t>
            </w:r>
          </w:p>
        </w:tc>
      </w:tr>
      <w:tr>
        <w:tc>
          <w:tcPr>
            <w:tcW w:type="dxa" w:w="3427"/>
            <w:vAlign w:val="top"/>
          </w:tcPr>
          <w:p>
            <w:pPr>
              <w:spacing w:after="0"/>
            </w:pPr>
            <w:r>
              <w:rPr>
                <w:sz w:val="11"/>
              </w:rPr>
              <w:t>PR-07</w:t>
            </w:r>
          </w:p>
        </w:tc>
        <w:tc>
          <w:tcPr>
            <w:tcW w:type="dxa" w:w="3427"/>
            <w:vAlign w:val="top"/>
          </w:tcPr>
          <w:p>
            <w:pPr>
              <w:spacing w:after="0"/>
            </w:pPr>
            <w:r>
              <w:rPr>
                <w:sz w:val="11"/>
              </w:rPr>
              <w:t>No clinician-realism score is computed before a rubric is prospectively defined.</w:t>
            </w:r>
          </w:p>
        </w:tc>
        <w:tc>
          <w:tcPr>
            <w:tcW w:type="dxa" w:w="3427"/>
            <w:vAlign w:val="top"/>
          </w:tcPr>
          <w:p>
            <w:pPr>
              <w:spacing w:after="0"/>
            </w:pPr>
            <w:r>
              <w:rPr>
                <w:sz w:val="11"/>
              </w:rPr>
              <w:t>HARD FAIL</w:t>
            </w:r>
          </w:p>
        </w:tc>
      </w:tr>
      <w:tr>
        <w:tc>
          <w:tcPr>
            <w:tcW w:type="dxa" w:w="3427"/>
            <w:vAlign w:val="top"/>
          </w:tcPr>
          <w:p>
            <w:pPr>
              <w:spacing w:after="0"/>
            </w:pPr>
            <w:r>
              <w:rPr>
                <w:sz w:val="11"/>
              </w:rPr>
              <w:t>PR-08</w:t>
            </w:r>
          </w:p>
        </w:tc>
        <w:tc>
          <w:tcPr>
            <w:tcW w:type="dxa" w:w="3427"/>
            <w:vAlign w:val="top"/>
          </w:tcPr>
          <w:p>
            <w:pPr>
              <w:spacing w:after="0"/>
            </w:pPr>
            <w:r>
              <w:rPr>
                <w:sz w:val="11"/>
              </w:rPr>
              <w:t>No privacy, fidelity, utility, prevalence or representativeness claim is made from this pilot alone.</w:t>
            </w:r>
          </w:p>
        </w:tc>
        <w:tc>
          <w:tcPr>
            <w:tcW w:type="dxa" w:w="3427"/>
            <w:vAlign w:val="top"/>
          </w:tcPr>
          <w:p>
            <w:pPr>
              <w:spacing w:after="0"/>
            </w:pPr>
            <w:r>
              <w:rPr>
                <w:sz w:val="11"/>
              </w:rPr>
              <w:t>HARD FAIL</w:t>
            </w:r>
          </w:p>
        </w:tc>
      </w:tr>
      <w:tr>
        <w:tc>
          <w:tcPr>
            <w:tcW w:type="dxa" w:w="3427"/>
            <w:vAlign w:val="top"/>
          </w:tcPr>
          <w:p>
            <w:pPr>
              <w:spacing w:after="0"/>
            </w:pPr>
            <w:r>
              <w:rPr>
                <w:sz w:val="11"/>
              </w:rPr>
              <w:t>PR-09</w:t>
            </w:r>
          </w:p>
        </w:tc>
        <w:tc>
          <w:tcPr>
            <w:tcW w:type="dxa" w:w="3427"/>
            <w:vAlign w:val="top"/>
          </w:tcPr>
          <w:p>
            <w:pPr>
              <w:spacing w:after="0"/>
            </w:pPr>
            <w:r>
              <w:rPr>
                <w:sz w:val="11"/>
              </w:rPr>
              <w:t>Adjudication schema and error definitions are frozen before inspecting comparative results.</w:t>
            </w:r>
          </w:p>
        </w:tc>
        <w:tc>
          <w:tcPr>
            <w:tcW w:type="dxa" w:w="3427"/>
            <w:vAlign w:val="top"/>
          </w:tcPr>
          <w:p>
            <w:pPr>
              <w:spacing w:after="0"/>
            </w:pPr>
            <w:r>
              <w:rPr>
                <w:sz w:val="11"/>
              </w:rPr>
              <w:t>HARD FAIL</w:t>
            </w:r>
          </w:p>
        </w:tc>
      </w:tr>
      <w:tr>
        <w:tc>
          <w:tcPr>
            <w:tcW w:type="dxa" w:w="3427"/>
            <w:vAlign w:val="top"/>
          </w:tcPr>
          <w:p>
            <w:pPr>
              <w:spacing w:after="0"/>
            </w:pPr>
            <w:r>
              <w:rPr>
                <w:sz w:val="11"/>
              </w:rPr>
              <w:t>PR-10</w:t>
            </w:r>
          </w:p>
        </w:tc>
        <w:tc>
          <w:tcPr>
            <w:tcW w:type="dxa" w:w="3427"/>
            <w:vAlign w:val="top"/>
          </w:tcPr>
          <w:p>
            <w:pPr>
              <w:spacing w:after="0"/>
            </w:pPr>
            <w:r>
              <w:rPr>
                <w:sz w:val="11"/>
              </w:rPr>
              <w:t>Any later numerical decision threshold is separated from this feasibility protocol and justified prospectively.</w:t>
            </w:r>
          </w:p>
        </w:tc>
        <w:tc>
          <w:tcPr>
            <w:tcW w:type="dxa" w:w="3427"/>
            <w:vAlign w:val="top"/>
          </w:tcPr>
          <w:p>
            <w:pPr>
              <w:spacing w:after="0"/>
            </w:pPr>
            <w:r>
              <w:rPr>
                <w:sz w:val="11"/>
              </w:rPr>
              <w:t>HARD FAIL</w:t>
            </w:r>
          </w:p>
        </w:tc>
      </w:tr>
      <w:tr>
        <w:tc>
          <w:tcPr>
            <w:tcW w:type="dxa" w:w="3427"/>
            <w:vAlign w:val="top"/>
          </w:tcPr>
          <w:p>
            <w:pPr>
              <w:spacing w:after="0"/>
            </w:pPr>
            <w:r>
              <w:rPr>
                <w:sz w:val="11"/>
              </w:rPr>
              <w:t>PR-11</w:t>
            </w:r>
          </w:p>
        </w:tc>
        <w:tc>
          <w:tcPr>
            <w:tcW w:type="dxa" w:w="3427"/>
            <w:vAlign w:val="top"/>
          </w:tcPr>
          <w:p>
            <w:pPr>
              <w:spacing w:after="0"/>
            </w:pPr>
            <w:r>
              <w:rPr>
                <w:sz w:val="11"/>
              </w:rPr>
              <w:t>Patient/case variants across conditions remain linked; no train/test benchmark split is created yet.</w:t>
            </w:r>
          </w:p>
        </w:tc>
        <w:tc>
          <w:tcPr>
            <w:tcW w:type="dxa" w:w="3427"/>
            <w:vAlign w:val="top"/>
          </w:tcPr>
          <w:p>
            <w:pPr>
              <w:spacing w:after="0"/>
            </w:pPr>
            <w:r>
              <w:rPr>
                <w:sz w:val="11"/>
              </w:rPr>
              <w:t>HARD FAIL</w:t>
            </w:r>
          </w:p>
        </w:tc>
      </w:tr>
      <w:tr>
        <w:tc>
          <w:tcPr>
            <w:tcW w:type="dxa" w:w="3427"/>
            <w:vAlign w:val="top"/>
          </w:tcPr>
          <w:p>
            <w:pPr>
              <w:spacing w:after="0"/>
            </w:pPr>
            <w:r>
              <w:rPr>
                <w:sz w:val="11"/>
              </w:rPr>
              <w:t>PR-12</w:t>
            </w:r>
          </w:p>
        </w:tc>
        <w:tc>
          <w:tcPr>
            <w:tcW w:type="dxa" w:w="3427"/>
            <w:vAlign w:val="top"/>
          </w:tcPr>
          <w:p>
            <w:pPr>
              <w:spacing w:after="0"/>
            </w:pPr>
            <w:r>
              <w:rPr>
                <w:sz w:val="11"/>
              </w:rPr>
              <w:t>Results are labeled feasibility/pilot results, not clinical validation.</w:t>
            </w:r>
          </w:p>
        </w:tc>
        <w:tc>
          <w:tcPr>
            <w:tcW w:type="dxa" w:w="3427"/>
            <w:vAlign w:val="top"/>
          </w:tcPr>
          <w:p>
            <w:pPr>
              <w:spacing w:after="0"/>
            </w:pPr>
            <w:r>
              <w:rPr>
                <w:sz w:val="11"/>
              </w:rPr>
              <w:t>HARD FAIL</w:t>
            </w:r>
          </w:p>
        </w:tc>
      </w:tr>
    </w:tbl>
    <w:p/>
    <w:p>
      <w:pPr>
        <w:pStyle w:val="Heading1"/>
      </w:pPr>
      <w:r>
        <w:t>12. Reproducibility requirements</w:t>
      </w:r>
    </w:p>
    <w:p>
      <w:pPr>
        <w:pStyle w:val="ListBullet"/>
      </w:pPr>
      <w:r>
        <w:t>Freeze each synthetic case and upstream source/version references.</w:t>
      </w:r>
    </w:p>
    <w:p>
      <w:pPr>
        <w:pStyle w:val="ListBullet"/>
      </w:pPr>
      <w:r>
        <w:t>Pin renderer/model/checkpoint, decoding parameters and runtime.</w:t>
      </w:r>
    </w:p>
    <w:p>
      <w:pPr>
        <w:pStyle w:val="ListBullet"/>
      </w:pPr>
      <w:r>
        <w:t>Freeze prompts/templates and semantic-plan schema before generation.</w:t>
      </w:r>
    </w:p>
    <w:p>
      <w:pPr>
        <w:pStyle w:val="ListBullet"/>
      </w:pPr>
      <w:r>
        <w:t>Store all condition inputs and raw outputs, including failed renders.</w:t>
      </w:r>
    </w:p>
    <w:p>
      <w:pPr>
        <w:pStyle w:val="ListBullet"/>
      </w:pPr>
      <w:r>
        <w:t>Store source-event/source-assertion links and exact evidence offsets.</w:t>
      </w:r>
    </w:p>
    <w:p>
      <w:pPr>
        <w:pStyle w:val="ListBullet"/>
      </w:pPr>
      <w:r>
        <w:t>Record validator software/version.</w:t>
      </w:r>
    </w:p>
    <w:p>
      <w:pPr>
        <w:pStyle w:val="ListBullet"/>
      </w:pPr>
      <w:r>
        <w:t>Preserve adjudication and consensus records.</w:t>
      </w:r>
    </w:p>
    <w:p>
      <w:pPr>
        <w:pStyle w:val="ListBullet"/>
      </w:pPr>
      <w:r>
        <w:t>Do not silently regenerate until a preferred output appears.</w:t>
      </w:r>
    </w:p>
    <w:p>
      <w:pPr>
        <w:pStyle w:val="Heading1"/>
      </w:pPr>
      <w:r>
        <w:t>13. Release decision</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PASS — PROTOCOL ONLY</w:t>
              <w:br/>
            </w:r>
            <w:r>
              <w:t>The experiment can now be executed without adding unsupported clinical semantics or pretending MedAI's experimental methods are already validated. Actual comparative results remain absent by design.</w:t>
            </w:r>
          </w:p>
        </w:tc>
      </w:tr>
    </w:tbl>
    <w:p/>
    <w:p>
      <w:pPr>
        <w:pStyle w:val="Heading1"/>
      </w:pPr>
      <w:r>
        <w:t>14. Deliverables</w:t>
      </w:r>
    </w:p>
    <w:p>
      <w:pPr>
        <w:pStyle w:val="ListBullet"/>
      </w:pPr>
      <w:r>
        <w:t>MedAI_Phase6D_Experimental_Conditions_v1.0.csv</w:t>
      </w:r>
    </w:p>
    <w:p>
      <w:pPr>
        <w:pStyle w:val="ListBullet"/>
      </w:pPr>
      <w:r>
        <w:t>MedAI_Phase6D_Outcome_Definitions_v1.0.csv</w:t>
      </w:r>
    </w:p>
    <w:p>
      <w:pPr>
        <w:pStyle w:val="ListBullet"/>
      </w:pPr>
      <w:r>
        <w:t>MedAI_Phase6D_Claim_Adjudication_Schema_v1.0.csv</w:t>
      </w:r>
    </w:p>
    <w:p>
      <w:pPr>
        <w:pStyle w:val="ListBullet"/>
      </w:pPr>
      <w:r>
        <w:t>MedAI_Phase6D_Pilot_Case_Selection_Rules_v1.0.csv</w:t>
      </w:r>
    </w:p>
    <w:p>
      <w:pPr>
        <w:pStyle w:val="ListBullet"/>
      </w:pPr>
      <w:r>
        <w:t>MedAI_Phase6D_PreRun_QA_Gates_v1.0.csv</w:t>
      </w:r>
    </w:p>
    <w:p>
      <w:pPr>
        <w:pStyle w:val="ListBullet"/>
      </w:pPr>
      <w:r>
        <w:t>MedAI_Phase6D_Claim_Boundaries_v1.0.csv</w:t>
      </w:r>
    </w:p>
    <w:p>
      <w:pPr>
        <w:pStyle w:val="ListBullet"/>
      </w:pPr>
      <w:r>
        <w:t>MedAI_Phase6D_Source_Registry_v1.0.csv</w:t>
      </w:r>
    </w:p>
    <w:p>
      <w:pPr>
        <w:pStyle w:val="ListBullet"/>
      </w:pPr>
      <w:r>
        <w:t>MedAI_Phase6D_Experiment_Protocol_v1.0.json</w:t>
      </w:r>
    </w:p>
    <w:p>
      <w:pPr>
        <w:pStyle w:val="Heading1"/>
      </w:pPr>
      <w:r>
        <w:t>15. References</w:t>
      </w:r>
    </w:p>
    <w:p>
      <w:r>
        <w:t>1. W3C. PROV-DM and PROV Constraints. W3C Recommendations, 2013.</w:t>
      </w:r>
    </w:p>
    <w:p>
      <w:r>
        <w:t>2. Fonferko-Shadrach B, et al. Annotation of epilepsy clinic letters for natural language processing. J Biomed Semantics. 2024;15:17. DOI 10.1186/s13326-024-00316-z.</w:t>
      </w:r>
    </w:p>
    <w:p>
      <w:r>
        <w:t>3. Beniczky S, et al. SCORE — Second version. Clin Neurophysiol. 2017;128:2334–2346. DOI 10.1016/j.clinph.2017.07.418.</w:t>
      </w:r>
    </w:p>
    <w:p>
      <w:r>
        <w:t>4. American College of Radiology. Practice Parameter for Communication of Diagnostic Imaging Findings.</w:t>
      </w:r>
    </w:p>
    <w:p>
      <w:r>
        <w:t>5. Kaabachi B, et al. A scoping review of privacy and utility metrics in medical synthetic data. npj Digital Medicine. 2025;8:60. DOI 10.1038/s41746-024-01359-3.</w:t>
      </w:r>
    </w:p>
    <w:p>
      <w:r>
        <w:t>6. Gebru T, et al. Datasheets for Datasets. Communications of the ACM. 2021;64(12):86–92.</w:t>
      </w:r>
    </w:p>
    <w:p>
      <w:r>
        <w:t>7. Bender EM, Friedman B. Data Statements for NLP. TACL. 2018;6:587–604.</w:t>
      </w:r>
    </w:p>
    <w:p>
      <w:r>
        <w:t>8. Mitchell M, et al. Model Cards for Model Reporting. FAT* 2019.</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