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AI-Ready Acquisition &amp; Export Standards</w:t>
      </w:r>
    </w:p>
    <w:p>
      <w:pPr>
        <w:jc w:val="center"/>
      </w:pPr>
      <w:r>
        <w:rPr>
          <w:i/>
        </w:rPr>
        <w:t>Data Birth Integrity (DBI)–Aligned Guidance for Multi-Vendor, Multi-Center Imaging</w:t>
      </w:r>
    </w:p>
    <w:p/>
    <w:p>
      <w:r>
        <w:rPr>
          <w:b/>
        </w:rPr>
        <w:t xml:space="preserve">Document type: </w:t>
      </w:r>
      <w:r>
        <w:t>Operational specification for acquisition, export, and automation handoff.</w:t>
        <w:br/>
      </w:r>
      <w:r>
        <w:rPr>
          <w:b/>
        </w:rPr>
        <w:t xml:space="preserve">Audience: </w:t>
      </w:r>
      <w:r>
        <w:t>MRI technologists, physicists, PACS/research IT, data engineers, and imaging scientists.</w:t>
        <w:br/>
      </w:r>
      <w:r>
        <w:rPr>
          <w:b/>
        </w:rPr>
        <w:t xml:space="preserve">Note: </w:t>
      </w:r>
      <w:r>
        <w:t>This document complements DICOM, institutional IRB/policy, and study protocols; it does not replace them.</w:t>
      </w:r>
    </w:p>
    <w:p>
      <w:r>
        <w:br w:type="page"/>
      </w:r>
    </w:p>
    <w:p>
      <w:pPr>
        <w:pStyle w:val="Heading1"/>
      </w:pPr>
      <w:r>
        <w:t>Table of contents (sections)</w:t>
      </w:r>
    </w:p>
    <w:p>
      <w:pPr>
        <w:pStyle w:val="ListBullet"/>
      </w:pPr>
      <w:r>
        <w:t>1. Purpose, scope, and definitions</w:t>
      </w:r>
    </w:p>
    <w:p>
      <w:pPr>
        <w:pStyle w:val="ListBullet"/>
      </w:pPr>
      <w:r>
        <w:t>2. Cross-cutting standards (all modalities)</w:t>
      </w:r>
    </w:p>
    <w:p>
      <w:pPr>
        <w:pStyle w:val="ListBullet"/>
      </w:pPr>
      <w:r>
        <w:t>3. Structural / anatomical MRI</w:t>
      </w:r>
    </w:p>
    <w:p>
      <w:pPr>
        <w:pStyle w:val="ListBullet"/>
      </w:pPr>
      <w:r>
        <w:t>4. Diffusion MRI (DWI / DTI / advanced DWI)</w:t>
      </w:r>
    </w:p>
    <w:p>
      <w:pPr>
        <w:pStyle w:val="ListBullet"/>
      </w:pPr>
      <w:r>
        <w:t>5. Functional MRI (BOLD)</w:t>
      </w:r>
    </w:p>
    <w:p>
      <w:pPr>
        <w:pStyle w:val="ListBullet"/>
      </w:pPr>
      <w:r>
        <w:t>6. Field mapping (B0 distortion correction)</w:t>
      </w:r>
    </w:p>
    <w:p>
      <w:pPr>
        <w:pStyle w:val="ListBullet"/>
      </w:pPr>
      <w:r>
        <w:t>7. Susceptibility-weighted imaging (SWI / QSM-related)</w:t>
      </w:r>
    </w:p>
    <w:p>
      <w:pPr>
        <w:pStyle w:val="ListBullet"/>
      </w:pPr>
      <w:r>
        <w:t>8. Arterial spin labeling (ASL) perfusion</w:t>
      </w:r>
    </w:p>
    <w:p>
      <w:pPr>
        <w:pStyle w:val="ListBullet"/>
      </w:pPr>
      <w:r>
        <w:t>9. Dynamic susceptibility contrast (DSC) perfusion</w:t>
      </w:r>
    </w:p>
    <w:p>
      <w:pPr>
        <w:pStyle w:val="ListBullet"/>
      </w:pPr>
      <w:r>
        <w:t>10. Contrast-enhanced structural MRI</w:t>
      </w:r>
    </w:p>
    <w:p>
      <w:pPr>
        <w:pStyle w:val="ListBullet"/>
      </w:pPr>
      <w:r>
        <w:t>11. Quantitative parametric maps (T1, T2, PD, MT)</w:t>
      </w:r>
    </w:p>
    <w:p>
      <w:pPr>
        <w:pStyle w:val="ListBullet"/>
      </w:pPr>
      <w:r>
        <w:t>12. MR angiography (TOF / contrast-enhanced MRA) — research handoff</w:t>
      </w:r>
    </w:p>
    <w:p>
      <w:pPr>
        <w:pStyle w:val="ListBullet"/>
      </w:pPr>
      <w:r>
        <w:t>13. MR spectroscopy (SVS / CSI) — research handoff</w:t>
      </w:r>
    </w:p>
    <w:p>
      <w:pPr>
        <w:pStyle w:val="ListBullet"/>
      </w:pPr>
      <w:r>
        <w:t>14. Cross-center governance, DBI scoring hooks, and references</w:t>
      </w:r>
    </w:p>
    <w:p>
      <w:r>
        <w:br w:type="page"/>
      </w:r>
    </w:p>
    <w:p>
      <w:pPr>
        <w:pStyle w:val="Heading1"/>
      </w:pPr>
      <w:r>
        <w:t>1. Purpose, scope, and definitions</w:t>
      </w:r>
    </w:p>
    <w:p>
      <w:r>
        <w:t>Clinical and research MRI data are increasingly consumed by automated pipelines, quality systems, and machine learning models. Vendor defaults, site habits, and de-identification practices often remove or fragment the structural information those systems require. This document defines acquisition- and export-level standards that are motivated by automation, reproducible cleaning, and AI readiness, while remaining implementable across Siemens, GE, Philips, Canon, United Imaging, and other vendors.</w:t>
      </w:r>
    </w:p>
    <w:p>
      <w:pPr>
        <w:pStyle w:val="Heading2"/>
      </w:pPr>
      <w:r>
        <w:t>1.1 Definitions</w:t>
      </w:r>
    </w:p>
    <w:p>
      <w:pPr>
        <w:pStyle w:val="ListBullet"/>
      </w:pPr>
      <w:r>
        <w:t>Acquisition contract: versioned rules that must be satisfied when a series is acquired (pulse sequence choice, naming tokens, minimum metadata presence on scanner console export).</w:t>
      </w:r>
    </w:p>
    <w:p>
      <w:pPr>
        <w:pStyle w:val="ListBullet"/>
      </w:pPr>
      <w:r>
        <w:t>Export contract: rules satisfied before research data leave PACS, XNAT, or gateway systems (no forbidden stripping of tags, agreed transfer syntax profile, sidecar policy).</w:t>
      </w:r>
    </w:p>
    <w:p>
      <w:pPr>
        <w:pStyle w:val="ListBullet"/>
      </w:pPr>
      <w:r>
        <w:t>Semantic role: the intended use of a series in downstream software (e.g., T1w, dwi, fmap, flair).</w:t>
      </w:r>
    </w:p>
    <w:p>
      <w:pPr>
        <w:pStyle w:val="ListBullet"/>
      </w:pPr>
      <w:r>
        <w:t>DBI (Data Birth Integrity): structural correctness at creation/export—completeness, conformity, naming, spatial plausibility, and drift control versus the active protocol version.</w:t>
      </w:r>
    </w:p>
    <w:p>
      <w:pPr>
        <w:pStyle w:val="ListBullet"/>
      </w:pPr>
      <w:r>
        <w:t>Raw vs derived: raw data are directly from reconstruction intended for primary fitting; derived maps (ADC, FA, synthetic contrasts) must not impersonate raw series in automation.</w:t>
      </w:r>
    </w:p>
    <w:p>
      <w:pPr>
        <w:pStyle w:val="Heading2"/>
      </w:pPr>
      <w:r>
        <w:t>1.2 What this document does not do</w:t>
      </w:r>
    </w:p>
    <w:p>
      <w:pPr>
        <w:pStyle w:val="ListBullet"/>
      </w:pPr>
      <w:r>
        <w:t>It does not prescribe disease-specific diagnostic protocols or replace radiologist judgment.</w:t>
      </w:r>
    </w:p>
    <w:p>
      <w:pPr>
        <w:pStyle w:val="ListBullet"/>
      </w:pPr>
      <w:r>
        <w:t>It does not mandate a single field strength, resolution, or shell scheme for all science—studies still choose biology-appropriate parameters.</w:t>
      </w:r>
    </w:p>
    <w:p>
      <w:pPr>
        <w:pStyle w:val="ListBullet"/>
      </w:pPr>
      <w:r>
        <w:t>It does not guarantee regulatory clearance for any product; it is a research operations standard.</w:t>
      </w:r>
    </w:p>
    <w:p>
      <w:r>
        <w:br w:type="page"/>
      </w:r>
    </w:p>
    <w:p>
      <w:pPr>
        <w:pStyle w:val="Heading1"/>
      </w:pPr>
      <w:r>
        <w:t>2. Cross-cutting standards (all modalities)</w:t>
      </w:r>
    </w:p>
    <w:p>
      <w:r>
        <w:t>These rules apply to every modality section below unless explicitly overridden.</w:t>
      </w:r>
    </w:p>
    <w:p>
      <w:pPr>
        <w:pStyle w:val="Heading2"/>
      </w:pPr>
      <w:r>
        <w:t>2.1 Protocol identity and drift control</w:t>
      </w:r>
    </w:p>
    <w:p>
      <w:pPr>
        <w:pStyle w:val="ListBullet"/>
      </w:pPr>
      <w:r>
        <w:t>Every series must carry a machine-readable protocol version token agreed by the study (e.g., PROTO_NEURO_V3) inside ProtocolName and/or SeriesDescription using a fixed pattern.</w:t>
      </w:r>
    </w:p>
    <w:p>
      <w:pPr>
        <w:pStyle w:val="ListBullet"/>
      </w:pPr>
      <w:r>
        <w:t>Site code + study code may be prepended in a fixed order: SITE_STUDY_PROTOVERSION_SEQUENCE_ROLE.</w:t>
      </w:r>
    </w:p>
    <w:p>
      <w:pPr>
        <w:pStyle w:val="ListBullet"/>
      </w:pPr>
      <w:r>
        <w:t>Any console software upgrade, gradient firmware change, or major sequence edit increments the protocol version; a phantom QC session must be acquired under the new version before human accrual resumes under that label.</w:t>
      </w:r>
    </w:p>
    <w:p>
      <w:pPr>
        <w:pStyle w:val="Heading2"/>
      </w:pPr>
      <w:r>
        <w:t>2.2 Controlled vocabulary for semantic roles</w:t>
      </w:r>
    </w:p>
    <w:p>
      <w:r>
        <w:t>Automation should map each series to exactly one primary role using study-defined tokens (examples: T1w, T2w, FLAIR, PD, dwi, fmap, bold, swi, asl, perf, ceT1w). Each series description must contain exactly one such token from the study list.</w:t>
      </w:r>
    </w:p>
    <w:p>
      <w:pPr>
        <w:pStyle w:val="Heading2"/>
      </w:pPr>
      <w:r>
        <w:t>2.3 De-identification vs ML-critical metadata</w:t>
      </w:r>
    </w:p>
    <w:p>
      <w:pPr>
        <w:pStyle w:val="ListBullet"/>
      </w:pPr>
      <w:r>
        <w:t>Tier A (preserve in DICOM or parallel JSON): voxel spacing, orientation, timing, echo times, flip angle, phase encoding, multiband/shots, sequence variant, vendor, model, field strength, coil elements (if allowed), software version, reconstruction type.</w:t>
      </w:r>
    </w:p>
    <w:p>
      <w:pPr>
        <w:pStyle w:val="ListBullet"/>
      </w:pPr>
      <w:r>
        <w:t>Tier B (suppress per IRB): patient name, IDs in free text, physician names, accession in shared exports.</w:t>
      </w:r>
    </w:p>
    <w:p>
      <w:pPr>
        <w:pStyle w:val="ListBullet"/>
      </w:pPr>
      <w:r>
        <w:t>De-identification scripts must be reviewed so Tier A is not blanked by overly aggressive rules.</w:t>
      </w:r>
    </w:p>
    <w:p>
      <w:pPr>
        <w:pStyle w:val="Heading2"/>
      </w:pPr>
      <w:r>
        <w:t>2.4 Export profile</w:t>
      </w:r>
    </w:p>
    <w:p>
      <w:pPr>
        <w:pStyle w:val="ListBullet"/>
      </w:pPr>
      <w:r>
        <w:t>Primary research archive: uncompressed Little Endian Explicit VR or another study-fixed lossless transfer syntax; document the UID list in the study SOP.</w:t>
      </w:r>
    </w:p>
    <w:p>
      <w:pPr>
        <w:pStyle w:val="ListBullet"/>
      </w:pPr>
      <w:r>
        <w:t>No site may supply only screen captures or viewer-only formats as the sole research copy.</w:t>
      </w:r>
    </w:p>
    <w:p>
      <w:pPr>
        <w:pStyle w:val="ListBullet"/>
      </w:pPr>
      <w:r>
        <w:t>Each subject visit folder must include a manifest (CSV/JSON) listing series UID, role token, protocol version, and export checksum.</w:t>
      </w:r>
    </w:p>
    <w:p>
      <w:pPr>
        <w:pStyle w:val="Heading2"/>
      </w:pPr>
      <w:r>
        <w:t>2.5 Cross-cutting metadata checklist (export gate)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Required for automation</w:t>
            </w:r>
          </w:p>
        </w:tc>
        <w:tc>
          <w:tcPr>
            <w:tcW w:type="dxa" w:w="2880"/>
          </w:tcPr>
          <w:p>
            <w:r>
              <w:t>Typical DICOM tags (informative)</w:t>
            </w:r>
          </w:p>
        </w:tc>
      </w:tr>
      <w:tr>
        <w:tc>
          <w:tcPr>
            <w:tcW w:type="dxa" w:w="2880"/>
          </w:tcPr>
          <w:p>
            <w:r>
              <w:t>Modality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0008,0060</w:t>
            </w:r>
          </w:p>
        </w:tc>
      </w:tr>
      <w:tr>
        <w:tc>
          <w:tcPr>
            <w:tcW w:type="dxa" w:w="2880"/>
          </w:tcPr>
          <w:p>
            <w:r>
              <w:t>Manufacturer / Model / Field strength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0008,0070; 0008,1090; 0018,0087</w:t>
            </w:r>
          </w:p>
        </w:tc>
      </w:tr>
      <w:tr>
        <w:tc>
          <w:tcPr>
            <w:tcW w:type="dxa" w:w="2880"/>
          </w:tcPr>
          <w:p>
            <w:r>
              <w:t>Series / Study UID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0020,000E; 0020,000D</w:t>
            </w:r>
          </w:p>
        </w:tc>
      </w:tr>
      <w:tr>
        <w:tc>
          <w:tcPr>
            <w:tcW w:type="dxa" w:w="2880"/>
          </w:tcPr>
          <w:p>
            <w:r>
              <w:t>Patient orientation / frame of reference</w:t>
            </w:r>
          </w:p>
        </w:tc>
        <w:tc>
          <w:tcPr>
            <w:tcW w:type="dxa" w:w="2880"/>
          </w:tcPr>
          <w:p>
            <w:r>
              <w:t>If used in reg</w:t>
            </w:r>
          </w:p>
        </w:tc>
        <w:tc>
          <w:tcPr>
            <w:tcW w:type="dxa" w:w="2880"/>
          </w:tcPr>
          <w:p>
            <w:r>
              <w:t>0020,0020; 0020,0037</w:t>
            </w:r>
          </w:p>
        </w:tc>
      </w:tr>
      <w:tr>
        <w:tc>
          <w:tcPr>
            <w:tcW w:type="dxa" w:w="2880"/>
          </w:tcPr>
          <w:p>
            <w:r>
              <w:t>Pixel spacing / slice thickness / spacing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0028,0030; 0018,0050; 0018,0088</w:t>
            </w:r>
          </w:p>
        </w:tc>
      </w:tr>
      <w:tr>
        <w:tc>
          <w:tcPr>
            <w:tcW w:type="dxa" w:w="2880"/>
          </w:tcPr>
          <w:p>
            <w:r>
              <w:t>Image orientation patient</w:t>
            </w:r>
          </w:p>
        </w:tc>
        <w:tc>
          <w:tcPr>
            <w:tcW w:type="dxa" w:w="2880"/>
          </w:tcPr>
          <w:p>
            <w:r>
              <w:t>Yes for 3D reg</w:t>
            </w:r>
          </w:p>
        </w:tc>
        <w:tc>
          <w:tcPr>
            <w:tcW w:type="dxa" w:w="2880"/>
          </w:tcPr>
          <w:p>
            <w:r>
              <w:t>0020,0037</w:t>
            </w:r>
          </w:p>
        </w:tc>
      </w:tr>
      <w:tr>
        <w:tc>
          <w:tcPr>
            <w:tcW w:type="dxa" w:w="2880"/>
          </w:tcPr>
          <w:p>
            <w:r>
              <w:t>Image position patient (first slice)</w:t>
            </w:r>
          </w:p>
        </w:tc>
        <w:tc>
          <w:tcPr>
            <w:tcW w:type="dxa" w:w="2880"/>
          </w:tcPr>
          <w:p>
            <w:r>
              <w:t>Often</w:t>
            </w:r>
          </w:p>
        </w:tc>
        <w:tc>
          <w:tcPr>
            <w:tcW w:type="dxa" w:w="2880"/>
          </w:tcPr>
          <w:p>
            <w:r>
              <w:t>0020,0032</w:t>
            </w:r>
          </w:p>
        </w:tc>
      </w:tr>
      <w:tr>
        <w:tc>
          <w:tcPr>
            <w:tcW w:type="dxa" w:w="2880"/>
          </w:tcPr>
          <w:p>
            <w:r>
              <w:t>ProtocolName / SeriesDescription</w:t>
            </w:r>
          </w:p>
        </w:tc>
        <w:tc>
          <w:tcPr>
            <w:tcW w:type="dxa" w:w="2880"/>
          </w:tcPr>
          <w:p>
            <w:r>
              <w:t>Yes (with tokens)</w:t>
            </w:r>
          </w:p>
        </w:tc>
        <w:tc>
          <w:tcPr>
            <w:tcW w:type="dxa" w:w="2880"/>
          </w:tcPr>
          <w:p>
            <w:r>
              <w:t>0018,1030; 0008,103E</w:t>
            </w:r>
          </w:p>
        </w:tc>
      </w:tr>
    </w:tbl>
    <w:p>
      <w:r>
        <w:br w:type="page"/>
      </w:r>
    </w:p>
    <w:p>
      <w:pPr>
        <w:pStyle w:val="Heading1"/>
      </w:pPr>
      <w:r>
        <w:t>3. Structural / anatomical MRI</w:t>
      </w:r>
    </w:p>
    <w:p>
      <w:r>
        <w:t>Typical roles: T1w (MP-RAGE, SPGR, IR-FSPGR), T2w, proton density, FLAIR. Used for segmentation, registration targets, cortical surfaces, lesion labels, and multimodal fusion.</w:t>
      </w:r>
    </w:p>
    <w:p>
      <w:pPr>
        <w:pStyle w:val="Heading2"/>
      </w:pPr>
      <w:r>
        <w:t>3.1 AI / automation / cleaning motivations</w:t>
      </w:r>
    </w:p>
    <w:p>
      <w:pPr>
        <w:pStyle w:val="ListBullet"/>
      </w:pPr>
      <w:r>
        <w:t>Registration and deep segmentation assume consistent contrast, isotropy or known anisotropy, and full brain coverage without clipped FOV.</w:t>
      </w:r>
    </w:p>
    <w:p>
      <w:pPr>
        <w:pStyle w:val="ListBullet"/>
      </w:pPr>
      <w:r>
        <w:t>Harmonization tools (ComBat, RISH, intensity normalization) fail silently when series are mislabeled (e.g., T2-FLAIR called T2w).</w:t>
      </w:r>
    </w:p>
    <w:p>
      <w:pPr>
        <w:pStyle w:val="Heading2"/>
      </w:pPr>
      <w:r>
        <w:t>3.2 Acquisition-level requirements</w:t>
      </w:r>
    </w:p>
    <w:p>
      <w:pPr>
        <w:pStyle w:val="ListBullet"/>
      </w:pPr>
      <w:r>
        <w:t>Declare target resolution and FOV in the written protocol; if anisotropic, document expected reformat policy (on-console MPR vs offline).</w:t>
      </w:r>
    </w:p>
    <w:p>
      <w:pPr>
        <w:pStyle w:val="ListBullet"/>
      </w:pPr>
      <w:r>
        <w:t>Avoid mixing multiple reconstructions with identical SeriesDescription; each reconstruction must differ by a suffix (_N4, _MPR_COR, etc.).</w:t>
      </w:r>
    </w:p>
    <w:p>
      <w:pPr>
        <w:pStyle w:val="ListBullet"/>
      </w:pPr>
      <w:r>
        <w:t>For 3D acquisitions, prefer a single 3D slab per role; separate runs must have distinct protocol version or run index in the name.</w:t>
      </w:r>
    </w:p>
    <w:p>
      <w:pPr>
        <w:pStyle w:val="ListBullet"/>
      </w:pPr>
      <w:r>
        <w:t>Motion mitigation: document whether navigators, BLADE, or repeat-acquire rules apply.</w:t>
      </w:r>
    </w:p>
    <w:p>
      <w:pPr>
        <w:pStyle w:val="Heading2"/>
      </w:pPr>
      <w:r>
        <w:t>3.3 Export contract</w:t>
      </w:r>
    </w:p>
    <w:p>
      <w:pPr>
        <w:pStyle w:val="ListBullet"/>
      </w:pPr>
      <w:r>
        <w:t>One canonical T1w per timepoint for ML unless the study explicitly defines multi-echo T1; extras must be tagged T1w_ALT or excluded in manifest.</w:t>
      </w:r>
    </w:p>
    <w:p>
      <w:pPr>
        <w:pStyle w:val="ListBullet"/>
      </w:pPr>
      <w:r>
        <w:t>Preserve rescale slope/intercept and real-world value mapping tags when present; do not window-level and re-save as primary research DICOM.</w:t>
      </w:r>
    </w:p>
    <w:p>
      <w:pPr>
        <w:pStyle w:val="Heading2"/>
      </w:pPr>
      <w:r>
        <w:t>3.4 Metadata required for pipelines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EchoTime, RepetitionTime, InversionTime (if applicable)</w:t>
            </w:r>
          </w:p>
        </w:tc>
        <w:tc>
          <w:tcPr>
            <w:tcW w:type="dxa" w:w="4320"/>
          </w:tcPr>
          <w:p>
            <w:r>
              <w:t>Contrast-aware models and QC</w:t>
            </w:r>
          </w:p>
        </w:tc>
      </w:tr>
      <w:tr>
        <w:tc>
          <w:tcPr>
            <w:tcW w:type="dxa" w:w="4320"/>
          </w:tcPr>
          <w:p>
            <w:r>
              <w:t>FlipAngle</w:t>
            </w:r>
          </w:p>
        </w:tc>
        <w:tc>
          <w:tcPr>
            <w:tcW w:type="dxa" w:w="4320"/>
          </w:tcPr>
          <w:p>
            <w:r>
              <w:t>T1-weighted modeling / synthetic MRI</w:t>
            </w:r>
          </w:p>
        </w:tc>
      </w:tr>
      <w:tr>
        <w:tc>
          <w:tcPr>
            <w:tcW w:type="dxa" w:w="4320"/>
          </w:tcPr>
          <w:p>
            <w:r>
              <w:t>Receive coil information (if policy allows)</w:t>
            </w:r>
          </w:p>
        </w:tc>
        <w:tc>
          <w:tcPr>
            <w:tcW w:type="dxa" w:w="4320"/>
          </w:tcPr>
          <w:p>
            <w:r>
              <w:t>Bias-field behavior differs by coil</w:t>
            </w:r>
          </w:p>
        </w:tc>
      </w:tr>
      <w:tr>
        <w:tc>
          <w:tcPr>
            <w:tcW w:type="dxa" w:w="4320"/>
          </w:tcPr>
          <w:p>
            <w:r>
              <w:t>Parallel imaging factor (if encoded)</w:t>
            </w:r>
          </w:p>
        </w:tc>
        <w:tc>
          <w:tcPr>
            <w:tcW w:type="dxa" w:w="4320"/>
          </w:tcPr>
          <w:p>
            <w:r>
              <w:t>Noise structure in DL denoising</w:t>
            </w:r>
          </w:p>
        </w:tc>
      </w:tr>
      <w:tr>
        <w:tc>
          <w:tcPr>
            <w:tcW w:type="dxa" w:w="4320"/>
          </w:tcPr>
          <w:p>
            <w:r>
              <w:t>Dimensions consistent with NIfTI conversion</w:t>
            </w:r>
          </w:p>
        </w:tc>
        <w:tc>
          <w:tcPr>
            <w:tcW w:type="dxa" w:w="4320"/>
          </w:tcPr>
          <w:p>
            <w:r>
              <w:t>Avoid off-by-one in sagittal/coronal reformats</w:t>
            </w:r>
          </w:p>
        </w:tc>
      </w:tr>
    </w:tbl>
    <w:p>
      <w:pPr>
        <w:pStyle w:val="Heading2"/>
      </w:pPr>
      <w:r>
        <w:t>3.5 Common pipeline failure modes (structural)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</w:t>
            </w:r>
          </w:p>
        </w:tc>
        <w:tc>
          <w:tcPr>
            <w:tcW w:type="dxa" w:w="4320"/>
          </w:tcPr>
          <w:p>
            <w:r>
              <w:t>Mitigation at acquisition/export</w:t>
            </w:r>
          </w:p>
        </w:tc>
      </w:tr>
      <w:tr>
        <w:tc>
          <w:tcPr>
            <w:tcW w:type="dxa" w:w="4320"/>
          </w:tcPr>
          <w:p>
            <w:r>
              <w:t>MPR reformats saved with same name as source 3D</w:t>
            </w:r>
          </w:p>
        </w:tc>
        <w:tc>
          <w:tcPr>
            <w:tcW w:type="dxa" w:w="4320"/>
          </w:tcPr>
          <w:p>
            <w:r>
              <w:t>Distinct SeriesDescription suffix per reconstruction</w:t>
            </w:r>
          </w:p>
        </w:tc>
      </w:tr>
      <w:tr>
        <w:tc>
          <w:tcPr>
            <w:tcW w:type="dxa" w:w="4320"/>
          </w:tcPr>
          <w:p>
            <w:r>
              <w:t>Mixed echo T1 mislabeled as single T1w</w:t>
            </w:r>
          </w:p>
        </w:tc>
        <w:tc>
          <w:tcPr>
            <w:tcW w:type="dxa" w:w="4320"/>
          </w:tcPr>
          <w:p>
            <w:r>
              <w:t>Token T1w_ME with echo list in manifest</w:t>
            </w:r>
          </w:p>
        </w:tc>
      </w:tr>
      <w:tr>
        <w:tc>
          <w:tcPr>
            <w:tcW w:type="dxa" w:w="4320"/>
          </w:tcPr>
          <w:p>
            <w:r>
              <w:t>Incomplete head coverage</w:t>
            </w:r>
          </w:p>
        </w:tc>
        <w:tc>
          <w:tcPr>
            <w:tcW w:type="dxa" w:w="4320"/>
          </w:tcPr>
          <w:p>
            <w:r>
              <w:t>FOV checks in technologist worksheet</w:t>
            </w:r>
          </w:p>
        </w:tc>
      </w:tr>
      <w:tr>
        <w:tc>
          <w:tcPr>
            <w:tcW w:type="dxa" w:w="4320"/>
          </w:tcPr>
          <w:p>
            <w:r>
              <w:t>GDC burn-in on exported DICOM</w:t>
            </w:r>
          </w:p>
        </w:tc>
        <w:tc>
          <w:tcPr>
            <w:tcW w:type="dxa" w:w="4320"/>
          </w:tcPr>
          <w:p>
            <w:r>
              <w:t>Research export from raw recon, not screenshot pipeline</w:t>
            </w:r>
          </w:p>
        </w:tc>
      </w:tr>
    </w:tbl>
    <w:p>
      <w:pPr>
        <w:pStyle w:val="Heading2"/>
      </w:pPr>
      <w:r>
        <w:t>3.6 DBI-style checks at birth</w:t>
      </w:r>
    </w:p>
    <w:p>
      <w:pPr>
        <w:pStyle w:val="ListBullet"/>
      </w:pPr>
      <w:r>
        <w:t>Role token present and unique mapping in study table.</w:t>
      </w:r>
    </w:p>
    <w:p>
      <w:pPr>
        <w:pStyle w:val="ListBullet"/>
      </w:pPr>
      <w:r>
        <w:t>Voxel size within study tolerance; missing spacing flagged.</w:t>
      </w:r>
    </w:p>
    <w:p>
      <w:pPr>
        <w:pStyle w:val="ListBullet"/>
      </w:pPr>
      <w:r>
        <w:t>No duplicate SeriesInstanceUID; no zero-length series.</w:t>
      </w:r>
    </w:p>
    <w:p>
      <w:r>
        <w:br w:type="page"/>
      </w:r>
    </w:p>
    <w:p>
      <w:pPr>
        <w:pStyle w:val="Heading1"/>
      </w:pPr>
      <w:r>
        <w:t>4. Diffusion MRI (DWI / DTI / advanced DWI)</w:t>
      </w:r>
    </w:p>
    <w:p>
      <w:r>
        <w:t>Includes single- and multi-shell DWI, tensor imaging, and advanced encoding. This modality has the highest cleaning failure rate if derivatives are confused with raw data or if phase-encoding metadata are missing.</w:t>
      </w:r>
    </w:p>
    <w:p>
      <w:pPr>
        <w:pStyle w:val="Heading2"/>
      </w:pPr>
      <w:r>
        <w:t>4.1 AI / automation / cleaning motivations</w:t>
      </w:r>
    </w:p>
    <w:p>
      <w:pPr>
        <w:pStyle w:val="ListBullet"/>
      </w:pPr>
      <w:r>
        <w:t>Eddy-current, motion, and susceptibility correction require phase-encoding direction and readout timing (or fieldmaps with known relationship to DWI).</w:t>
      </w:r>
    </w:p>
    <w:p>
      <w:pPr>
        <w:pStyle w:val="ListBullet"/>
      </w:pPr>
      <w:r>
        <w:t>Tractography and microstructure models require correct b-values and gradient directions per volume.</w:t>
      </w:r>
    </w:p>
    <w:p>
      <w:pPr>
        <w:pStyle w:val="ListBullet"/>
      </w:pPr>
      <w:r>
        <w:t>ML harmonization across sites requires consistent shell layout or explicit per-site mapping tables.</w:t>
      </w:r>
    </w:p>
    <w:p>
      <w:pPr>
        <w:pStyle w:val="Heading2"/>
      </w:pPr>
      <w:r>
        <w:t>4.2 Acquisition-level requirements</w:t>
      </w:r>
    </w:p>
    <w:p>
      <w:pPr>
        <w:pStyle w:val="ListBullet"/>
      </w:pPr>
      <w:r>
        <w:t>Study must document shell scheme (b=0 policy, high b shells), nominal direction count per shell, and phase-encoding polarity scheme (single-PE with fmap vs blip-up/blip-down).</w:t>
      </w:r>
    </w:p>
    <w:p>
      <w:pPr>
        <w:pStyle w:val="ListBullet"/>
      </w:pPr>
      <w:r>
        <w:t>Raw diffusion series must use a SeriesDescription containing the role token dwi and excluding derivative tokens (_ADC, _FA, _TRACE, _TRACEW, _ColFA, etc.).</w:t>
      </w:r>
    </w:p>
    <w:p>
      <w:pPr>
        <w:pStyle w:val="ListBullet"/>
      </w:pPr>
      <w:r>
        <w:t>If the scanner automatically creates derivative series, they must be in separate series with mandatory derivative suffixes in SeriesDescription.</w:t>
      </w:r>
    </w:p>
    <w:p>
      <w:pPr>
        <w:pStyle w:val="ListBullet"/>
      </w:pPr>
      <w:r>
        <w:t>For dual-PE acquisitions, both PE directions must include PE token and consistent run pairing in the manifest (e.g., dwi_AP / dwi_PA).</w:t>
      </w:r>
    </w:p>
    <w:p>
      <w:pPr>
        <w:pStyle w:val="ListBullet"/>
      </w:pPr>
      <w:r>
        <w:t>Optional advanced: document waveform type if non-standard (e.g., oscillating gradients) for future BEP033-style sharing.</w:t>
      </w:r>
    </w:p>
    <w:p>
      <w:pPr>
        <w:pStyle w:val="Heading2"/>
      </w:pPr>
      <w:r>
        <w:t>4.3 Export contract</w:t>
      </w:r>
    </w:p>
    <w:p>
      <w:pPr>
        <w:pStyle w:val="ListBullet"/>
      </w:pPr>
      <w:r>
        <w:t>Gradient tables must be recoverable: from standard DICOM diffusion tags and/or Enhanced MR functional groups, or exported sidecars (bval/bvec/json) generated at export with documented software version.</w:t>
      </w:r>
    </w:p>
    <w:p>
      <w:pPr>
        <w:pStyle w:val="ListBullet"/>
      </w:pPr>
      <w:r>
        <w:t>Never ship NIfTI-only DWI without accompanying gradient tables and JSON metadata required by the study pipeline (BIDS-style fields where applicable).</w:t>
      </w:r>
    </w:p>
    <w:p>
      <w:pPr>
        <w:pStyle w:val="ListBullet"/>
      </w:pPr>
      <w:r>
        <w:t>If DICOM is mosaic or multiframe, document the converter version used to produce analysis copies.</w:t>
      </w:r>
    </w:p>
    <w:p>
      <w:pPr>
        <w:pStyle w:val="Heading2"/>
      </w:pPr>
      <w:r>
        <w:t>4.4 Metadata required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Effective b-value per volume</w:t>
            </w:r>
          </w:p>
        </w:tc>
        <w:tc>
          <w:tcPr>
            <w:tcW w:type="dxa" w:w="4320"/>
          </w:tcPr>
          <w:p>
            <w:r>
              <w:t>DICOM tags or private tags mapped in SOP</w:t>
            </w:r>
          </w:p>
        </w:tc>
      </w:tr>
      <w:tr>
        <w:tc>
          <w:tcPr>
            <w:tcW w:type="dxa" w:w="4320"/>
          </w:tcPr>
          <w:p>
            <w:r>
              <w:t>Diffusion gradient orientation per volume</w:t>
            </w:r>
          </w:p>
        </w:tc>
        <w:tc>
          <w:tcPr>
            <w:tcW w:type="dxa" w:w="4320"/>
          </w:tcPr>
          <w:p>
            <w:r>
              <w:t>Same</w:t>
            </w:r>
          </w:p>
        </w:tc>
      </w:tr>
      <w:tr>
        <w:tc>
          <w:tcPr>
            <w:tcW w:type="dxa" w:w="4320"/>
          </w:tcPr>
          <w:p>
            <w:r>
              <w:t>PhaseEncodingDirection (conceptual)</w:t>
            </w:r>
          </w:p>
        </w:tc>
        <w:tc>
          <w:tcPr>
            <w:tcW w:type="dxa" w:w="4320"/>
          </w:tcPr>
          <w:p>
            <w:r>
              <w:t>Must map to BIDS PE string after conversion</w:t>
            </w:r>
          </w:p>
        </w:tc>
      </w:tr>
      <w:tr>
        <w:tc>
          <w:tcPr>
            <w:tcW w:type="dxa" w:w="4320"/>
          </w:tcPr>
          <w:p>
            <w:r>
              <w:t>TotalReadoutTime or equivalent</w:t>
            </w:r>
          </w:p>
        </w:tc>
        <w:tc>
          <w:tcPr>
            <w:tcW w:type="dxa" w:w="4320"/>
          </w:tcPr>
          <w:p>
            <w:r>
              <w:t>For TOPUP/eddy; from DICOM or calculated per vendor SOP</w:t>
            </w:r>
          </w:p>
        </w:tc>
      </w:tr>
      <w:tr>
        <w:tc>
          <w:tcPr>
            <w:tcW w:type="dxa" w:w="4320"/>
          </w:tcPr>
          <w:p>
            <w:r>
              <w:t>EchoTime</w:t>
            </w:r>
          </w:p>
        </w:tc>
        <w:tc>
          <w:tcPr>
            <w:tcW w:type="dxa" w:w="4320"/>
          </w:tcPr>
          <w:p>
            <w:r>
              <w:t>Strong effect on FA/MD in some acquisitions</w:t>
            </w:r>
          </w:p>
        </w:tc>
      </w:tr>
      <w:tr>
        <w:tc>
          <w:tcPr>
            <w:tcW w:type="dxa" w:w="4320"/>
          </w:tcPr>
          <w:p>
            <w:r>
              <w:t>Parallel imaging / multiband</w:t>
            </w:r>
          </w:p>
        </w:tc>
        <w:tc>
          <w:tcPr>
            <w:tcW w:type="dxa" w:w="4320"/>
          </w:tcPr>
          <w:p>
            <w:r>
              <w:t>Affects SNR and artifact patterns</w:t>
            </w:r>
          </w:p>
        </w:tc>
      </w:tr>
      <w:tr>
        <w:tc>
          <w:tcPr>
            <w:tcW w:type="dxa" w:w="4320"/>
          </w:tcPr>
          <w:p>
            <w:r>
              <w:t>Partial Fourier / phase partial</w:t>
            </w:r>
          </w:p>
        </w:tc>
        <w:tc>
          <w:tcPr>
            <w:tcW w:type="dxa" w:w="4320"/>
          </w:tcPr>
          <w:p>
            <w:r>
              <w:t>Affects QC thresholds</w:t>
            </w:r>
          </w:p>
        </w:tc>
      </w:tr>
    </w:tbl>
    <w:p>
      <w:pPr>
        <w:pStyle w:val="Heading2"/>
      </w:pPr>
      <w:r>
        <w:t>4.5 Multi-shell and advanced diffusion</w:t>
      </w:r>
    </w:p>
    <w:p>
      <w:pPr>
        <w:pStyle w:val="ListBullet"/>
      </w:pPr>
      <w:r>
        <w:t>Each shell must be identifiable in DICOM or in export sidecars (b-value per volume).</w:t>
      </w:r>
    </w:p>
    <w:p>
      <w:pPr>
        <w:pStyle w:val="ListBullet"/>
      </w:pPr>
      <w:r>
        <w:t>If shell-interleaved acquisition is used, document ordering convention for converters.</w:t>
      </w:r>
    </w:p>
    <w:p>
      <w:pPr>
        <w:pStyle w:val="ListBullet"/>
      </w:pPr>
      <w:r>
        <w:t>For CSD / NODDI / multi-compartment models, document minimum SNR policy and motion retry rules.</w:t>
      </w:r>
    </w:p>
    <w:p>
      <w:pPr>
        <w:pStyle w:val="ListBullet"/>
      </w:pPr>
      <w:r>
        <w:t>Cardiac-triggered DWI: record trigger delay and rejected segments policy.</w:t>
      </w:r>
    </w:p>
    <w:p>
      <w:pPr>
        <w:pStyle w:val="Heading2"/>
      </w:pPr>
      <w:r>
        <w:t>4.6 Suggested study-level numeric guardrails (example—not universal)</w:t>
      </w:r>
    </w:p>
    <w:p>
      <w:r>
        <w:t>Studies may adopt ranges such as: include b≈0 s/mm² volumes; at least one high-b shell commonly used in the field; sufficient directions for the chosen tensor model; near-isotropic voxels if tractography is primary. Encode chosen numbers in the acquisition contract, not in this template.</w:t>
      </w:r>
    </w:p>
    <w:p>
      <w:pPr>
        <w:pStyle w:val="Heading2"/>
      </w:pPr>
      <w:r>
        <w:t>4.7 Common pipeline failure modes (diffusion)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ADC map selected as input to tractography</w:t>
            </w:r>
          </w:p>
        </w:tc>
        <w:tc>
          <w:tcPr>
            <w:tcW w:type="dxa" w:w="4320"/>
          </w:tcPr>
          <w:p>
            <w:r>
              <w:t>Derivative suffix enforcement + manifest QA</w:t>
            </w:r>
          </w:p>
        </w:tc>
      </w:tr>
      <w:tr>
        <w:tc>
          <w:tcPr>
            <w:tcW w:type="dxa" w:w="4320"/>
          </w:tcPr>
          <w:p>
            <w:r>
              <w:t>Missing PE or readout → eddy/TOPUP crash or silent misalignment</w:t>
            </w:r>
          </w:p>
        </w:tc>
        <w:tc>
          <w:tcPr>
            <w:tcW w:type="dxa" w:w="4320"/>
          </w:tcPr>
          <w:p>
            <w:r>
              <w:t>Export gate checklist §4.4</w:t>
            </w:r>
          </w:p>
        </w:tc>
      </w:tr>
      <w:tr>
        <w:tc>
          <w:tcPr>
            <w:tcW w:type="dxa" w:w="4320"/>
          </w:tcPr>
          <w:p>
            <w:r>
              <w:t>Mosaic DICOM mis-converted</w:t>
            </w:r>
          </w:p>
        </w:tc>
        <w:tc>
          <w:tcPr>
            <w:tcW w:type="dxa" w:w="4320"/>
          </w:tcPr>
          <w:p>
            <w:r>
              <w:t>Documented converter + regression test on phantom</w:t>
            </w:r>
          </w:p>
        </w:tc>
      </w:tr>
      <w:tr>
        <w:tc>
          <w:tcPr>
            <w:tcW w:type="dxa" w:w="4320"/>
          </w:tcPr>
          <w:p>
            <w:r>
              <w:t>Private tag gradient table lost on anonymize</w:t>
            </w:r>
          </w:p>
        </w:tc>
        <w:tc>
          <w:tcPr>
            <w:tcW w:type="dxa" w:w="4320"/>
          </w:tcPr>
          <w:p>
            <w:r>
              <w:t>Tier A preservation + sidecar at export</w:t>
            </w:r>
          </w:p>
        </w:tc>
      </w:tr>
      <w:tr>
        <w:tc>
          <w:tcPr>
            <w:tcW w:type="dxa" w:w="4320"/>
          </w:tcPr>
          <w:p>
            <w:r>
              <w:t>Blip-up/down run pairing broken across sites</w:t>
            </w:r>
          </w:p>
        </w:tc>
        <w:tc>
          <w:tcPr>
            <w:tcW w:type="dxa" w:w="4320"/>
          </w:tcPr>
          <w:p>
            <w:r>
              <w:t>Explicit manifest columns for paired series UIDs</w:t>
            </w:r>
          </w:p>
        </w:tc>
      </w:tr>
    </w:tbl>
    <w:p>
      <w:pPr>
        <w:pStyle w:val="Heading2"/>
      </w:pPr>
      <w:r>
        <w:t>4.8 DBI-style checks at birth</w:t>
      </w:r>
    </w:p>
    <w:p>
      <w:pPr>
        <w:pStyle w:val="ListBullet"/>
      </w:pPr>
      <w:r>
        <w:t>Count of volumes matches expected (within tolerance for skipped volumes policy).</w:t>
      </w:r>
    </w:p>
    <w:p>
      <w:pPr>
        <w:pStyle w:val="ListBullet"/>
      </w:pPr>
      <w:r>
        <w:t>No derivative series mapped as dwi in manifest.</w:t>
      </w:r>
    </w:p>
    <w:p>
      <w:pPr>
        <w:pStyle w:val="ListBullet"/>
      </w:pPr>
      <w:r>
        <w:t>b-table monotonic consistency checks (no NaN directions).</w:t>
      </w:r>
    </w:p>
    <w:p>
      <w:pPr>
        <w:pStyle w:val="ListBullet"/>
      </w:pPr>
      <w:r>
        <w:t>PE metadata present if distortion correction is in scope.</w:t>
      </w:r>
    </w:p>
    <w:p>
      <w:r>
        <w:br w:type="page"/>
      </w:r>
    </w:p>
    <w:p>
      <w:pPr>
        <w:pStyle w:val="Heading1"/>
      </w:pPr>
      <w:r>
        <w:t>5. Functional MRI (BOLD)</w:t>
      </w:r>
    </w:p>
    <w:p>
      <w:r>
        <w:t>Resting-state and task fMRI for connectivity, GLM, and ML phenotyping.</w:t>
      </w:r>
    </w:p>
    <w:p>
      <w:pPr>
        <w:pStyle w:val="Heading2"/>
      </w:pPr>
      <w:r>
        <w:t>5.1 AI / automation motivations</w:t>
      </w:r>
    </w:p>
    <w:p>
      <w:pPr>
        <w:pStyle w:val="ListBullet"/>
      </w:pPr>
      <w:r>
        <w:t>Slice timing correction and STC-aware models need slice order and TR.</w:t>
      </w:r>
    </w:p>
    <w:p>
      <w:pPr>
        <w:pStyle w:val="ListBullet"/>
      </w:pPr>
      <w:r>
        <w:t>CompCor and nuisance regression need anatomical masks aligned in the same space as BOLD.</w:t>
      </w:r>
    </w:p>
    <w:p>
      <w:pPr>
        <w:pStyle w:val="ListBullet"/>
      </w:pPr>
      <w:r>
        <w:t>Multiband sequences require accurate multiband factor and slice timing metadata.</w:t>
      </w:r>
    </w:p>
    <w:p>
      <w:pPr>
        <w:pStyle w:val="Heading2"/>
      </w:pPr>
      <w:r>
        <w:t>5.2 Acquisition-level requirements</w:t>
      </w:r>
    </w:p>
    <w:p>
      <w:pPr>
        <w:pStyle w:val="ListBullet"/>
      </w:pPr>
      <w:r>
        <w:t>SeriesDescription must include role token bold and task or rest label (e.g., bold_rest, bold_lang).</w:t>
      </w:r>
    </w:p>
    <w:p>
      <w:pPr>
        <w:pStyle w:val="ListBullet"/>
      </w:pPr>
      <w:r>
        <w:t>Document multiband factor, slice acceleration, partial Fourier, echo spacing or readout parameters used by distortion correction.</w:t>
      </w:r>
    </w:p>
    <w:p>
      <w:pPr>
        <w:pStyle w:val="ListBullet"/>
      </w:pPr>
      <w:r>
        <w:t>If simultaneous multi-slice (SMS) interleaved, document interleave pattern if non-default.</w:t>
      </w:r>
    </w:p>
    <w:p>
      <w:pPr>
        <w:pStyle w:val="ListBullet"/>
      </w:pPr>
      <w:r>
        <w:t>For task fMRI, stimulus timing files are out of DICOM scope but must be deposited with the same visit ID in the study repository.</w:t>
      </w:r>
    </w:p>
    <w:p>
      <w:pPr>
        <w:pStyle w:val="Heading2"/>
      </w:pPr>
      <w:r>
        <w:t>5.3 Export contract</w:t>
      </w:r>
    </w:p>
    <w:p>
      <w:pPr>
        <w:pStyle w:val="ListBullet"/>
      </w:pPr>
      <w:r>
        <w:t>Preserve temporal framing: number of dynamics, discard volumes policy, and whether dummy scans were acquired.</w:t>
      </w:r>
    </w:p>
    <w:p>
      <w:pPr>
        <w:pStyle w:val="ListBullet"/>
      </w:pPr>
      <w:r>
        <w:t>If DICOM stores one file per volume vs multiframe, document export behavior to avoid duplicate time points.</w:t>
      </w:r>
    </w:p>
    <w:p>
      <w:pPr>
        <w:pStyle w:val="Heading2"/>
      </w:pPr>
      <w:r>
        <w:t>5.4 Metadata required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RepetitionTime</w:t>
            </w:r>
          </w:p>
        </w:tc>
        <w:tc>
          <w:tcPr>
            <w:tcW w:type="dxa" w:w="4320"/>
          </w:tcPr>
          <w:p>
            <w:r>
              <w:t>STC, filtering, design matrix</w:t>
            </w:r>
          </w:p>
        </w:tc>
      </w:tr>
      <w:tr>
        <w:tc>
          <w:tcPr>
            <w:tcW w:type="dxa" w:w="4320"/>
          </w:tcPr>
          <w:p>
            <w:r>
              <w:t>EchoTime</w:t>
            </w:r>
          </w:p>
        </w:tc>
        <w:tc>
          <w:tcPr>
            <w:tcW w:type="dxa" w:w="4320"/>
          </w:tcPr>
          <w:p>
            <w:r>
              <w:t>Contrast, susceptibility weighting</w:t>
            </w:r>
          </w:p>
        </w:tc>
      </w:tr>
      <w:tr>
        <w:tc>
          <w:tcPr>
            <w:tcW w:type="dxa" w:w="4320"/>
          </w:tcPr>
          <w:p>
            <w:r>
              <w:t>FlipAngle</w:t>
            </w:r>
          </w:p>
        </w:tc>
        <w:tc>
          <w:tcPr>
            <w:tcW w:type="dxa" w:w="4320"/>
          </w:tcPr>
          <w:p>
            <w:r>
              <w:t>Signal model</w:t>
            </w:r>
          </w:p>
        </w:tc>
      </w:tr>
      <w:tr>
        <w:tc>
          <w:tcPr>
            <w:tcW w:type="dxa" w:w="4320"/>
          </w:tcPr>
          <w:p>
            <w:r>
              <w:t>SliceTiming or explicit slice order</w:t>
            </w:r>
          </w:p>
        </w:tc>
        <w:tc>
          <w:tcPr>
            <w:tcW w:type="dxa" w:w="4320"/>
          </w:tcPr>
          <w:p>
            <w:r>
              <w:t>STC and some DL models</w:t>
            </w:r>
          </w:p>
        </w:tc>
      </w:tr>
      <w:tr>
        <w:tc>
          <w:tcPr>
            <w:tcW w:type="dxa" w:w="4320"/>
          </w:tcPr>
          <w:p>
            <w:r>
              <w:t>PhaseEncodingDirection + readout timing</w:t>
            </w:r>
          </w:p>
        </w:tc>
        <w:tc>
          <w:tcPr>
            <w:tcW w:type="dxa" w:w="4320"/>
          </w:tcPr>
          <w:p>
            <w:r>
              <w:t>Distortion correction</w:t>
            </w:r>
          </w:p>
        </w:tc>
      </w:tr>
      <w:tr>
        <w:tc>
          <w:tcPr>
            <w:tcW w:type="dxa" w:w="4320"/>
          </w:tcPr>
          <w:p>
            <w:r>
              <w:t>MultibandAccelerationFactor (if used)</w:t>
            </w:r>
          </w:p>
        </w:tc>
        <w:tc>
          <w:tcPr>
            <w:tcW w:type="dxa" w:w="4320"/>
          </w:tcPr>
          <w:p>
            <w:r>
              <w:t>SMS timing</w:t>
            </w:r>
          </w:p>
        </w:tc>
      </w:tr>
    </w:tbl>
    <w:p>
      <w:pPr>
        <w:pStyle w:val="Heading2"/>
      </w:pPr>
      <w:r>
        <w:t>5.5 Common pipeline failure modes (BOLD)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Incorrect slice timing assumed</w:t>
            </w:r>
          </w:p>
        </w:tc>
        <w:tc>
          <w:tcPr>
            <w:tcW w:type="dxa" w:w="4320"/>
          </w:tcPr>
          <w:p>
            <w:r>
              <w:t>Preserve SliceTiming or print sequence PDF to study repo</w:t>
            </w:r>
          </w:p>
        </w:tc>
      </w:tr>
      <w:tr>
        <w:tc>
          <w:tcPr>
            <w:tcW w:type="dxa" w:w="4320"/>
          </w:tcPr>
          <w:p>
            <w:r>
              <w:t>Multiband factor missing in JSON</w:t>
            </w:r>
          </w:p>
        </w:tc>
        <w:tc>
          <w:tcPr>
            <w:tcW w:type="dxa" w:w="4320"/>
          </w:tcPr>
          <w:p>
            <w:r>
              <w:t>Tier A tag mapping per vendor</w:t>
            </w:r>
          </w:p>
        </w:tc>
      </w:tr>
      <w:tr>
        <w:tc>
          <w:tcPr>
            <w:tcW w:type="dxa" w:w="4320"/>
          </w:tcPr>
          <w:p>
            <w:r>
              <w:t>Duplicate dynamics after DICOM merge</w:t>
            </w:r>
          </w:p>
        </w:tc>
        <w:tc>
          <w:tcPr>
            <w:tcW w:type="dxa" w:w="4320"/>
          </w:tcPr>
          <w:p>
            <w:r>
              <w:t>One-file-per-volume vs multiframe policy documented</w:t>
            </w:r>
          </w:p>
        </w:tc>
      </w:tr>
      <w:tr>
        <w:tc>
          <w:tcPr>
            <w:tcW w:type="dxa" w:w="4320"/>
          </w:tcPr>
          <w:p>
            <w:r>
              <w:t>Task label wrong in SeriesDescription</w:t>
            </w:r>
          </w:p>
        </w:tc>
        <w:tc>
          <w:tcPr>
            <w:tcW w:type="dxa" w:w="4320"/>
          </w:tcPr>
          <w:p>
            <w:r>
              <w:t>Controlled vocabulary + QC script on manifest</w:t>
            </w:r>
          </w:p>
        </w:tc>
      </w:tr>
    </w:tbl>
    <w:p>
      <w:pPr>
        <w:pStyle w:val="Heading2"/>
      </w:pPr>
      <w:r>
        <w:t>5.6 DBI-style checks at birth</w:t>
      </w:r>
    </w:p>
    <w:p>
      <w:pPr>
        <w:pStyle w:val="ListBullet"/>
      </w:pPr>
      <w:r>
        <w:t>TR constant across volumes within tolerance.</w:t>
      </w:r>
    </w:p>
    <w:p>
      <w:pPr>
        <w:pStyle w:val="ListBullet"/>
      </w:pPr>
      <w:r>
        <w:t>Expected number of time points vs protocol.</w:t>
      </w:r>
    </w:p>
    <w:p>
      <w:pPr>
        <w:pStyle w:val="ListBullet"/>
      </w:pPr>
      <w:r>
        <w:t>No mixing of two tasks in one series without manifest entry.</w:t>
      </w:r>
    </w:p>
    <w:p>
      <w:r>
        <w:br w:type="page"/>
      </w:r>
    </w:p>
    <w:p>
      <w:pPr>
        <w:pStyle w:val="Heading1"/>
      </w:pPr>
      <w:r>
        <w:t>6. Field mapping (B0 distortion correction)</w:t>
      </w:r>
    </w:p>
    <w:p>
      <w:r>
        <w:t>GRE fieldmaps, dual-echo phase difference, or reversed-PE references for TOPUP. Critical for fMRI and DWI when EPI distortion is non-negligible.</w:t>
      </w:r>
    </w:p>
    <w:p>
      <w:pPr>
        <w:pStyle w:val="Heading2"/>
      </w:pPr>
      <w:r>
        <w:t>6.1 Acquisition-level requirements</w:t>
      </w:r>
    </w:p>
    <w:p>
      <w:pPr>
        <w:pStyle w:val="ListBullet"/>
      </w:pPr>
      <w:r>
        <w:t>Role token fmap (or study-defined subtypes fmap_magnitude, fmap_phase, fmap_epi).</w:t>
      </w:r>
    </w:p>
    <w:p>
      <w:pPr>
        <w:pStyle w:val="ListBullet"/>
      </w:pPr>
      <w:r>
        <w:t>Document relationship to matched bold or dwi series (same shim, same prescription if required).</w:t>
      </w:r>
    </w:p>
    <w:p>
      <w:pPr>
        <w:pStyle w:val="ListBullet"/>
      </w:pPr>
      <w:r>
        <w:t>For dual-echo GRE, specify echo times used in phase-difference calculation.</w:t>
      </w:r>
    </w:p>
    <w:p>
      <w:pPr>
        <w:pStyle w:val="Heading2"/>
      </w:pPr>
      <w:r>
        <w:t>6.2 Export contract</w:t>
      </w:r>
    </w:p>
    <w:p>
      <w:pPr>
        <w:pStyle w:val="ListBullet"/>
      </w:pPr>
      <w:r>
        <w:t>Export magnitude and phase (or real/imaginary) as required by the study pipeline; do not drop one component.</w:t>
      </w:r>
    </w:p>
    <w:p>
      <w:pPr>
        <w:pStyle w:val="ListBullet"/>
      </w:pPr>
      <w:r>
        <w:t>Manifest must link fmap series UIDs to the bold/dwi series they correct.</w:t>
      </w:r>
    </w:p>
    <w:p>
      <w:pPr>
        <w:pStyle w:val="Heading2"/>
      </w:pPr>
      <w:r>
        <w:t>6.3 Metadata required</w:t>
      </w:r>
    </w:p>
    <w:p>
      <w:pPr>
        <w:pStyle w:val="ListBullet"/>
      </w:pPr>
      <w:r>
        <w:t>EchoTime(s), intended for fieldmap</w:t>
      </w:r>
    </w:p>
    <w:p>
      <w:pPr>
        <w:pStyle w:val="ListBullet"/>
      </w:pPr>
      <w:r>
        <w:t>Shim settings if encoded</w:t>
      </w:r>
    </w:p>
    <w:p>
      <w:pPr>
        <w:pStyle w:val="ListBullet"/>
      </w:pPr>
      <w:r>
        <w:t>Consistent orientation relative to matched EPI</w:t>
      </w:r>
    </w:p>
    <w:p>
      <w:pPr>
        <w:pStyle w:val="Heading2"/>
      </w:pPr>
      <w:r>
        <w:t>6.4 Failure modes</w:t>
      </w:r>
    </w:p>
    <w:p>
      <w:pPr>
        <w:pStyle w:val="ListBullet"/>
      </w:pPr>
      <w:r>
        <w:t>fmap acquired with different shimming prescription than BOLD/DWI → ineffective correction; SOP should require paired acquisition order.</w:t>
      </w:r>
    </w:p>
    <w:p>
      <w:pPr>
        <w:pStyle w:val="ListBullet"/>
      </w:pPr>
      <w:r>
        <w:t>Phase scaled or filtered inconsistently across sites → TOPUP failures; document vendor scaling.</w:t>
      </w:r>
    </w:p>
    <w:p>
      <w:r>
        <w:br w:type="page"/>
      </w:r>
    </w:p>
    <w:p>
      <w:pPr>
        <w:pStyle w:val="Heading1"/>
      </w:pPr>
      <w:r>
        <w:t>7. Susceptibility-weighted imaging (SWI / QSM-related)</w:t>
      </w:r>
    </w:p>
    <w:p>
      <w:r>
        <w:t>Magnitude, phase, SWI, minimum intensity projection (mIP) variants. Used in hemorrhage, iron, and some DL vessel models.</w:t>
      </w:r>
    </w:p>
    <w:p>
      <w:pPr>
        <w:pStyle w:val="Heading2"/>
      </w:pPr>
      <w:r>
        <w:t>7.1 Acquisition-level requirements</w:t>
      </w:r>
    </w:p>
    <w:p>
      <w:pPr>
        <w:pStyle w:val="ListBullet"/>
      </w:pPr>
      <w:r>
        <w:t>Token swi with suffix for each product type (_MAG, _PHA, _SWI, _mIP).</w:t>
      </w:r>
    </w:p>
    <w:p>
      <w:pPr>
        <w:pStyle w:val="ListBullet"/>
      </w:pPr>
      <w:r>
        <w:t>Do not reuse identical SeriesDescription for different reconstructions.</w:t>
      </w:r>
    </w:p>
    <w:p>
      <w:pPr>
        <w:pStyle w:val="Heading2"/>
      </w:pPr>
      <w:r>
        <w:t>7.2 Export contract</w:t>
      </w:r>
    </w:p>
    <w:p>
      <w:pPr>
        <w:pStyle w:val="ListBullet"/>
      </w:pPr>
      <w:r>
        <w:t>If phase is needed for QSM, phase must not be discarded; document scaling (radians vs arbitrary).</w:t>
      </w:r>
    </w:p>
    <w:p>
      <w:pPr>
        <w:pStyle w:val="Heading2"/>
      </w:pPr>
      <w:r>
        <w:t>7.3 Metadata required</w:t>
      </w:r>
    </w:p>
    <w:p>
      <w:pPr>
        <w:pStyle w:val="ListBullet"/>
      </w:pPr>
      <w:r>
        <w:t>EchoTime(s), flip angle, filter mode if vendor-specific</w:t>
      </w:r>
    </w:p>
    <w:p>
      <w:pPr>
        <w:pStyle w:val="ListBullet"/>
      </w:pPr>
      <w:r>
        <w:t>Resolution and orientation</w:t>
      </w:r>
    </w:p>
    <w:p>
      <w:r>
        <w:br w:type="page"/>
      </w:r>
    </w:p>
    <w:p>
      <w:pPr>
        <w:pStyle w:val="Heading1"/>
      </w:pPr>
      <w:r>
        <w:t>8. Arterial spin labeling (ASL) perfusion</w:t>
      </w:r>
    </w:p>
    <w:p>
      <w:r>
        <w:t>CBF mapping for neurodegeneration, cerebrovascular disease, and some ML biomarkers.</w:t>
      </w:r>
    </w:p>
    <w:p>
      <w:pPr>
        <w:pStyle w:val="Heading2"/>
      </w:pPr>
      <w:r>
        <w:t>8.1 AI / automation motivations</w:t>
      </w:r>
    </w:p>
    <w:p>
      <w:pPr>
        <w:pStyle w:val="ListBullet"/>
      </w:pPr>
      <w:r>
        <w:t>Quantification requires labeled/control pairs, post-label delay, background suppression scheme, and M0 reference policy.</w:t>
      </w:r>
    </w:p>
    <w:p>
      <w:pPr>
        <w:pStyle w:val="ListBullet"/>
      </w:pPr>
      <w:r>
        <w:t>Multi-PLD and multi-TI schemes need explicit labeling in manifest.</w:t>
      </w:r>
    </w:p>
    <w:p>
      <w:pPr>
        <w:pStyle w:val="Heading2"/>
      </w:pPr>
      <w:r>
        <w:t>8.2 Acquisition-level requirements</w:t>
      </w:r>
    </w:p>
    <w:p>
      <w:pPr>
        <w:pStyle w:val="ListBullet"/>
      </w:pPr>
      <w:r>
        <w:t>Token asl; include vendor sequence family in description (e.g., PCASL, PASL, pCASL).</w:t>
      </w:r>
    </w:p>
    <w:p>
      <w:pPr>
        <w:pStyle w:val="ListBullet"/>
      </w:pPr>
      <w:r>
        <w:t>Separate M0 / proton-density reference series if acquired; tag asl_M0.</w:t>
      </w:r>
    </w:p>
    <w:p>
      <w:pPr>
        <w:pStyle w:val="ListBullet"/>
      </w:pPr>
      <w:r>
        <w:t>Document background suppression pulses and whether a separate T1w is required for calibration.</w:t>
      </w:r>
    </w:p>
    <w:p>
      <w:pPr>
        <w:pStyle w:val="Heading2"/>
      </w:pPr>
      <w:r>
        <w:t>8.3 Export contract</w:t>
      </w:r>
    </w:p>
    <w:p>
      <w:pPr>
        <w:pStyle w:val="ListBullet"/>
      </w:pPr>
      <w:r>
        <w:t>Do not average label/control on-console for research primary if the pipeline needs raw pairs.</w:t>
      </w:r>
    </w:p>
    <w:p>
      <w:pPr>
        <w:pStyle w:val="ListBullet"/>
      </w:pPr>
      <w:r>
        <w:t>Preserve all dynamics needed for kinetic or M0 scaling.</w:t>
      </w:r>
    </w:p>
    <w:p>
      <w:pPr>
        <w:pStyle w:val="Heading2"/>
      </w:pPr>
      <w:r>
        <w:t>8.4 Metadata required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Labeling duration and post-label delay(s)</w:t>
            </w:r>
          </w:p>
        </w:tc>
        <w:tc>
          <w:tcPr>
            <w:tcW w:type="dxa" w:w="4320"/>
          </w:tcPr>
          <w:p>
            <w:r>
              <w:t>Quantification</w:t>
            </w:r>
          </w:p>
        </w:tc>
      </w:tr>
      <w:tr>
        <w:tc>
          <w:tcPr>
            <w:tcW w:type="dxa" w:w="4320"/>
          </w:tcPr>
          <w:p>
            <w:r>
              <w:t>Background suppression flags</w:t>
            </w:r>
          </w:p>
        </w:tc>
        <w:tc>
          <w:tcPr>
            <w:tcW w:type="dxa" w:w="4320"/>
          </w:tcPr>
          <w:p>
            <w:r>
              <w:t>Model choice</w:t>
            </w:r>
          </w:p>
        </w:tc>
      </w:tr>
      <w:tr>
        <w:tc>
          <w:tcPr>
            <w:tcW w:type="dxa" w:w="4320"/>
          </w:tcPr>
          <w:p>
            <w:r>
              <w:t>M0 strategy</w:t>
            </w:r>
          </w:p>
        </w:tc>
        <w:tc>
          <w:tcPr>
            <w:tcW w:type="dxa" w:w="4320"/>
          </w:tcPr>
          <w:p>
            <w:r>
              <w:t>Scaling</w:t>
            </w:r>
          </w:p>
        </w:tc>
      </w:tr>
      <w:tr>
        <w:tc>
          <w:tcPr>
            <w:tcW w:type="dxa" w:w="4320"/>
          </w:tcPr>
          <w:p>
            <w:r>
              <w:t>Parallel imaging and readout type</w:t>
            </w:r>
          </w:p>
        </w:tc>
        <w:tc>
          <w:tcPr>
            <w:tcW w:type="dxa" w:w="4320"/>
          </w:tcPr>
          <w:p>
            <w:r>
              <w:t>Artifact QC</w:t>
            </w:r>
          </w:p>
        </w:tc>
      </w:tr>
    </w:tbl>
    <w:p>
      <w:r>
        <w:br w:type="page"/>
      </w:r>
    </w:p>
    <w:p>
      <w:pPr>
        <w:pStyle w:val="Heading1"/>
      </w:pPr>
      <w:r>
        <w:t>9. Dynamic susceptibility contrast (DSC) perfusion</w:t>
      </w:r>
    </w:p>
    <w:p>
      <w:r>
        <w:t>Contrast bolus perfusion; highly sensitive to acquisition timing and leakage correction choices.</w:t>
      </w:r>
    </w:p>
    <w:p>
      <w:pPr>
        <w:pStyle w:val="Heading2"/>
      </w:pPr>
      <w:r>
        <w:t>9.1 Acquisition-level requirements</w:t>
      </w:r>
    </w:p>
    <w:p>
      <w:pPr>
        <w:pStyle w:val="ListBullet"/>
      </w:pPr>
      <w:r>
        <w:t>Token perf_dsc; document pre-bolus baseline volumes and temporal resolution.</w:t>
      </w:r>
    </w:p>
    <w:p>
      <w:pPr>
        <w:pStyle w:val="ListBullet"/>
      </w:pPr>
      <w:r>
        <w:t>If dual-echo DSC is used for leakage correction, both echoes must be exported with linked UIDs.</w:t>
      </w:r>
    </w:p>
    <w:p>
      <w:pPr>
        <w:pStyle w:val="Heading2"/>
      </w:pPr>
      <w:r>
        <w:t>9.2 Export contract</w:t>
      </w:r>
    </w:p>
    <w:p>
      <w:pPr>
        <w:pStyle w:val="ListBullet"/>
      </w:pPr>
      <w:r>
        <w:t>Retain full temporal series; no vendor-only cine export as sole data.</w:t>
      </w:r>
    </w:p>
    <w:p>
      <w:pPr>
        <w:pStyle w:val="ListBullet"/>
      </w:pPr>
      <w:r>
        <w:t>Document contrast agent type, dose, and injection time relative to scan start (Tier B linkage may be restricted—study policy decides storage).</w:t>
      </w:r>
    </w:p>
    <w:p>
      <w:pPr>
        <w:pStyle w:val="Heading2"/>
      </w:pPr>
      <w:r>
        <w:t>9.3 Metadata required</w:t>
      </w:r>
    </w:p>
    <w:p>
      <w:pPr>
        <w:pStyle w:val="ListBullet"/>
      </w:pPr>
      <w:r>
        <w:t>TR, TE per echo, flip angle</w:t>
      </w:r>
    </w:p>
    <w:p>
      <w:pPr>
        <w:pStyle w:val="ListBullet"/>
      </w:pPr>
      <w:r>
        <w:t>Number of dynamics, slice order</w:t>
      </w:r>
    </w:p>
    <w:p>
      <w:r>
        <w:br w:type="page"/>
      </w:r>
    </w:p>
    <w:p>
      <w:pPr>
        <w:pStyle w:val="Heading1"/>
      </w:pPr>
      <w:r>
        <w:t>10. Contrast-enhanced structural MRI</w:t>
      </w:r>
    </w:p>
    <w:p>
      <w:r>
        <w:t>Post-contrast T1w (and sometimes FLAIR) for lesion enhancement. Governance overlaps safety, timing, and research reproducibility.</w:t>
      </w:r>
    </w:p>
    <w:p>
      <w:pPr>
        <w:pStyle w:val="Heading2"/>
      </w:pPr>
      <w:r>
        <w:t>10.1 Acquisition-level requirements</w:t>
      </w:r>
    </w:p>
    <w:p>
      <w:pPr>
        <w:pStyle w:val="ListBullet"/>
      </w:pPr>
      <w:r>
        <w:t>Token ceT1w (or ceFLAIR); pre-contrast companion series must exist if subtraction or registration is planned, with matching geometry or documented reslice policy.</w:t>
      </w:r>
    </w:p>
    <w:p>
      <w:pPr>
        <w:pStyle w:val="ListBullet"/>
      </w:pPr>
      <w:r>
        <w:t>Document delay from injection to start of acquisition for reproducible enhancement curves.</w:t>
      </w:r>
    </w:p>
    <w:p>
      <w:pPr>
        <w:pStyle w:val="Heading2"/>
      </w:pPr>
      <w:r>
        <w:t>10.2 Export contract</w:t>
      </w:r>
    </w:p>
    <w:p>
      <w:pPr>
        <w:pStyle w:val="ListBullet"/>
      </w:pPr>
      <w:r>
        <w:t>Keep pre and post as separate series with distinct UIDs; never overwrite pre with post.</w:t>
      </w:r>
    </w:p>
    <w:p>
      <w:pPr>
        <w:pStyle w:val="ListBullet"/>
      </w:pPr>
      <w:r>
        <w:t>IRB-compliant handling of contrast documentation in research manifests.</w:t>
      </w:r>
    </w:p>
    <w:p>
      <w:pPr>
        <w:pStyle w:val="Heading2"/>
      </w:pPr>
      <w:r>
        <w:t>10.3 Metadata required</w:t>
      </w:r>
    </w:p>
    <w:p>
      <w:pPr>
        <w:pStyle w:val="ListBullet"/>
      </w:pPr>
      <w:r>
        <w:t>Same structural metadata as Section 3, plus timing relative to injection if recorded</w:t>
      </w:r>
    </w:p>
    <w:p>
      <w:r>
        <w:br w:type="page"/>
      </w:r>
    </w:p>
    <w:p>
      <w:pPr>
        <w:pStyle w:val="Heading1"/>
      </w:pPr>
      <w:r>
        <w:t>11. Quantitative parametric maps (T1, T2, PD, MT)</w:t>
      </w:r>
    </w:p>
    <w:p>
      <w:r>
        <w:t>Mapping sequences produce parametric images (T1 map, T2 map, PD, MTR) used in biophysical models, synthetic MRI, and some deep learning harmonization pipelines.</w:t>
      </w:r>
    </w:p>
    <w:p>
      <w:pPr>
        <w:pStyle w:val="Heading2"/>
      </w:pPr>
      <w:r>
        <w:t>11.1 Acquisition-level requirements</w:t>
      </w:r>
    </w:p>
    <w:p>
      <w:pPr>
        <w:pStyle w:val="ListBullet"/>
      </w:pPr>
      <w:r>
        <w:t>Use tokens qmap_T1, qmap_T2, qmap_PD, qmap_MTR (or study-defined equivalents).</w:t>
      </w:r>
    </w:p>
    <w:p>
      <w:pPr>
        <w:pStyle w:val="ListBullet"/>
      </w:pPr>
      <w:r>
        <w:t>Document flip angle train, echo train, spacing of TI or TE samples, and fitting method on-console vs offline.</w:t>
      </w:r>
    </w:p>
    <w:p>
      <w:pPr>
        <w:pStyle w:val="ListBullet"/>
      </w:pPr>
      <w:r>
        <w:t>If magnitude and phase are both required for fitting, export both with distinct suffixes.</w:t>
      </w:r>
    </w:p>
    <w:p>
      <w:pPr>
        <w:pStyle w:val="Heading2"/>
      </w:pPr>
      <w:r>
        <w:t>11.2 Export contract</w:t>
      </w:r>
    </w:p>
    <w:p>
      <w:pPr>
        <w:pStyle w:val="ListBullet"/>
      </w:pPr>
      <w:r>
        <w:t>Preserve raw component series if the fitting pipeline is offline; do not export only color maps.</w:t>
      </w:r>
    </w:p>
    <w:p>
      <w:pPr>
        <w:pStyle w:val="ListBullet"/>
      </w:pPr>
      <w:r>
        <w:t>Document units (ms, s) in manifest for each map series.</w:t>
      </w:r>
    </w:p>
    <w:p>
      <w:pPr>
        <w:pStyle w:val="Heading2"/>
      </w:pPr>
      <w:r>
        <w:t>11.3 Metadata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Full list of TIs or TEs used</w:t>
            </w:r>
          </w:p>
        </w:tc>
        <w:tc>
          <w:tcPr>
            <w:tcW w:type="dxa" w:w="4320"/>
          </w:tcPr>
          <w:p>
            <w:r>
              <w:t>Reproducible fitting</w:t>
            </w:r>
          </w:p>
        </w:tc>
      </w:tr>
      <w:tr>
        <w:tc>
          <w:tcPr>
            <w:tcW w:type="dxa" w:w="4320"/>
          </w:tcPr>
          <w:p>
            <w:r>
              <w:t>B1+ correction flag if used</w:t>
            </w:r>
          </w:p>
        </w:tc>
        <w:tc>
          <w:tcPr>
            <w:tcW w:type="dxa" w:w="4320"/>
          </w:tcPr>
          <w:p>
            <w:r>
              <w:t>Bias in T1 estimation</w:t>
            </w:r>
          </w:p>
        </w:tc>
      </w:tr>
      <w:tr>
        <w:tc>
          <w:tcPr>
            <w:tcW w:type="dxa" w:w="4320"/>
          </w:tcPr>
          <w:p>
            <w:r>
              <w:t>Parallel imaging factors</w:t>
            </w:r>
          </w:p>
        </w:tc>
        <w:tc>
          <w:tcPr>
            <w:tcW w:type="dxa" w:w="4320"/>
          </w:tcPr>
          <w:p>
            <w:r>
              <w:t>SNR and bias</w:t>
            </w:r>
          </w:p>
        </w:tc>
      </w:tr>
    </w:tbl>
    <w:p>
      <w:r>
        <w:br w:type="page"/>
      </w:r>
    </w:p>
    <w:p>
      <w:pPr>
        <w:pStyle w:val="Heading1"/>
      </w:pPr>
      <w:r>
        <w:t>12. MR angiography (TOF / contrast-enhanced MRA) — research handoff</w:t>
      </w:r>
    </w:p>
    <w:p>
      <w:r>
        <w:t>Vascular imaging for stroke, aneurysm, and vessel segmentation models. Often combined with structural scans for multimodal AI.</w:t>
      </w:r>
    </w:p>
    <w:p>
      <w:pPr>
        <w:pStyle w:val="Heading2"/>
      </w:pPr>
      <w:r>
        <w:t>12.1 Acquisition-level requirements</w:t>
      </w:r>
    </w:p>
    <w:p>
      <w:pPr>
        <w:pStyle w:val="ListBullet"/>
      </w:pPr>
      <w:r>
        <w:t>Token mra_TOF or mra_CE; include slab count and overlap if multi-slab TOF.</w:t>
      </w:r>
    </w:p>
    <w:p>
      <w:pPr>
        <w:pStyle w:val="ListBullet"/>
      </w:pPr>
      <w:r>
        <w:t>For CE-MRA, timing relative to contrast and arterial vs venous phase intent must be documented.</w:t>
      </w:r>
    </w:p>
    <w:p>
      <w:pPr>
        <w:pStyle w:val="Heading2"/>
      </w:pPr>
      <w:r>
        <w:t>12.2 Export contract</w:t>
      </w:r>
    </w:p>
    <w:p>
      <w:pPr>
        <w:pStyle w:val="ListBullet"/>
      </w:pPr>
      <w:r>
        <w:t>Preserve source partitions if MIP-only series are created; research primary should include non-MIP source unless study waives.</w:t>
      </w:r>
    </w:p>
    <w:p>
      <w:pPr>
        <w:pStyle w:val="ListBullet"/>
      </w:pPr>
      <w:r>
        <w:t>Vessel segmentation models need isotropic or documented anisotropic spacing.</w:t>
      </w:r>
    </w:p>
    <w:p>
      <w:pPr>
        <w:pStyle w:val="Heading2"/>
      </w:pPr>
      <w:r>
        <w:t>12.3 Metadata required</w:t>
      </w:r>
    </w:p>
    <w:p>
      <w:pPr>
        <w:pStyle w:val="ListBullet"/>
      </w:pPr>
      <w:r>
        <w:t>Flip angle, TR, TE, flow compensation flags if encoded</w:t>
      </w:r>
    </w:p>
    <w:p>
      <w:pPr>
        <w:pStyle w:val="ListBullet"/>
      </w:pPr>
      <w:r>
        <w:t>Contrast timing for CE-MRA per IRB policy</w:t>
      </w:r>
    </w:p>
    <w:p>
      <w:r>
        <w:br w:type="page"/>
      </w:r>
    </w:p>
    <w:p>
      <w:pPr>
        <w:pStyle w:val="Heading1"/>
      </w:pPr>
      <w:r>
        <w:t>13. MR spectroscopy (SVS / CSI) — research handoff</w:t>
      </w:r>
    </w:p>
    <w:p>
      <w:r>
        <w:t>Single-voxel (SVS) and chemical shift imaging (CSI) produce spectra for metabolite quantification and emerging ML classifiers.</w:t>
      </w:r>
    </w:p>
    <w:p>
      <w:pPr>
        <w:pStyle w:val="Heading2"/>
      </w:pPr>
      <w:r>
        <w:t>13.1 Acquisition-level requirements</w:t>
      </w:r>
    </w:p>
    <w:p>
      <w:pPr>
        <w:pStyle w:val="ListBullet"/>
      </w:pPr>
      <w:r>
        <w:t>Token mrs_SVS or mrs_CSI; specify nucleus (1H), TE, water suppression method, and voxel size.</w:t>
      </w:r>
    </w:p>
    <w:p>
      <w:pPr>
        <w:pStyle w:val="ListBullet"/>
      </w:pPr>
      <w:r>
        <w:t>Document voxel placement reference series (e.g., T1w series UID used for prescription).</w:t>
      </w:r>
    </w:p>
    <w:p>
      <w:pPr>
        <w:pStyle w:val="Heading2"/>
      </w:pPr>
      <w:r>
        <w:t>13.2 Export contract</w:t>
      </w:r>
    </w:p>
    <w:p>
      <w:pPr>
        <w:pStyle w:val="ListBullet"/>
      </w:pPr>
      <w:r>
        <w:t>Export raw FIDs or vendor spectroscopy objects per pipeline; document software used for preprocessing.</w:t>
      </w:r>
    </w:p>
    <w:p>
      <w:pPr>
        <w:pStyle w:val="ListBullet"/>
      </w:pPr>
      <w:r>
        <w:t>Include basis set / editing scheme in study repo if applicable (e.g., MEGA, HERMES).</w:t>
      </w:r>
    </w:p>
    <w:p>
      <w:pPr>
        <w:pStyle w:val="Heading2"/>
      </w:pPr>
      <w:r>
        <w:t>13.3 Metadata required</w:t>
      </w:r>
    </w:p>
    <w:p>
      <w:pPr>
        <w:pStyle w:val="ListBullet"/>
      </w:pPr>
      <w:r>
        <w:t>Spectral width, number of points, averaging count</w:t>
      </w:r>
    </w:p>
    <w:p>
      <w:pPr>
        <w:pStyle w:val="ListBullet"/>
      </w:pPr>
      <w:r>
        <w:t>Voxel position and orientation relative to anatomical series</w:t>
      </w:r>
    </w:p>
    <w:p>
      <w:r>
        <w:br w:type="page"/>
      </w:r>
    </w:p>
    <w:p>
      <w:pPr>
        <w:pStyle w:val="Heading1"/>
      </w:pPr>
      <w:r>
        <w:t>14. Cross-center governance, DBI scoring hooks, and references</w:t>
      </w:r>
    </w:p>
    <w:p>
      <w:pPr>
        <w:pStyle w:val="Heading2"/>
      </w:pPr>
      <w:r>
        <w:t>14.1 Governance</w:t>
      </w:r>
    </w:p>
    <w:p>
      <w:pPr>
        <w:pStyle w:val="ListBullet"/>
      </w:pPr>
      <w:r>
        <w:t>Single study owner maintains mapping table: local protocol name → semantic role → protocol version.</w:t>
      </w:r>
    </w:p>
    <w:p>
      <w:pPr>
        <w:pStyle w:val="ListBullet"/>
      </w:pPr>
      <w:r>
        <w:t>Quarterly audit: sample N exams per site, run automated DBI validator, review failures with site MR lead.</w:t>
      </w:r>
    </w:p>
    <w:p>
      <w:pPr>
        <w:pStyle w:val="ListBullet"/>
      </w:pPr>
      <w:r>
        <w:t>Change requests require signed amendment and version bump.</w:t>
      </w:r>
    </w:p>
    <w:p>
      <w:pPr>
        <w:pStyle w:val="Heading2"/>
      </w:pPr>
      <w:r>
        <w:t>14.2 DBI component mapping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DBI component</w:t>
            </w:r>
          </w:p>
        </w:tc>
        <w:tc>
          <w:tcPr>
            <w:tcW w:type="dxa" w:w="4320"/>
          </w:tcPr>
          <w:p>
            <w:r>
              <w:t>Modality-specific emphasis</w:t>
            </w:r>
          </w:p>
        </w:tc>
      </w:tr>
      <w:tr>
        <w:tc>
          <w:tcPr>
            <w:tcW w:type="dxa" w:w="4320"/>
          </w:tcPr>
          <w:p>
            <w:r>
              <w:t>Metadata completeness</w:t>
            </w:r>
          </w:p>
        </w:tc>
        <w:tc>
          <w:tcPr>
            <w:tcW w:type="dxa" w:w="4320"/>
          </w:tcPr>
          <w:p>
            <w:r>
              <w:t>Section checklists above</w:t>
            </w:r>
          </w:p>
        </w:tc>
      </w:tr>
      <w:tr>
        <w:tc>
          <w:tcPr>
            <w:tcW w:type="dxa" w:w="4320"/>
          </w:tcPr>
          <w:p>
            <w:r>
              <w:t>Protocol conformity</w:t>
            </w:r>
          </w:p>
        </w:tc>
        <w:tc>
          <w:tcPr>
            <w:tcW w:type="dxa" w:w="4320"/>
          </w:tcPr>
          <w:p>
            <w:r>
              <w:t>protocol_version token + parameter tolerances</w:t>
            </w:r>
          </w:p>
        </w:tc>
      </w:tr>
      <w:tr>
        <w:tc>
          <w:tcPr>
            <w:tcW w:type="dxa" w:w="4320"/>
          </w:tcPr>
          <w:p>
            <w:r>
              <w:t>Gradient integrity (DWI)</w:t>
            </w:r>
          </w:p>
        </w:tc>
        <w:tc>
          <w:tcPr>
            <w:tcW w:type="dxa" w:w="4320"/>
          </w:tcPr>
          <w:p>
            <w:r>
              <w:t>b-table and volume counts</w:t>
            </w:r>
          </w:p>
        </w:tc>
      </w:tr>
      <w:tr>
        <w:tc>
          <w:tcPr>
            <w:tcW w:type="dxa" w:w="4320"/>
          </w:tcPr>
          <w:p>
            <w:r>
              <w:t>Spatial consistency</w:t>
            </w:r>
          </w:p>
        </w:tc>
        <w:tc>
          <w:tcPr>
            <w:tcW w:type="dxa" w:w="4320"/>
          </w:tcPr>
          <w:p>
            <w:r>
              <w:t>spacing, FOV, unexpected reformat</w:t>
            </w:r>
          </w:p>
        </w:tc>
      </w:tr>
      <w:tr>
        <w:tc>
          <w:tcPr>
            <w:tcW w:type="dxa" w:w="4320"/>
          </w:tcPr>
          <w:p>
            <w:r>
              <w:t>Naming compliance</w:t>
            </w:r>
          </w:p>
        </w:tc>
        <w:tc>
          <w:tcPr>
            <w:tcW w:type="dxa" w:w="4320"/>
          </w:tcPr>
          <w:p>
            <w:r>
              <w:t>role tokens and derivative suffixes</w:t>
            </w:r>
          </w:p>
        </w:tc>
      </w:tr>
      <w:tr>
        <w:tc>
          <w:tcPr>
            <w:tcW w:type="dxa" w:w="4320"/>
          </w:tcPr>
          <w:p>
            <w:r>
              <w:t>Drift control</w:t>
            </w:r>
          </w:p>
        </w:tc>
        <w:tc>
          <w:tcPr>
            <w:tcW w:type="dxa" w:w="4320"/>
          </w:tcPr>
          <w:p>
            <w:r>
              <w:t>phantom QC + version discipline</w:t>
            </w:r>
          </w:p>
        </w:tc>
      </w:tr>
    </w:tbl>
    <w:p>
      <w:pPr>
        <w:pStyle w:val="Heading2"/>
      </w:pPr>
      <w:r>
        <w:t>14.3 External references (informative)</w:t>
      </w:r>
    </w:p>
    <w:p>
      <w:pPr>
        <w:pStyle w:val="ListBullet"/>
      </w:pPr>
      <w:r>
        <w:t>DICOM Standard — https://www.dicomstandard.org/current/</w:t>
      </w:r>
    </w:p>
    <w:p>
      <w:pPr>
        <w:pStyle w:val="ListBullet"/>
      </w:pPr>
      <w:r>
        <w:t>BIDS specification (MRI) — https://bids-specification.readthedocs.io/</w:t>
      </w:r>
    </w:p>
    <w:p>
      <w:pPr>
        <w:pStyle w:val="ListBullet"/>
      </w:pPr>
      <w:r>
        <w:t>BIDS extension proposals (e.g., advanced DWI BEP033) — https://bids.neuroimaging.io/extensions/</w:t>
      </w:r>
    </w:p>
    <w:p>
      <w:pPr>
        <w:pStyle w:val="ListBullet"/>
      </w:pPr>
      <w:r>
        <w:t>FAIR principles — https://www.go-fair.org/fair-principles/</w:t>
      </w:r>
    </w:p>
    <w:p>
      <w:pPr>
        <w:pStyle w:val="ListBullet"/>
      </w:pPr>
      <w:r>
        <w:t>NIH Imaging Data Commons — https://imaging.datacommons.cancer.gov/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