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MR imaging acquisition: automation-ready and BIDS-inspired naming conventions</w:t>
      </w:r>
    </w:p>
    <w:p/>
    <w:p>
      <w:pPr>
        <w:jc w:val="center"/>
      </w:pPr>
      <w:r>
        <w:rPr>
          <w:i/>
        </w:rPr>
        <w:t>For data cleaning, AI pipelines, secondary analysis, and DBI v1 naming compliance (component N)</w:t>
      </w:r>
    </w:p>
    <w:p/>
    <w:p>
      <w:r>
        <w:t>Companion config version: 1.0.3 (`cidur_dbi/dbi_v1_config.yaml`). Not a substitute for IRB or vendor safety review.</w:t>
      </w:r>
    </w:p>
    <w:p>
      <w:pPr>
        <w:pStyle w:val="Heading1"/>
      </w:pPr>
      <w:r>
        <w:t>1. Purpose and audience</w:t>
      </w:r>
    </w:p>
    <w:p>
      <w:r>
        <w:t>This document translates machine-checkable naming rules used in automated DICOM audits into practical guidance for MR acquisition and imaging operations. It supports:</w:t>
      </w:r>
    </w:p>
    <w:p>
      <w:pPr>
        <w:pStyle w:val="ListBullet"/>
      </w:pPr>
      <w:r>
        <w:t>Consistent SeriesDescription and ProtocolName text on the scanner console.</w:t>
      </w:r>
    </w:p>
    <w:p>
      <w:pPr>
        <w:pStyle w:val="ListBullet"/>
      </w:pPr>
      <w:r>
        <w:t>Archive or PACS export conventions (e.g. numbered series folders) where applicable.</w:t>
      </w:r>
    </w:p>
    <w:p>
      <w:pPr>
        <w:pStyle w:val="ListBullet"/>
      </w:pPr>
      <w:r>
        <w:t>Downstream automation: conversion (e.g. dcm2niix), scripting, machine learning, and BIDS-oriented curation.</w:t>
      </w:r>
    </w:p>
    <w:p>
      <w:pPr>
        <w:pStyle w:val="Heading1"/>
      </w:pPr>
      <w:r>
        <w:t>2. How this ties to DBI and audit software</w:t>
      </w:r>
    </w:p>
    <w:p>
      <w:r>
        <w:t>Data Birth Integrity (DBI) v1 includes a naming subscore **N** (naming compliance). Part of **N** is evaluated on a combined string built from the scan folder basename (when present), DICOM **Series Description (0008,103E)**, and **Protocol Name (0018,1030)**. Optional checks listed in `naming.automation_conventions` reward patterns aligned with automation and BIDS-adjacent practice. If both description fields are empty and no folder name is available, only legacy structural checks apply.</w:t>
      </w:r>
    </w:p>
    <w:p>
      <w:pPr>
        <w:pStyle w:val="ListBullet"/>
      </w:pPr>
      <w:r>
        <w:t>Full technical definition: `cidur_dbi/DBI_v1_SPECIFICATION.md` §4.5.</w:t>
      </w:r>
    </w:p>
    <w:p>
      <w:pPr>
        <w:pStyle w:val="ListBullet"/>
      </w:pPr>
      <w:r>
        <w:t>Live parameters and regexes: `cidur_dbi/dbi_v1_config.yaml` → `naming`.</w:t>
      </w:r>
    </w:p>
    <w:p>
      <w:pPr>
        <w:pStyle w:val="Heading1"/>
      </w:pPr>
      <w:r>
        <w:t>3. “BIDS-inspired” vs full BIDS</w:t>
      </w:r>
    </w:p>
    <w:p>
      <w:r>
        <w:t>The **Brain Imaging Data Structure (BIDS)** specifies filenames, folder hierarchy, and JSON sidecars for research datasets. Clinical DICOM exports are **not** BIDS layouts. Here, “BIDS-inspired” means:</w:t>
      </w:r>
    </w:p>
    <w:p>
      <w:pPr>
        <w:pStyle w:val="ListBullet"/>
      </w:pPr>
      <w:r>
        <w:t>Using **entity-like tokens** in text (e.g. run-, acq-, dir-, echo-) where they help humans and scripts parse intent.</w:t>
      </w:r>
    </w:p>
    <w:p>
      <w:pPr>
        <w:pStyle w:val="ListBullet"/>
      </w:pPr>
      <w:r>
        <w:t>Using **modality shorthand** familiar in neuroimaging (e.g. T1w, FLAIR, dwi, bold) when appropriate in descriptions.</w:t>
      </w:r>
    </w:p>
    <w:p>
      <w:pPr>
        <w:pStyle w:val="ListBullet"/>
      </w:pPr>
      <w:r>
        <w:t>Avoiding claims of **full BIDS compliance** from the scanner console alone—BIDS is validated on the **curated dataset**, not raw DICOM naming.</w:t>
      </w:r>
    </w:p>
    <w:p>
      <w:pPr>
        <w:pStyle w:val="Heading1"/>
      </w:pPr>
      <w:r>
        <w:t>4. Archive and session naming (legacy exports)</w:t>
      </w:r>
    </w:p>
    <w:p>
      <w:r>
        <w:t>Many institutional exports use **indexed scan folder names** matching a pattern such as `^[0-9]+-` (digits, hyphen, then description). This supports ordering and scripting. Acquisition teams should coordinate with PACS/XNAT administrators so exported folder basenames remain stable and parseable.</w:t>
      </w:r>
    </w:p>
    <w:p>
      <w:pPr>
        <w:pStyle w:val="Heading1"/>
      </w:pPr>
      <w:r>
        <w:t>5. Prospective protocol tokens (P_ideal in DBI)</w:t>
      </w:r>
    </w:p>
    <w:p>
      <w:r>
        <w:t>DBI component **P** includes an “ideal” subscore when SeriesDescription or ProtocolName matches a site-defined regex (example in config: `PROTO_[A-Z0-9_]+`). Replace the example with your real institutional token when rolling out prospective studies. Legacy data may score low on this axis by design.</w:t>
      </w:r>
    </w:p>
    <w:p>
      <w:pPr>
        <w:pStyle w:val="Heading1"/>
      </w:pPr>
      <w:r>
        <w:t>6. Automation and cleaning-oriented conventions (configurable)</w:t>
      </w:r>
    </w:p>
    <w:p>
      <w:r>
        <w:t>The following conventions are implemented as optional **binary** checks in DBI **N** (each passes if the regex finds a match in the combined naming text). Sites may disable or edit entries in YAML. Acquisition guidance summarizes intent; the YAML regex is authoritative for scoring.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Goal (automation / AI / cleaning)</w:t>
            </w:r>
          </w:p>
        </w:tc>
        <w:tc>
          <w:tcPr>
            <w:tcW w:type="dxa" w:w="2160"/>
          </w:tcPr>
          <w:p>
            <w:r>
              <w:t>Acquisition guidance</w:t>
            </w:r>
          </w:p>
        </w:tc>
        <w:tc>
          <w:tcPr>
            <w:tcW w:type="dxa" w:w="2160"/>
          </w:tcPr>
          <w:p>
            <w:r>
              <w:t>Implementation note</w:t>
            </w:r>
          </w:p>
        </w:tc>
      </w:tr>
      <w:tr>
        <w:tc>
          <w:tcPr>
            <w:tcW w:type="dxa" w:w="2160"/>
          </w:tcPr>
          <w:p>
            <w:r>
              <w:t>no_control_chars</w:t>
            </w:r>
          </w:p>
        </w:tc>
        <w:tc>
          <w:tcPr>
            <w:tcW w:type="dxa" w:w="2160"/>
          </w:tcPr>
          <w:p>
            <w:r>
              <w:t>Strings safe for logs, JSON sidecars, and shell pipelines (no ASCII control chars incl. tab/newline).</w:t>
            </w:r>
          </w:p>
        </w:tc>
        <w:tc>
          <w:tcPr>
            <w:tcW w:type="dxa" w:w="2160"/>
          </w:tcPr>
          <w:p>
            <w:r>
              <w:t>Do not paste multi-line text or hidden characters into SeriesDescription/ProtocolName; use single-line, printable text suitable for logs and CSV.</w:t>
            </w:r>
          </w:p>
        </w:tc>
        <w:tc>
          <w:tcPr>
            <w:tcW w:type="dxa" w:w="2160"/>
          </w:tcPr>
          <w:p>
            <w:r>
              <w:t>Regex (Python): ^[^\x00-\x1f]*\Z</w:t>
              <w:br/>
              <w:t>Enabled in config: True</w:t>
              <w:br/>
              <w:t>Spec rationale: Strings safe for logs, JSON sidecars, and shell pipelines (no ASCII control chars incl. tab/newline).</w:t>
            </w:r>
          </w:p>
        </w:tc>
      </w:tr>
      <w:tr>
        <w:tc>
          <w:tcPr>
            <w:tcW w:type="dxa" w:w="2160"/>
          </w:tcPr>
          <w:p>
            <w:r>
              <w:t>bids_style_entity_tokens</w:t>
            </w:r>
          </w:p>
        </w:tc>
        <w:tc>
          <w:tcPr>
            <w:tcW w:type="dxa" w:w="2160"/>
          </w:tcPr>
          <w:p>
            <w:r>
              <w:t>Hints of BIDS-style entity keys (run-, acq-, dir-, echo-, …) used in cleaning &amp; ML pipelines.</w:t>
            </w:r>
          </w:p>
        </w:tc>
        <w:tc>
          <w:tcPr>
            <w:tcW w:type="dxa" w:w="2160"/>
          </w:tcPr>
          <w:p>
            <w:r>
              <w:t>Where protocol design allows, include parseable tokens such as run-1, acq-highres, dir-AP, echo-1 in descriptions so curators can map to BIDS entities later.</w:t>
            </w:r>
          </w:p>
        </w:tc>
        <w:tc>
          <w:tcPr>
            <w:tcW w:type="dxa" w:w="2160"/>
          </w:tcPr>
          <w:p>
            <w:r>
              <w:t>Regex (Python): (?i)(?&lt;![A-Za-z0-9])(?:run|acq|dir|echo|flip|inv|ses|sub)[_-][A-Za-z0-9]</w:t>
              <w:br/>
              <w:t>Enabled in config: True</w:t>
              <w:br/>
              <w:t>Spec rationale: Hints of BIDS-style entity keys (run-, acq-, dir-, echo-, …) used in cleaning &amp; ML pipelines.</w:t>
            </w:r>
          </w:p>
        </w:tc>
      </w:tr>
      <w:tr>
        <w:tc>
          <w:tcPr>
            <w:tcW w:type="dxa" w:w="2160"/>
          </w:tcPr>
          <w:p>
            <w:r>
              <w:t>modality_or_contrast_lexicon</w:t>
            </w:r>
          </w:p>
        </w:tc>
        <w:tc>
          <w:tcPr>
            <w:tcW w:type="dxa" w:w="2160"/>
          </w:tcPr>
          <w:p>
            <w:r>
              <w:t>Recognizable modality / contrast tokens aligned with common neuroimaging shorthand (incl. BIDS suffix spirit).</w:t>
            </w:r>
          </w:p>
        </w:tc>
        <w:tc>
          <w:tcPr>
            <w:tcW w:type="dxa" w:w="2160"/>
          </w:tcPr>
          <w:p>
            <w:r>
              <w:t>Include a clear modality or contrast token (e.g. MPRAGE, FLAIR, DWI, BOLD, ASL, field map) in SeriesDescription or ProtocolName for automated series role detection.</w:t>
            </w:r>
          </w:p>
        </w:tc>
        <w:tc>
          <w:tcPr>
            <w:tcW w:type="dxa" w:w="2160"/>
          </w:tcPr>
          <w:p>
            <w:r>
              <w:t>Regex (Python): (?i)\b(T1w|T2w|FLAIR|DWI|DTI|BOLD|fMRI|rsfMRI|ASL|MPRAGE|SWI|EPI|field\s*map|fmap|anat|func|dwi)\b</w:t>
              <w:br/>
              <w:t>Enabled in config: True</w:t>
              <w:br/>
              <w:t>Spec rationale: Recognizable modality / contrast tokens aligned with common neuroimaging shorthand (incl. BIDS suffix spirit).</w:t>
            </w:r>
          </w:p>
        </w:tc>
      </w:tr>
      <w:tr>
        <w:tc>
          <w:tcPr>
            <w:tcW w:type="dxa" w:w="2160"/>
          </w:tcPr>
          <w:p>
            <w:r>
              <w:t>token_separators</w:t>
            </w:r>
          </w:p>
        </w:tc>
        <w:tc>
          <w:tcPr>
            <w:tcW w:type="dxa" w:w="2160"/>
          </w:tcPr>
          <w:p>
            <w:r>
              <w:t>Machine-parseable token boundaries (hyphen/underscore between alphanumerics), typical of curated exports.</w:t>
            </w:r>
          </w:p>
        </w:tc>
        <w:tc>
          <w:tcPr>
            <w:tcW w:type="dxa" w:w="2160"/>
          </w:tcPr>
          <w:p>
            <w:r>
              <w:t>Prefer hyphens or underscores between tokens (e.g. 3D_T2_FLAIR, T1w_MPRAGE) rather than long unbroken strings or ambiguous spaces.</w:t>
            </w:r>
          </w:p>
        </w:tc>
        <w:tc>
          <w:tcPr>
            <w:tcW w:type="dxa" w:w="2160"/>
          </w:tcPr>
          <w:p>
            <w:r>
              <w:t>Regex (Python): [A-Za-z0-9][-_][A-Za-z0-9]</w:t>
              <w:br/>
              <w:t>Enabled in config: True</w:t>
              <w:br/>
              <w:t>Spec rationale: Machine-parseable token boundaries (hyphen/underscore between alphanumerics), typical of curated exports.</w:t>
            </w:r>
          </w:p>
        </w:tc>
      </w:tr>
    </w:tbl>
    <w:p>
      <w:pPr>
        <w:pStyle w:val="Heading2"/>
      </w:pPr>
      <w:r>
        <w:t>6.1 Per-class SeriesDescription standards (DBI N)</w:t>
      </w:r>
    </w:p>
    <w:p>
      <w:r>
        <w:t>These rows are the **naming standards** acquisition should use for DICOM **Series Description (0008,103E)**. The audit first assigns a **series class** (broader legacy patterns in `classification_rules`); then, for that class, **every** regex below must match **trimmed SeriesDescription alone** or the class-specific part of naming compliance fails. Empty SeriesDescription fails. Authoritative source: `naming.class_series_description_compliance` in `dbi_v1_config.yaml`.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Series class</w:t>
            </w:r>
          </w:p>
        </w:tc>
        <w:tc>
          <w:tcPr>
            <w:tcW w:type="dxa" w:w="2880"/>
          </w:tcPr>
          <w:p>
            <w:r>
              <w:t>Acquisition standard (plain language)</w:t>
            </w:r>
          </w:p>
        </w:tc>
        <w:tc>
          <w:tcPr>
            <w:tcW w:type="dxa" w:w="2880"/>
          </w:tcPr>
          <w:p>
            <w:r>
              <w:t>Machine checks — all must match (regex on SeriesDescription)</w:t>
            </w:r>
          </w:p>
        </w:tc>
      </w:tr>
      <w:tr>
        <w:tc>
          <w:tcPr>
            <w:tcW w:type="dxa" w:w="2880"/>
          </w:tcPr>
          <w:p>
            <w:r>
              <w:t>dwi</w:t>
            </w:r>
          </w:p>
        </w:tc>
        <w:tc>
          <w:tcPr>
            <w:tcW w:type="dxa" w:w="2880"/>
          </w:tcPr>
          <w:p>
            <w:r>
              <w:t>Label as diffusion (DTI/DWI/dwi/dti). Include **AP** phase-encoding with a digit and explicit direction wording (e.g. DIRECTIONS, DIR, direction).</w:t>
            </w:r>
          </w:p>
        </w:tc>
        <w:tc>
          <w:tcPr>
            <w:tcW w:type="dxa" w:w="2880"/>
          </w:tcPr>
          <w:p>
            <w:r>
              <w:t>(?i)(DTI|DWI|dwi|dti)</w:t>
              <w:br/>
              <w:t>(?i)AP[_\s-]*\d+.*(DIRECTION|DIR|direction)s?</w:t>
            </w:r>
          </w:p>
        </w:tc>
      </w:tr>
      <w:tr>
        <w:tc>
          <w:tcPr>
            <w:tcW w:type="dxa" w:w="2880"/>
          </w:tcPr>
          <w:p>
            <w:r>
              <w:t>fmap</w:t>
            </w:r>
          </w:p>
        </w:tc>
        <w:tc>
          <w:tcPr>
            <w:tcW w:type="dxa" w:w="2880"/>
          </w:tcPr>
          <w:p>
            <w:r>
              <w:t>Label as field map / fmap / GRE field map (including FMRI…field style). Include **PA** encoding with a digit and explicit direction wording.</w:t>
            </w:r>
          </w:p>
        </w:tc>
        <w:tc>
          <w:tcPr>
            <w:tcW w:type="dxa" w:w="2880"/>
          </w:tcPr>
          <w:p>
            <w:r>
              <w:t>(?i)(field[\s_-]*map|fmap|gre_field|GRE_FIELD|FMRI.*field)</w:t>
              <w:br/>
              <w:t>(?i)PA[_\s-]*\d+.*(DIRECTION|DIR|direction)s?</w:t>
            </w:r>
          </w:p>
        </w:tc>
      </w:tr>
      <w:tr>
        <w:tc>
          <w:tcPr>
            <w:tcW w:type="dxa" w:w="2880"/>
          </w:tcPr>
          <w:p>
            <w:r>
              <w:t>bold</w:t>
            </w:r>
          </w:p>
        </w:tc>
        <w:tc>
          <w:tcPr>
            <w:tcW w:type="dxa" w:w="2880"/>
          </w:tcPr>
          <w:p>
            <w:r>
              <w:t>Include functional MRI intent: fMRI, fmri, BOLD, resting, task, EPI, or rsfMRI in SeriesDescription.</w:t>
            </w:r>
          </w:p>
        </w:tc>
        <w:tc>
          <w:tcPr>
            <w:tcW w:type="dxa" w:w="2880"/>
          </w:tcPr>
          <w:p>
            <w:r>
              <w:t>(?i)(fMRI|fmri|BOLD|RESTING|TASK|EPI|rsfMRI)</w:t>
            </w:r>
          </w:p>
        </w:tc>
      </w:tr>
      <w:tr>
        <w:tc>
          <w:tcPr>
            <w:tcW w:type="dxa" w:w="2880"/>
          </w:tcPr>
          <w:p>
            <w:r>
              <w:t>asl</w:t>
            </w:r>
          </w:p>
        </w:tc>
        <w:tc>
          <w:tcPr>
            <w:tcW w:type="dxa" w:w="2880"/>
          </w:tcPr>
          <w:p>
            <w:r>
              <w:t>Include **ASL** in SeriesDescription.</w:t>
            </w:r>
          </w:p>
        </w:tc>
        <w:tc>
          <w:tcPr>
            <w:tcW w:type="dxa" w:w="2880"/>
          </w:tcPr>
          <w:p>
            <w:r>
              <w:t>(?i)ASL</w:t>
            </w:r>
          </w:p>
        </w:tc>
      </w:tr>
      <w:tr>
        <w:tc>
          <w:tcPr>
            <w:tcW w:type="dxa" w:w="2880"/>
          </w:tcPr>
          <w:p>
            <w:r>
              <w:t>flair</w:t>
            </w:r>
          </w:p>
        </w:tc>
        <w:tc>
          <w:tcPr>
            <w:tcW w:type="dxa" w:w="2880"/>
          </w:tcPr>
          <w:p>
            <w:r>
              <w:t>End SeriesDescription with **FLAIR** or **flair** (trailing spaces allowed).</w:t>
            </w:r>
          </w:p>
        </w:tc>
        <w:tc>
          <w:tcPr>
            <w:tcW w:type="dxa" w:w="2880"/>
          </w:tcPr>
          <w:p>
            <w:r>
              <w:t>(?i)(FLAIR|flair)\s*\Z</w:t>
            </w:r>
          </w:p>
        </w:tc>
      </w:tr>
      <w:tr>
        <w:tc>
          <w:tcPr>
            <w:tcW w:type="dxa" w:w="2880"/>
          </w:tcPr>
          <w:p>
            <w:r>
              <w:t>perf</w:t>
            </w:r>
          </w:p>
        </w:tc>
        <w:tc>
          <w:tcPr>
            <w:tcW w:type="dxa" w:w="2880"/>
          </w:tcPr>
          <w:p>
            <w:r>
              <w:t>Include perfusion-related wording: perf, DSC, DCE, or CBF.</w:t>
            </w:r>
          </w:p>
        </w:tc>
        <w:tc>
          <w:tcPr>
            <w:tcW w:type="dxa" w:w="2880"/>
          </w:tcPr>
          <w:p>
            <w:r>
              <w:t>(?i)(perf|DSC|DCE|CBF)</w:t>
            </w:r>
          </w:p>
        </w:tc>
      </w:tr>
      <w:tr>
        <w:tc>
          <w:tcPr>
            <w:tcW w:type="dxa" w:w="2880"/>
          </w:tcPr>
          <w:p>
            <w:r>
              <w:t>t1_anat</w:t>
            </w:r>
          </w:p>
        </w:tc>
        <w:tc>
          <w:tcPr>
            <w:tcW w:type="dxa" w:w="2880"/>
          </w:tcPr>
          <w:p>
            <w:r>
              <w:t>End SeriesDescription with a structural T1 sequence token: MPRAGE, SPGR, FSPGR, BRAVO, or IR FSPGR.</w:t>
            </w:r>
          </w:p>
        </w:tc>
        <w:tc>
          <w:tcPr>
            <w:tcW w:type="dxa" w:w="2880"/>
          </w:tcPr>
          <w:p>
            <w:r>
              <w:t>(?i)(MPRAGE|SPGR|FSPGR|BRAVO|IR[\s_]FSPGR)\s*\Z</w:t>
            </w:r>
          </w:p>
        </w:tc>
      </w:tr>
      <w:tr>
        <w:tc>
          <w:tcPr>
            <w:tcW w:type="dxa" w:w="2880"/>
          </w:tcPr>
          <w:p>
            <w:r>
              <w:t>localizer</w:t>
            </w:r>
          </w:p>
        </w:tc>
        <w:tc>
          <w:tcPr>
            <w:tcW w:type="dxa" w:w="2880"/>
          </w:tcPr>
          <w:p>
            <w:r>
              <w:t>Use localizer, Localizer, LOC, scout, or Scout naming per site SOP.</w:t>
            </w:r>
          </w:p>
        </w:tc>
        <w:tc>
          <w:tcPr>
            <w:tcW w:type="dxa" w:w="2880"/>
          </w:tcPr>
          <w:p>
            <w:r>
              <w:t>(?i)(localizer|Localizer|LOC|scout|Scout)</w:t>
            </w:r>
          </w:p>
        </w:tc>
      </w:tr>
      <w:tr>
        <w:tc>
          <w:tcPr>
            <w:tcW w:type="dxa" w:w="2880"/>
          </w:tcPr>
          <w:p>
            <w:r>
              <w:t>t2_anat</w:t>
            </w:r>
          </w:p>
        </w:tc>
        <w:tc>
          <w:tcPr>
            <w:tcW w:type="dxa" w:w="2880"/>
          </w:tcPr>
          <w:p>
            <w:r>
              <w:t>Include **T2** or **BLADE**; end with **THIN** (thin-section T2 convention).</w:t>
            </w:r>
          </w:p>
        </w:tc>
        <w:tc>
          <w:tcPr>
            <w:tcW w:type="dxa" w:w="2880"/>
          </w:tcPr>
          <w:p>
            <w:r>
              <w:t>(?i)(T2|BLADE)</w:t>
              <w:br/>
              <w:t>(?i)THIN\s*\Z</w:t>
            </w:r>
          </w:p>
        </w:tc>
      </w:tr>
      <w:tr>
        <w:tc>
          <w:tcPr>
            <w:tcW w:type="dxa" w:w="2880"/>
          </w:tcPr>
          <w:p>
            <w:r>
              <w:t>swi</w:t>
            </w:r>
          </w:p>
        </w:tc>
        <w:tc>
          <w:tcPr>
            <w:tcW w:type="dxa" w:w="2880"/>
          </w:tcPr>
          <w:p>
            <w:r>
              <w:t>Include **SWI** or **SWAN** in SeriesDescription.</w:t>
            </w:r>
          </w:p>
        </w:tc>
        <w:tc>
          <w:tcPr>
            <w:tcW w:type="dxa" w:w="2880"/>
          </w:tcPr>
          <w:p>
            <w:r>
              <w:t>(?i)(SWI|SWAN)</w:t>
            </w:r>
          </w:p>
        </w:tc>
      </w:tr>
    </w:tbl>
    <w:p>
      <w:pPr>
        <w:pStyle w:val="Heading2"/>
      </w:pPr>
      <w:r>
        <w:t>6.2 Derived and reformatted series</w:t>
      </w:r>
    </w:p>
    <w:p>
      <w:r>
        <w:t>When **folder basename + SeriesDescription + ProtocolName** contains a **derivative marker** as a delimiter-bounded token (same idea as `naming.derivative_tokens`), **SeriesDescription** should end with **reformat** or **derived** so pipelines can tell curated outputs from raw acquisitions. Configured under `naming.derived_scan_naming` in YAML.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Enabled in config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Derivative markers (combined text)</w:t>
            </w:r>
          </w:p>
        </w:tc>
        <w:tc>
          <w:tcPr>
            <w:tcW w:type="dxa" w:w="4320"/>
          </w:tcPr>
          <w:p>
            <w:r>
              <w:t>ADC, FA, TRACE, TRACEW, ColFA, MD, RGB, mIP, MIP, ORIG</w:t>
            </w:r>
          </w:p>
        </w:tc>
      </w:tr>
      <w:tr>
        <w:tc>
          <w:tcPr>
            <w:tcW w:type="dxa" w:w="4320"/>
          </w:tcPr>
          <w:p>
            <w:r>
              <w:t>SeriesDescription must match (suffix)</w:t>
            </w:r>
          </w:p>
        </w:tc>
        <w:tc>
          <w:tcPr>
            <w:tcW w:type="dxa" w:w="4320"/>
          </w:tcPr>
          <w:p>
            <w:r>
              <w:t>(?i)(reformat|derived)\s*\Z</w:t>
            </w:r>
          </w:p>
        </w:tc>
      </w:tr>
    </w:tbl>
    <w:p>
      <w:pPr>
        <w:pStyle w:val="Heading1"/>
      </w:pPr>
      <w:r>
        <w:t>7. DWI and derived maps</w:t>
      </w:r>
    </w:p>
    <w:p>
      <w:r>
        <w:t>For diffusion, clearly distinguish **raw encoding series** from **derived** maps (ADC, FA, TRACE, etc.) in names and descriptions so pipelines do not treat scalars as raw DWI. DBI uses configurable derivative_tokens for gradient scoring; acquisition should avoid ambiguous labels that mix raw and derived intent.</w:t>
      </w:r>
    </w:p>
    <w:p>
      <w:pPr>
        <w:pStyle w:val="Heading1"/>
      </w:pPr>
      <w:r>
        <w:t>8. Governance</w:t>
      </w:r>
    </w:p>
    <w:p>
      <w:pPr>
        <w:pStyle w:val="ListBullet"/>
      </w:pPr>
      <w:r>
        <w:t>Update `dbi_v1_config.yaml` when conventions change; cite config version or hash in study protocols and methods.</w:t>
      </w:r>
    </w:p>
    <w:p>
      <w:pPr>
        <w:pStyle w:val="ListBullet"/>
      </w:pPr>
      <w:r>
        <w:t>Re-run `run_audit.py` after YAML changes to refresh cohort statistics.</w:t>
      </w:r>
    </w:p>
    <w:p>
      <w:pPr>
        <w:pStyle w:val="ListBullet"/>
      </w:pPr>
      <w:r>
        <w:t>This document is descriptive SOP text; enforceability is institutional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