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Research Project Documentation</w:t>
      </w:r>
    </w:p>
    <w:p>
      <w:pPr>
        <w:jc w:val="center"/>
      </w:pPr>
      <w:r>
        <w:rPr>
          <w:b/>
          <w:sz w:val="28"/>
        </w:rPr>
        <w:t>AI-Derived Acquisition Standards for Diffusion MRI (DWI) and Data Birth Integrity (DBI)</w:t>
      </w:r>
    </w:p>
    <w:p/>
    <w:p>
      <w:pPr>
        <w:pStyle w:val="Heading1"/>
      </w:pPr>
      <w:r>
        <w:t>1. Project Title</w:t>
      </w:r>
    </w:p>
    <w:p>
      <w:r>
        <w:t>AI-Derived Acquisition Contracts for Diffusion MRI: Improving Biomarker Stability and Model Generalization through Data Birth Integrity</w:t>
      </w:r>
    </w:p>
    <w:p>
      <w:pPr>
        <w:pStyle w:val="Heading1"/>
      </w:pPr>
      <w:r>
        <w:t>2. Executive Summary</w:t>
      </w:r>
    </w:p>
    <w:p>
      <w:r>
        <w:t>Diffusion-weighted imaging (DWI) is widely used in neuroscience and clinical research, yet suffers from high acquisition variability, leading to:</w:t>
      </w:r>
    </w:p>
    <w:p>
      <w:pPr>
        <w:pStyle w:val="ListBullet"/>
      </w:pPr>
      <w:r>
        <w:t>Poor reproducibility</w:t>
      </w:r>
    </w:p>
    <w:p>
      <w:pPr>
        <w:pStyle w:val="ListBullet"/>
      </w:pPr>
      <w:r>
        <w:t>Limited biomarker reliability</w:t>
      </w:r>
    </w:p>
    <w:p>
      <w:pPr>
        <w:pStyle w:val="ListBullet"/>
      </w:pPr>
      <w:r>
        <w:t>Reduced cross-site generalization</w:t>
      </w:r>
    </w:p>
    <w:p>
      <w:pPr>
        <w:pStyle w:val="ListBullet"/>
      </w:pPr>
      <w:r>
        <w:t>Scarcity of reusable public datasets</w:t>
      </w:r>
    </w:p>
    <w:p>
      <w:r>
        <w:t>This project proposes a new framework:</w:t>
      </w:r>
    </w:p>
    <w:p>
      <w:pPr>
        <w:pStyle w:val="ListBullet"/>
      </w:pPr>
      <w:r>
        <w:t>Deriving acquisition-level standards from the structural requirements of AI and automation systems.</w:t>
      </w:r>
    </w:p>
    <w:p>
      <w:r>
        <w:t>We introduce:</w:t>
      </w:r>
    </w:p>
    <w:p>
      <w:pPr>
        <w:pStyle w:val="ListBullet"/>
      </w:pPr>
      <w:r>
        <w:t>AI-Ready Acquisition Schema (AI-RAS) for DWI</w:t>
      </w:r>
    </w:p>
    <w:p>
      <w:pPr>
        <w:pStyle w:val="ListBullet"/>
      </w:pPr>
      <w:r>
        <w:t>Data Birth Integrity (DBI) as a measurable structural quality metric</w:t>
      </w:r>
    </w:p>
    <w:p>
      <w:pPr>
        <w:pStyle w:val="ListBullet"/>
      </w:pPr>
      <w:r>
        <w:t>A validation framework to enforce acquisition constraints</w:t>
      </w:r>
    </w:p>
    <w:p>
      <w:pPr>
        <w:pStyle w:val="ListBullet"/>
      </w:pPr>
      <w:r>
        <w:t>An empirical evaluation of impact on biomarkers and AI models</w:t>
      </w:r>
    </w:p>
    <w:p>
      <w:r>
        <w:t>The project will be implemented at an imaging center and evaluated through controlled experiments.</w:t>
      </w:r>
    </w:p>
    <w:p>
      <w:pPr>
        <w:pStyle w:val="Heading1"/>
      </w:pPr>
      <w:r>
        <w:t>3. Problem Statement</w:t>
      </w:r>
    </w:p>
    <w:p>
      <w:r>
        <w:t>Current DWI datasets exhibit:</w:t>
      </w:r>
    </w:p>
    <w:p>
      <w:pPr>
        <w:pStyle w:val="ListBullet"/>
      </w:pPr>
      <w:r>
        <w:t>Inconsistent b-values</w:t>
      </w:r>
    </w:p>
    <w:p>
      <w:pPr>
        <w:pStyle w:val="ListBullet"/>
      </w:pPr>
      <w:r>
        <w:t>Variable gradient directions</w:t>
      </w:r>
    </w:p>
    <w:p>
      <w:pPr>
        <w:pStyle w:val="ListBullet"/>
      </w:pPr>
      <w:r>
        <w:t>Missing or incomplete metadata</w:t>
      </w:r>
    </w:p>
    <w:p>
      <w:pPr>
        <w:pStyle w:val="ListBullet"/>
      </w:pPr>
      <w:r>
        <w:t>Scanner-dependent variability</w:t>
      </w:r>
    </w:p>
    <w:p>
      <w:pPr>
        <w:pStyle w:val="ListBullet"/>
      </w:pPr>
      <w:r>
        <w:t>Protocol drift across time and sites</w:t>
      </w:r>
    </w:p>
    <w:p>
      <w:r>
        <w:t>These inconsistencies:</w:t>
      </w:r>
    </w:p>
    <w:p>
      <w:pPr>
        <w:pStyle w:val="ListBullet"/>
      </w:pPr>
      <w:r>
        <w:t>Increase harmonization burden</w:t>
      </w:r>
    </w:p>
    <w:p>
      <w:pPr>
        <w:pStyle w:val="ListBullet"/>
      </w:pPr>
      <w:r>
        <w:t>Reduce reproducibility</w:t>
      </w:r>
    </w:p>
    <w:p>
      <w:pPr>
        <w:pStyle w:val="ListBullet"/>
      </w:pPr>
      <w:r>
        <w:t>Introduce bias into AI models</w:t>
      </w:r>
    </w:p>
    <w:p>
      <w:pPr>
        <w:pStyle w:val="ListBullet"/>
      </w:pPr>
      <w:r>
        <w:t>Limit dataset reuse</w:t>
      </w:r>
    </w:p>
    <w:p>
      <w:r>
        <w:t>Existing standards such as:</w:t>
      </w:r>
    </w:p>
    <w:p>
      <w:pPr>
        <w:pStyle w:val="ListBullet"/>
      </w:pPr>
      <w:r>
        <w:t>DICOM</w:t>
      </w:r>
    </w:p>
    <w:p>
      <w:pPr>
        <w:pStyle w:val="ListBullet"/>
      </w:pPr>
      <w:r>
        <w:t>Brain Imaging Data Structure</w:t>
      </w:r>
    </w:p>
    <w:p>
      <w:r>
        <w:t>do not enforce acquisition-level consistency.</w:t>
      </w:r>
    </w:p>
    <w:p>
      <w:pPr>
        <w:pStyle w:val="Heading1"/>
      </w:pPr>
      <w:r>
        <w:t>4. Research Hypothesis</w:t>
      </w:r>
    </w:p>
    <w:p>
      <w:r>
        <w:t>Enforcing AI-derived acquisition constraints at data creation improves diffusion biomarker reproducibility and machine learning generalization compared to standard post-hoc harmonization approaches.</w:t>
      </w:r>
    </w:p>
    <w:p>
      <w:pPr>
        <w:pStyle w:val="Heading1"/>
      </w:pPr>
      <w:r>
        <w:t>5. Conceptual Framework</w:t>
      </w:r>
    </w:p>
    <w:p>
      <w:pPr>
        <w:pStyle w:val="Heading2"/>
      </w:pPr>
      <w:r>
        <w:t>5.1 Data Generation Pipeline</w:t>
      </w:r>
    </w:p>
    <w:p>
      <w:r>
        <w:t>Reality → Measurement → Encoding → Dataset → AI Model</w:t>
      </w:r>
    </w:p>
    <w:p>
      <w:r>
        <w:t>Errors introduced at the measurement and encoding stages propagate downstream.</w:t>
      </w:r>
    </w:p>
    <w:p>
      <w:pPr>
        <w:pStyle w:val="Heading2"/>
      </w:pPr>
      <w:r>
        <w:t>5.2 Key Definitions</w:t>
      </w:r>
    </w:p>
    <w:p>
      <w:r>
        <w:rPr>
          <w:b/>
        </w:rPr>
        <w:t xml:space="preserve">Data Birth Integrity (DBI). </w:t>
      </w:r>
      <w:r>
        <w:t>A quantitative measure of structural correctness at data creation.</w:t>
      </w:r>
    </w:p>
    <w:p>
      <w:r>
        <w:rPr>
          <w:b/>
        </w:rPr>
        <w:t xml:space="preserve">AI-Ready Acquisition Schema (AI-RAS). </w:t>
      </w:r>
      <w:r>
        <w:t>A set of acquisition constraints derived from AI pipeline requirements.</w:t>
      </w:r>
    </w:p>
    <w:p>
      <w:r>
        <w:rPr>
          <w:b/>
        </w:rPr>
        <w:t xml:space="preserve">Acquisition Contract. </w:t>
      </w:r>
      <w:r>
        <w:t>A versioned specification defining required acquisition conditions.</w:t>
      </w:r>
    </w:p>
    <w:p>
      <w:r>
        <w:rPr>
          <w:b/>
        </w:rPr>
        <w:t xml:space="preserve">Protocol Drift Index (PDI). </w:t>
      </w:r>
      <w:r>
        <w:t>A measure of deviation from defined acquisition protocol across time or sites.</w:t>
      </w:r>
    </w:p>
    <w:p>
      <w:pPr>
        <w:pStyle w:val="Heading1"/>
      </w:pPr>
      <w:r>
        <w:t>6. AI-Derived DWI Acquisition Standards</w:t>
      </w:r>
    </w:p>
    <w:p>
      <w:r>
        <w:t>These standards are derived from requirements of diffusion modeling, tractography, and machine learning pipelines.</w:t>
      </w:r>
    </w:p>
    <w:p>
      <w:pPr>
        <w:pStyle w:val="Heading2"/>
      </w:pPr>
      <w:r>
        <w:t>6.1 Multi-Shell Requirement</w:t>
      </w:r>
    </w:p>
    <w:p>
      <w:r>
        <w:t>Must include:</w:t>
      </w:r>
    </w:p>
    <w:p>
      <w:pPr>
        <w:pStyle w:val="ListBullet"/>
      </w:pPr>
      <w:r>
        <w:t>b = 0</w:t>
      </w:r>
    </w:p>
    <w:p>
      <w:pPr>
        <w:pStyle w:val="ListBullet"/>
      </w:pPr>
      <w:r>
        <w:t>≥1 diffusion shell ≥1000</w:t>
      </w:r>
    </w:p>
    <w:p>
      <w:pPr>
        <w:pStyle w:val="ListBullet"/>
      </w:pPr>
      <w:r>
        <w:t>Prefer multi-shell acquisition (e.g., 0, 1000, 2000)</w:t>
      </w:r>
    </w:p>
    <w:p>
      <w:pPr>
        <w:pStyle w:val="Heading2"/>
      </w:pPr>
      <w:r>
        <w:t>6.2 Gradient Direction Requirement</w:t>
      </w:r>
    </w:p>
    <w:p>
      <w:r>
        <w:t>Minimum:</w:t>
      </w:r>
    </w:p>
    <w:p>
      <w:pPr>
        <w:pStyle w:val="ListBullet"/>
      </w:pPr>
      <w:r>
        <w:t>≥30 directions (single-shell)</w:t>
      </w:r>
    </w:p>
    <w:p>
      <w:pPr>
        <w:pStyle w:val="ListBullet"/>
      </w:pPr>
      <w:r>
        <w:t>≥60 directions (multi-shell)</w:t>
      </w:r>
    </w:p>
    <w:p>
      <w:pPr>
        <w:pStyle w:val="Heading2"/>
      </w:pPr>
      <w:r>
        <w:t>6.3 Gradient Table Integrity</w:t>
      </w:r>
    </w:p>
    <w:p>
      <w:r>
        <w:t>Mandatory presence of:</w:t>
      </w:r>
    </w:p>
    <w:p>
      <w:pPr>
        <w:pStyle w:val="ListBullet"/>
      </w:pPr>
      <w:r>
        <w:t>bvals</w:t>
      </w:r>
    </w:p>
    <w:p>
      <w:pPr>
        <w:pStyle w:val="ListBullet"/>
      </w:pPr>
      <w:r>
        <w:t>bvecs</w:t>
      </w:r>
    </w:p>
    <w:p>
      <w:r>
        <w:t>Alignment and consistency checks required.</w:t>
      </w:r>
    </w:p>
    <w:p>
      <w:pPr>
        <w:pStyle w:val="Heading2"/>
      </w:pPr>
      <w:r>
        <w:t>6.4 Spatial Resolution Constraint</w:t>
      </w:r>
    </w:p>
    <w:p>
      <w:r>
        <w:t>Target voxel size: ~2 mm isotropic (acceptable range defined).</w:t>
      </w:r>
    </w:p>
    <w:p>
      <w:pPr>
        <w:pStyle w:val="Heading2"/>
      </w:pPr>
      <w:r>
        <w:t>6.5 Phase Encoding Metadata</w:t>
      </w:r>
    </w:p>
    <w:p>
      <w:r>
        <w:t>Required fields:</w:t>
      </w:r>
    </w:p>
    <w:p>
      <w:pPr>
        <w:pStyle w:val="ListBullet"/>
      </w:pPr>
      <w:r>
        <w:t>PhaseEncodingDirection</w:t>
      </w:r>
    </w:p>
    <w:p>
      <w:pPr>
        <w:pStyle w:val="ListBullet"/>
      </w:pPr>
      <w:r>
        <w:t>TotalReadoutTime</w:t>
      </w:r>
    </w:p>
    <w:p>
      <w:pPr>
        <w:pStyle w:val="ListBullet"/>
      </w:pPr>
      <w:r>
        <w:t>Fieldmap availability (if applicable)</w:t>
      </w:r>
    </w:p>
    <w:p>
      <w:pPr>
        <w:pStyle w:val="Heading2"/>
      </w:pPr>
      <w:r>
        <w:t>6.6 Protocol Versioning</w:t>
      </w:r>
    </w:p>
    <w:p>
      <w:r>
        <w:t>Each acquisition must include: protocol_version = "DWI_V1.0"</w:t>
      </w:r>
    </w:p>
    <w:p>
      <w:pPr>
        <w:pStyle w:val="Heading2"/>
      </w:pPr>
      <w:r>
        <w:t>6.7 Naming Consistency</w:t>
      </w:r>
    </w:p>
    <w:p>
      <w:r>
        <w:t>Example:</w:t>
      </w:r>
    </w:p>
    <w:p>
      <w:pPr>
        <w:pStyle w:val="ListBullet"/>
      </w:pPr>
      <w:r>
        <w:t>sub-001_ses-01_dwi.nii.gz</w:t>
      </w:r>
    </w:p>
    <w:p>
      <w:pPr>
        <w:pStyle w:val="ListBullet"/>
      </w:pPr>
      <w:r>
        <w:t>sub-001_ses-01_dwi.bval</w:t>
      </w:r>
    </w:p>
    <w:p>
      <w:pPr>
        <w:pStyle w:val="ListBullet"/>
      </w:pPr>
      <w:r>
        <w:t>sub-001_ses-01_dwi.bvec</w:t>
      </w:r>
    </w:p>
    <w:p>
      <w:pPr>
        <w:pStyle w:val="Heading2"/>
      </w:pPr>
      <w:r>
        <w:t>6.8 Mandatory Metadata Fields</w:t>
      </w:r>
    </w:p>
    <w:p>
      <w:pPr>
        <w:pStyle w:val="ListBullet"/>
      </w:pPr>
      <w:r>
        <w:t>b-values</w:t>
      </w:r>
    </w:p>
    <w:p>
      <w:pPr>
        <w:pStyle w:val="ListBullet"/>
      </w:pPr>
      <w:r>
        <w:t>gradient directions</w:t>
      </w:r>
    </w:p>
    <w:p>
      <w:pPr>
        <w:pStyle w:val="ListBullet"/>
      </w:pPr>
      <w:r>
        <w:t>voxel size</w:t>
      </w:r>
    </w:p>
    <w:p>
      <w:pPr>
        <w:pStyle w:val="ListBullet"/>
      </w:pPr>
      <w:r>
        <w:t>TE/TR</w:t>
      </w:r>
    </w:p>
    <w:p>
      <w:pPr>
        <w:pStyle w:val="ListBullet"/>
      </w:pPr>
      <w:r>
        <w:t>scanner vendor</w:t>
      </w:r>
    </w:p>
    <w:p>
      <w:pPr>
        <w:pStyle w:val="ListBullet"/>
      </w:pPr>
      <w:r>
        <w:t>field strength</w:t>
      </w:r>
    </w:p>
    <w:p>
      <w:pPr>
        <w:pStyle w:val="Heading1"/>
      </w:pPr>
      <w:r>
        <w:t>7. Data Birth Integrity (DBI) Metric</w:t>
      </w:r>
    </w:p>
    <w:p>
      <w:pPr>
        <w:pStyle w:val="Heading2"/>
      </w:pPr>
      <w:r>
        <w:t>7.1 DBI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Metadata completeness</w:t>
            </w:r>
          </w:p>
        </w:tc>
        <w:tc>
          <w:tcPr>
            <w:tcW w:type="dxa" w:w="4320"/>
          </w:tcPr>
          <w:p>
            <w:r>
              <w:t>Required fields present</w:t>
            </w:r>
          </w:p>
        </w:tc>
      </w:tr>
      <w:tr>
        <w:tc>
          <w:tcPr>
            <w:tcW w:type="dxa" w:w="4320"/>
          </w:tcPr>
          <w:p>
            <w:r>
              <w:t>Protocol conformity</w:t>
            </w:r>
          </w:p>
        </w:tc>
        <w:tc>
          <w:tcPr>
            <w:tcW w:type="dxa" w:w="4320"/>
          </w:tcPr>
          <w:p>
            <w:r>
              <w:t>Matches acquisition contract</w:t>
            </w:r>
          </w:p>
        </w:tc>
      </w:tr>
      <w:tr>
        <w:tc>
          <w:tcPr>
            <w:tcW w:type="dxa" w:w="4320"/>
          </w:tcPr>
          <w:p>
            <w:r>
              <w:t>Gradient integrity</w:t>
            </w:r>
          </w:p>
        </w:tc>
        <w:tc>
          <w:tcPr>
            <w:tcW w:type="dxa" w:w="4320"/>
          </w:tcPr>
          <w:p>
            <w:r>
              <w:t>Valid diffusion encoding</w:t>
            </w:r>
          </w:p>
        </w:tc>
      </w:tr>
      <w:tr>
        <w:tc>
          <w:tcPr>
            <w:tcW w:type="dxa" w:w="4320"/>
          </w:tcPr>
          <w:p>
            <w:r>
              <w:t>Spatial consistency</w:t>
            </w:r>
          </w:p>
        </w:tc>
        <w:tc>
          <w:tcPr>
            <w:tcW w:type="dxa" w:w="4320"/>
          </w:tcPr>
          <w:p>
            <w:r>
              <w:t>Voxel size within range</w:t>
            </w:r>
          </w:p>
        </w:tc>
      </w:tr>
      <w:tr>
        <w:tc>
          <w:tcPr>
            <w:tcW w:type="dxa" w:w="4320"/>
          </w:tcPr>
          <w:p>
            <w:r>
              <w:t>Naming compliance</w:t>
            </w:r>
          </w:p>
        </w:tc>
        <w:tc>
          <w:tcPr>
            <w:tcW w:type="dxa" w:w="4320"/>
          </w:tcPr>
          <w:p>
            <w:r>
              <w:t>Standardized naming</w:t>
            </w:r>
          </w:p>
        </w:tc>
      </w:tr>
      <w:tr>
        <w:tc>
          <w:tcPr>
            <w:tcW w:type="dxa" w:w="4320"/>
          </w:tcPr>
          <w:p>
            <w:r>
              <w:t>Drift control</w:t>
            </w:r>
          </w:p>
        </w:tc>
        <w:tc>
          <w:tcPr>
            <w:tcW w:type="dxa" w:w="4320"/>
          </w:tcPr>
          <w:p>
            <w:r>
              <w:t>Protocol adherence over time</w:t>
            </w:r>
          </w:p>
        </w:tc>
      </w:tr>
    </w:tbl>
    <w:p>
      <w:pPr>
        <w:pStyle w:val="Heading2"/>
      </w:pPr>
      <w:r>
        <w:t>7.2 Example DBI Formula</w:t>
      </w:r>
    </w:p>
    <w:p>
      <w:r>
        <w:t>DBI = w1*M + w2*P + w3*G + w4*S + w5*N + w6*D</w:t>
      </w:r>
    </w:p>
    <w:p>
      <w:r>
        <w:t>Where:</w:t>
      </w:r>
    </w:p>
    <w:p>
      <w:pPr>
        <w:pStyle w:val="ListBullet"/>
      </w:pPr>
      <w:r>
        <w:t>M = metadata completeness</w:t>
      </w:r>
    </w:p>
    <w:p>
      <w:pPr>
        <w:pStyle w:val="ListBullet"/>
      </w:pPr>
      <w:r>
        <w:t>P = protocol conformity</w:t>
      </w:r>
    </w:p>
    <w:p>
      <w:pPr>
        <w:pStyle w:val="ListBullet"/>
      </w:pPr>
      <w:r>
        <w:t>G = gradient integrity</w:t>
      </w:r>
    </w:p>
    <w:p>
      <w:pPr>
        <w:pStyle w:val="ListBullet"/>
      </w:pPr>
      <w:r>
        <w:t>S = spatial consistency</w:t>
      </w:r>
    </w:p>
    <w:p>
      <w:pPr>
        <w:pStyle w:val="ListBullet"/>
      </w:pPr>
      <w:r>
        <w:t>N = naming compliance</w:t>
      </w:r>
    </w:p>
    <w:p>
      <w:pPr>
        <w:pStyle w:val="ListBullet"/>
      </w:pPr>
      <w:r>
        <w:t>D = drift adherence</w:t>
      </w:r>
    </w:p>
    <w:p>
      <w:pPr>
        <w:pStyle w:val="Heading1"/>
      </w:pPr>
      <w:r>
        <w:t>8. Methodology</w:t>
      </w:r>
    </w:p>
    <w:p>
      <w:pPr>
        <w:pStyle w:val="Heading2"/>
      </w:pPr>
      <w:r>
        <w:t>8.1 Study Design</w:t>
      </w:r>
    </w:p>
    <w:p>
      <w:r>
        <w:t>Two conditions: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 A</w:t>
            </w:r>
          </w:p>
        </w:tc>
        <w:tc>
          <w:tcPr>
            <w:tcW w:type="dxa" w:w="4320"/>
          </w:tcPr>
          <w:p>
            <w:r>
              <w:t>Condition B</w:t>
            </w:r>
          </w:p>
        </w:tc>
      </w:tr>
      <w:tr>
        <w:tc>
          <w:tcPr>
            <w:tcW w:type="dxa" w:w="4320"/>
          </w:tcPr>
          <w:p>
            <w:r>
              <w:t>Standard acquisition</w:t>
            </w:r>
          </w:p>
        </w:tc>
        <w:tc>
          <w:tcPr>
            <w:tcW w:type="dxa" w:w="4320"/>
          </w:tcPr>
          <w:p>
            <w:r>
              <w:t>AI-RAS enforced acquisition</w:t>
            </w:r>
          </w:p>
        </w:tc>
      </w:tr>
    </w:tbl>
    <w:p>
      <w:pPr>
        <w:pStyle w:val="Heading2"/>
      </w:pPr>
      <w:r>
        <w:t>8.2 Data Collection</w:t>
      </w:r>
    </w:p>
    <w:p>
      <w:pPr>
        <w:pStyle w:val="ListBullet"/>
      </w:pPr>
      <w:r>
        <w:t>Retrospective dataset (baseline)</w:t>
      </w:r>
    </w:p>
    <w:p>
      <w:pPr>
        <w:pStyle w:val="ListBullet"/>
      </w:pPr>
      <w:r>
        <w:t>Prospective dataset (after enforcement)</w:t>
      </w:r>
    </w:p>
    <w:p>
      <w:pPr>
        <w:pStyle w:val="Heading2"/>
      </w:pPr>
      <w:r>
        <w:t>8.3 Metrics</w:t>
      </w:r>
    </w:p>
    <w:p>
      <w:r>
        <w:rPr>
          <w:b/>
        </w:rPr>
        <w:t>Structural Metrics:</w:t>
      </w:r>
    </w:p>
    <w:p>
      <w:pPr>
        <w:pStyle w:val="ListBullet"/>
      </w:pPr>
      <w:r>
        <w:t>% missing metadata</w:t>
      </w:r>
    </w:p>
    <w:p>
      <w:pPr>
        <w:pStyle w:val="ListBullet"/>
      </w:pPr>
      <w:r>
        <w:t>Naming inconsistency rate</w:t>
      </w:r>
    </w:p>
    <w:p>
      <w:pPr>
        <w:pStyle w:val="ListBullet"/>
      </w:pPr>
      <w:r>
        <w:t>DBI score</w:t>
      </w:r>
    </w:p>
    <w:p>
      <w:r>
        <w:rPr>
          <w:b/>
        </w:rPr>
        <w:t>Operational Metrics:</w:t>
      </w:r>
    </w:p>
    <w:p>
      <w:pPr>
        <w:pStyle w:val="ListBullet"/>
      </w:pPr>
      <w:r>
        <w:t>Cleaning time (hours)</w:t>
      </w:r>
    </w:p>
    <w:p>
      <w:pPr>
        <w:pStyle w:val="ListBullet"/>
      </w:pPr>
      <w:r>
        <w:t>Pipeline failure rate</w:t>
      </w:r>
    </w:p>
    <w:p>
      <w:pPr>
        <w:pStyle w:val="ListBullet"/>
      </w:pPr>
      <w:r>
        <w:t>Reprocessing frequency</w:t>
      </w:r>
    </w:p>
    <w:p>
      <w:r>
        <w:rPr>
          <w:b/>
        </w:rPr>
        <w:t>AI Metrics:</w:t>
      </w:r>
    </w:p>
    <w:p>
      <w:pPr>
        <w:pStyle w:val="ListBullet"/>
      </w:pPr>
      <w:r>
        <w:t>Model AUC</w:t>
      </w:r>
    </w:p>
    <w:p>
      <w:pPr>
        <w:pStyle w:val="ListBullet"/>
      </w:pPr>
      <w:r>
        <w:t>Cross-site performance variance</w:t>
      </w:r>
    </w:p>
    <w:p>
      <w:pPr>
        <w:pStyle w:val="ListBullet"/>
      </w:pPr>
      <w:r>
        <w:t>Calibration stability</w:t>
      </w:r>
    </w:p>
    <w:p>
      <w:r>
        <w:rPr>
          <w:b/>
        </w:rPr>
        <w:t>Biomarker Metrics:</w:t>
      </w:r>
    </w:p>
    <w:p>
      <w:pPr>
        <w:pStyle w:val="ListBullet"/>
      </w:pPr>
      <w:r>
        <w:t>FA reproducibility</w:t>
      </w:r>
    </w:p>
    <w:p>
      <w:pPr>
        <w:pStyle w:val="ListBullet"/>
      </w:pPr>
      <w:r>
        <w:t>MD stability</w:t>
      </w:r>
    </w:p>
    <w:p>
      <w:pPr>
        <w:pStyle w:val="ListBullet"/>
      </w:pPr>
      <w:r>
        <w:t>Tractography consistency</w:t>
      </w:r>
    </w:p>
    <w:p>
      <w:pPr>
        <w:pStyle w:val="Heading2"/>
      </w:pPr>
      <w:r>
        <w:t>8.4 Statistical Analysis</w:t>
      </w:r>
    </w:p>
    <w:p>
      <w:pPr>
        <w:pStyle w:val="ListBullet"/>
      </w:pPr>
      <w:r>
        <w:t>t-tests for group comparison</w:t>
      </w:r>
    </w:p>
    <w:p>
      <w:pPr>
        <w:pStyle w:val="ListBullet"/>
      </w:pPr>
      <w:r>
        <w:t>Variance analysis</w:t>
      </w:r>
    </w:p>
    <w:p>
      <w:pPr>
        <w:pStyle w:val="ListBullet"/>
      </w:pPr>
      <w:r>
        <w:t>Effect size calculation</w:t>
      </w:r>
    </w:p>
    <w:p>
      <w:pPr>
        <w:pStyle w:val="ListBullet"/>
      </w:pPr>
      <w:r>
        <w:t>Correlation between DBI and model performance</w:t>
      </w:r>
    </w:p>
    <w:p>
      <w:pPr>
        <w:pStyle w:val="Heading1"/>
      </w:pPr>
      <w:r>
        <w:t>9. Implementation Plan</w:t>
      </w:r>
    </w:p>
    <w:p>
      <w:pPr>
        <w:pStyle w:val="Heading2"/>
      </w:pPr>
      <w:r>
        <w:t>Phase 1 — Baseline Analysis</w:t>
      </w:r>
    </w:p>
    <w:p>
      <w:pPr>
        <w:pStyle w:val="ListBullet"/>
      </w:pPr>
      <w:r>
        <w:t>Analyze historical DWI datasets</w:t>
      </w:r>
    </w:p>
    <w:p>
      <w:pPr>
        <w:pStyle w:val="ListBullet"/>
      </w:pPr>
      <w:r>
        <w:t>Compute DBI and PDI</w:t>
      </w:r>
    </w:p>
    <w:p>
      <w:pPr>
        <w:pStyle w:val="Heading2"/>
      </w:pPr>
      <w:r>
        <w:t>Phase 2 — Schema Definition</w:t>
      </w:r>
    </w:p>
    <w:p>
      <w:pPr>
        <w:pStyle w:val="ListBullet"/>
      </w:pPr>
      <w:r>
        <w:t>Define AI-RAS for DWI</w:t>
      </w:r>
    </w:p>
    <w:p>
      <w:pPr>
        <w:pStyle w:val="ListBullet"/>
      </w:pPr>
      <w:r>
        <w:t>Implement validation rules</w:t>
      </w:r>
    </w:p>
    <w:p>
      <w:pPr>
        <w:pStyle w:val="Heading2"/>
      </w:pPr>
      <w:r>
        <w:t>Phase 3 — Pilot Deployment</w:t>
      </w:r>
    </w:p>
    <w:p>
      <w:pPr>
        <w:pStyle w:val="ListBullet"/>
      </w:pPr>
      <w:r>
        <w:t>Apply at imaging center</w:t>
      </w:r>
    </w:p>
    <w:p>
      <w:pPr>
        <w:pStyle w:val="ListBullet"/>
      </w:pPr>
      <w:r>
        <w:t>Introduce validation at export stage</w:t>
      </w:r>
    </w:p>
    <w:p>
      <w:pPr>
        <w:pStyle w:val="Heading2"/>
      </w:pPr>
      <w:r>
        <w:t>Phase 4 — Evaluation</w:t>
      </w:r>
    </w:p>
    <w:p>
      <w:pPr>
        <w:pStyle w:val="ListBullet"/>
      </w:pPr>
      <w:r>
        <w:t>Compare before vs after</w:t>
      </w:r>
    </w:p>
    <w:p>
      <w:pPr>
        <w:pStyle w:val="ListBullet"/>
      </w:pPr>
      <w:r>
        <w:t>Analyze metrics</w:t>
      </w:r>
    </w:p>
    <w:p>
      <w:pPr>
        <w:pStyle w:val="Heading1"/>
      </w:pPr>
      <w:r>
        <w:t>10. Expected Outcomes</w:t>
      </w:r>
    </w:p>
    <w:p>
      <w:r>
        <w:rPr>
          <w:b/>
        </w:rPr>
        <w:t>Structural Improvements:</w:t>
      </w:r>
    </w:p>
    <w:p>
      <w:pPr>
        <w:pStyle w:val="ListBullet"/>
      </w:pPr>
      <w:r>
        <w:t>Increased metadata completeness</w:t>
      </w:r>
    </w:p>
    <w:p>
      <w:pPr>
        <w:pStyle w:val="ListBullet"/>
      </w:pPr>
      <w:r>
        <w:t>Reduced protocol drift</w:t>
      </w:r>
    </w:p>
    <w:p>
      <w:r>
        <w:rPr>
          <w:b/>
        </w:rPr>
        <w:t>Operational Improvements:</w:t>
      </w:r>
    </w:p>
    <w:p>
      <w:pPr>
        <w:pStyle w:val="ListBullet"/>
      </w:pPr>
      <w:r>
        <w:t>Reduced cleaning time</w:t>
      </w:r>
    </w:p>
    <w:p>
      <w:pPr>
        <w:pStyle w:val="ListBullet"/>
      </w:pPr>
      <w:r>
        <w:t>Fewer pipeline failures</w:t>
      </w:r>
    </w:p>
    <w:p>
      <w:r>
        <w:rPr>
          <w:b/>
        </w:rPr>
        <w:t>AI Improvements:</w:t>
      </w:r>
    </w:p>
    <w:p>
      <w:pPr>
        <w:pStyle w:val="ListBullet"/>
      </w:pPr>
      <w:r>
        <w:t>Reduced model variance</w:t>
      </w:r>
    </w:p>
    <w:p>
      <w:pPr>
        <w:pStyle w:val="ListBullet"/>
      </w:pPr>
      <w:r>
        <w:t>Improved generalization</w:t>
      </w:r>
    </w:p>
    <w:p>
      <w:r>
        <w:rPr>
          <w:b/>
        </w:rPr>
        <w:t>Scientific Impact:</w:t>
      </w:r>
    </w:p>
    <w:p>
      <w:pPr>
        <w:pStyle w:val="ListBullet"/>
      </w:pPr>
      <w:r>
        <w:t>More reproducible biomarkers</w:t>
      </w:r>
    </w:p>
    <w:p>
      <w:pPr>
        <w:pStyle w:val="ListBullet"/>
      </w:pPr>
      <w:r>
        <w:t>Increased dataset reusability</w:t>
      </w:r>
    </w:p>
    <w:p>
      <w:pPr>
        <w:pStyle w:val="Heading1"/>
      </w:pPr>
      <w:r>
        <w:t>11. Potential Contributions</w:t>
      </w:r>
    </w:p>
    <w:p>
      <w:r>
        <w:rPr>
          <w:b/>
        </w:rPr>
        <w:t>Scientific Contributions:</w:t>
      </w:r>
    </w:p>
    <w:p>
      <w:pPr>
        <w:pStyle w:val="ListBullet"/>
      </w:pPr>
      <w:r>
        <w:t>Formal definition of DBI</w:t>
      </w:r>
    </w:p>
    <w:p>
      <w:pPr>
        <w:pStyle w:val="ListBullet"/>
      </w:pPr>
      <w:r>
        <w:t>Empirical evidence linking acquisition structure to AI performance</w:t>
      </w:r>
    </w:p>
    <w:p>
      <w:pPr>
        <w:pStyle w:val="ListBullet"/>
      </w:pPr>
      <w:r>
        <w:t>Framework for acquisition-level standardization</w:t>
      </w:r>
    </w:p>
    <w:p>
      <w:r>
        <w:rPr>
          <w:b/>
        </w:rPr>
        <w:t>Technical Contributions:</w:t>
      </w:r>
    </w:p>
    <w:p>
      <w:pPr>
        <w:pStyle w:val="ListBullet"/>
      </w:pPr>
      <w:r>
        <w:t>AI-derived acquisition schema</w:t>
      </w:r>
    </w:p>
    <w:p>
      <w:pPr>
        <w:pStyle w:val="ListBullet"/>
      </w:pPr>
      <w:r>
        <w:t>Validation framework</w:t>
      </w:r>
    </w:p>
    <w:p>
      <w:pPr>
        <w:pStyle w:val="ListBullet"/>
      </w:pPr>
      <w:r>
        <w:t>Drift monitoring approach</w:t>
      </w:r>
    </w:p>
    <w:p>
      <w:r>
        <w:rPr>
          <w:b/>
        </w:rPr>
        <w:t>Practical Contributions:</w:t>
      </w:r>
    </w:p>
    <w:p>
      <w:pPr>
        <w:pStyle w:val="ListBullet"/>
      </w:pPr>
      <w:r>
        <w:t>Improved imaging workflows</w:t>
      </w:r>
    </w:p>
    <w:p>
      <w:pPr>
        <w:pStyle w:val="ListBullet"/>
      </w:pPr>
      <w:r>
        <w:t>Reduced harmonization burden</w:t>
      </w:r>
    </w:p>
    <w:p>
      <w:pPr>
        <w:pStyle w:val="ListBullet"/>
      </w:pPr>
      <w:r>
        <w:t>Better dataset sharing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Limited control over scanner hardware</w:t>
      </w:r>
    </w:p>
    <w:p>
      <w:pPr>
        <w:pStyle w:val="ListBullet"/>
      </w:pPr>
      <w:r>
        <w:t>Site-specific variability</w:t>
      </w:r>
    </w:p>
    <w:p>
      <w:pPr>
        <w:pStyle w:val="ListBullet"/>
      </w:pPr>
      <w:r>
        <w:t>Adoption resistance</w:t>
      </w:r>
    </w:p>
    <w:p>
      <w:pPr>
        <w:pStyle w:val="ListBullet"/>
      </w:pPr>
      <w:r>
        <w:t>Need for multi-site validation</w:t>
      </w:r>
    </w:p>
    <w:p>
      <w:pPr>
        <w:pStyle w:val="Heading1"/>
      </w:pPr>
      <w:r>
        <w:t>13. Future Work</w:t>
      </w:r>
    </w:p>
    <w:p>
      <w:pPr>
        <w:pStyle w:val="ListBullet"/>
      </w:pPr>
      <w:r>
        <w:t>Extend to other imaging modalities</w:t>
      </w:r>
    </w:p>
    <w:p>
      <w:pPr>
        <w:pStyle w:val="ListBullet"/>
      </w:pPr>
      <w:r>
        <w:t>Multi-site validation studies</w:t>
      </w:r>
    </w:p>
    <w:p>
      <w:pPr>
        <w:pStyle w:val="ListBullet"/>
      </w:pPr>
      <w:r>
        <w:t>Integration with clinical data models (e.g., OMOP Common Data Model)</w:t>
      </w:r>
    </w:p>
    <w:p>
      <w:pPr>
        <w:pStyle w:val="ListBullet"/>
      </w:pPr>
      <w:r>
        <w:t>Expansion into certification framework</w:t>
      </w:r>
    </w:p>
    <w:p>
      <w:pPr>
        <w:pStyle w:val="Heading1"/>
      </w:pPr>
      <w:r>
        <w:t>14. Broader Impact</w:t>
      </w:r>
    </w:p>
    <w:p>
      <w:r>
        <w:t>This work contributes to:</w:t>
      </w:r>
    </w:p>
    <w:p>
      <w:pPr>
        <w:pStyle w:val="ListBullet"/>
      </w:pPr>
      <w:r>
        <w:t>Reproducible science</w:t>
      </w:r>
    </w:p>
    <w:p>
      <w:pPr>
        <w:pStyle w:val="ListBullet"/>
      </w:pPr>
      <w:r>
        <w:t>Data-centric AI</w:t>
      </w:r>
    </w:p>
    <w:p>
      <w:pPr>
        <w:pStyle w:val="ListBullet"/>
      </w:pPr>
      <w:r>
        <w:t>FAIR data principles</w:t>
      </w:r>
    </w:p>
    <w:p>
      <w:pPr>
        <w:pStyle w:val="ListBullet"/>
      </w:pPr>
      <w:r>
        <w:t>Global data accessibility</w:t>
      </w:r>
    </w:p>
    <w:p>
      <w:pPr>
        <w:pStyle w:val="Heading1"/>
      </w:pPr>
      <w:r>
        <w:t>Final Statement</w:t>
      </w:r>
    </w:p>
    <w:p>
      <w:r>
        <w:t>This project reframes standardization: from post-hoc harmonization to preemptive structural enforcement at data creation.</w:t>
      </w:r>
    </w:p>
    <w:p>
      <w:r>
        <w:t>By grounding acquisition standards in AI requirements, this work aims to:</w:t>
      </w:r>
    </w:p>
    <w:p>
      <w:pPr>
        <w:pStyle w:val="ListBullet"/>
      </w:pPr>
      <w:r>
        <w:t>Improve reliability of scientific data</w:t>
      </w:r>
    </w:p>
    <w:p>
      <w:pPr>
        <w:pStyle w:val="ListBullet"/>
      </w:pPr>
      <w:r>
        <w:t>Enable scalable AI systems</w:t>
      </w:r>
    </w:p>
    <w:p>
      <w:pPr>
        <w:pStyle w:val="ListBullet"/>
      </w:pPr>
      <w:r>
        <w:t>Reduce structural inefficiencies in data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