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Thought experiment</w:t>
      </w:r>
    </w:p>
    <w:p/>
    <w:p>
      <w:pPr>
        <w:jc w:val="center"/>
      </w:pPr>
      <w:r>
        <w:rPr>
          <w:i/>
        </w:rPr>
        <w:t>Documentation synthesizing discussion on AI/automation-inspired imaging standards, CIDUR_data, NeuroImage targeting, evidence, and references.</w:t>
      </w:r>
    </w:p>
    <w:p/>
    <w:p>
      <w:pPr>
        <w:pStyle w:val="Heading1"/>
      </w:pPr>
      <w:r>
        <w:t>1. Context and project framing</w:t>
      </w:r>
    </w:p>
    <w:p>
      <w:r>
        <w:t>The underlying research direction is to propose AI- and automation-inspired acquisition and export standards, with Data Birth Integrity (DBI) as a measurable notion of structural correctness when research objects are created (acquisition plus first export), complementing post-hoc harmonization (e.g., ComBat) and representation standards (DICOM, BIDS).</w:t>
      </w:r>
    </w:p>
    <w:p>
      <w:pPr>
        <w:pStyle w:val="ListBullet"/>
      </w:pPr>
      <w:r>
        <w:t>Conceptual frame: AI-Ready Acquisition Schema (AI-RAS), acquisition contracts, protocol versioning, raw vs derived discipline, export gates, manifests.</w:t>
      </w:r>
    </w:p>
    <w:p>
      <w:pPr>
        <w:pStyle w:val="ListBullet"/>
      </w:pPr>
      <w:r>
        <w:t>Operational artifact: modality-level SOP-style guidance (AI_Ready_Acquisition_Standards_by_Modality.docx) suitable as Methods supplement material.</w:t>
      </w:r>
    </w:p>
    <w:p>
      <w:pPr>
        <w:pStyle w:val="Heading1"/>
      </w:pPr>
      <w:r>
        <w:t>2. CIDUR_data: what was characterized</w:t>
      </w:r>
    </w:p>
    <w:p>
      <w:r>
        <w:t>Exploratory analysis of /CIDUR_data (XNAT-style layout: EP*/EP*/*_MR_*/scans/.../DICOM/files/*.dcm) yielded the following empirical picture.</w:t>
      </w:r>
    </w:p>
    <w:p>
      <w:pPr>
        <w:pStyle w:val="Heading2"/>
      </w:pPr>
      <w:r>
        <w:t>2.1 Scanner hardware clusters</w:t>
      </w:r>
    </w:p>
    <w:p>
      <w:pPr>
        <w:pStyle w:val="ListBullet"/>
      </w:pPr>
      <w:r>
        <w:t>GE Medical Systems | SIGNA Premier | 3 T — largest share of MR sessions.</w:t>
      </w:r>
    </w:p>
    <w:p>
      <w:pPr>
        <w:pStyle w:val="ListBullet"/>
      </w:pPr>
      <w:r>
        <w:t>Siemens | Skyra | 3 T.</w:t>
      </w:r>
    </w:p>
    <w:p>
      <w:pPr>
        <w:pStyle w:val="ListBullet"/>
      </w:pPr>
      <w:r>
        <w:t>Siemens Healthineers | MAGNETOM Vida Fit | 3 T.</w:t>
      </w:r>
    </w:p>
    <w:p>
      <w:pPr>
        <w:pStyle w:val="ListBullet"/>
      </w:pPr>
      <w:r>
        <w:t>GE Medical Systems | SIGNA Artist | 1.5 T — smaller subset.</w:t>
      </w:r>
    </w:p>
    <w:p>
      <w:pPr>
        <w:pStyle w:val="ListBullet"/>
      </w:pPr>
      <w:r>
        <w:t>InstitutionName, StationName, DeviceSerialNumber were empty in sampled DICOM (likely de-identification); site identity is inferred from hardware/software clusters, not explicit tags.</w:t>
      </w:r>
    </w:p>
    <w:p>
      <w:pPr>
        <w:pStyle w:val="Heading2"/>
      </w:pPr>
      <w:r>
        <w:t>2.2 Naming and structure heterogeneity</w:t>
      </w:r>
    </w:p>
    <w:p>
      <w:pPr>
        <w:pStyle w:val="ListBullet"/>
      </w:pPr>
      <w:r>
        <w:t>Scan folder names (e.g., N-DESCRIPTION) differ strongly across vendors; little overlap between GE Premier and Siemens Skyra; limited overlap even between Skyra and Vida Fit.</w:t>
      </w:r>
    </w:p>
    <w:p>
      <w:pPr>
        <w:pStyle w:val="ListBullet"/>
      </w:pPr>
      <w:r>
        <w:t>GE Premier and GE Artist share more naming patterns (same vendor family).</w:t>
      </w:r>
    </w:p>
    <w:p>
      <w:pPr>
        <w:pStyle w:val="ListBullet"/>
      </w:pPr>
      <w:r>
        <w:t>SeriesDescription often does not match folder strings; some GE series have empty SeriesDescription.</w:t>
      </w:r>
    </w:p>
    <w:p>
      <w:pPr>
        <w:pStyle w:val="ListBullet"/>
      </w:pPr>
      <w:r>
        <w:t>Diffusion: GE-oriented naming (e.g., Ax_DTI_50directions, DWI MUSE) vs Siemens 64-direction AP/PA with separate derivative series (ADC, FA, TRACEW).</w:t>
      </w:r>
    </w:p>
    <w:p>
      <w:pPr>
        <w:pStyle w:val="ListBullet"/>
      </w:pPr>
      <w:r>
        <w:t>Transfer syntax: mostly JPEG lossless; subset of GE Premier also explicit VR little endian — automation must tolerate mixed encoding profiles.</w:t>
      </w:r>
    </w:p>
    <w:p>
      <w:pPr>
        <w:pStyle w:val="Heading2"/>
      </w:pPr>
      <w:r>
        <w:t>2.3 Implications for data cleaning</w:t>
      </w:r>
    </w:p>
    <w:p>
      <w:pPr>
        <w:pStyle w:val="ListBullet"/>
      </w:pPr>
      <w:r>
        <w:t>No single global regex for modality; per-vendor or per-scanner-cluster mapping tables are required.</w:t>
      </w:r>
    </w:p>
    <w:p>
      <w:pPr>
        <w:pStyle w:val="ListBullet"/>
      </w:pPr>
      <w:r>
        <w:t>High risk of confusing raw DWI with derived maps if naming and manifest rules are weak.</w:t>
      </w:r>
    </w:p>
    <w:p>
      <w:pPr>
        <w:pStyle w:val="ListBullet"/>
      </w:pPr>
      <w:r>
        <w:t>Phase-encoding and readout metadata must be present for distortion pipelines; missing tags increase manual QC and failure rates.</w:t>
      </w:r>
    </w:p>
    <w:p>
      <w:pPr>
        <w:pStyle w:val="ListBullet"/>
      </w:pPr>
      <w:r>
        <w:t>Human wall-clock cleaning time is not stored in DICOM; only measurable with prospective logging or proxy metrics (validator failures, manual fix counts, pipeline warnings).</w:t>
      </w:r>
    </w:p>
    <w:p>
      <w:pPr>
        <w:pStyle w:val="Heading2"/>
      </w:pPr>
      <w:r>
        <w:t>2.4 Quantitative feasibility from CIDUR alone</w:t>
      </w:r>
    </w:p>
    <w:p>
      <w:pPr>
        <w:pStyle w:val="ListBullet"/>
      </w:pPr>
      <w:r>
        <w:t>Suitable for: metadata completeness rates, naming diversity metrics, scanner-stratified summaries, rule-based DBI scores, automated conversion pass/fail if a fixed tool is run and logged.</w:t>
      </w:r>
    </w:p>
    <w:p>
      <w:pPr>
        <w:pStyle w:val="ListBullet"/>
      </w:pPr>
      <w:r>
        <w:t>Heuristic modality counts suggested substantial series-level material for structural, DWI, FLAIR, SWI, ASL; BOLD and fieldmaps sparser (fieldmaps more common on Vida in one pass) — case studies should report N honestly.</w:t>
      </w:r>
    </w:p>
    <w:p>
      <w:pPr>
        <w:pStyle w:val="ListBullet"/>
      </w:pPr>
      <w:r>
        <w:t>Not available from images alone: true time-to-clean unless external logs are added.</w:t>
      </w:r>
    </w:p>
    <w:p>
      <w:pPr>
        <w:pStyle w:val="Heading1"/>
      </w:pPr>
      <w:r>
        <w:t>3. External standards (role in the argument)</w:t>
      </w:r>
    </w:p>
    <w:p>
      <w:pPr>
        <w:pStyle w:val="Heading2"/>
      </w:pPr>
      <w:r>
        <w:t>3.1 Acquisition vs post-acquisition</w:t>
      </w:r>
    </w:p>
    <w:p>
      <w:pPr>
        <w:pStyle w:val="ListBullet"/>
      </w:pPr>
      <w:r>
        <w:t>DICOM: normative representation at acquisition/exchange; does not standardize one research protocol.</w:t>
      </w:r>
    </w:p>
    <w:p>
      <w:pPr>
        <w:pStyle w:val="ListBullet"/>
      </w:pPr>
      <w:r>
        <w:t>BIDS: file naming and sidecars after conversion; indirectly pressures acquisition/export to preserve parameters (e.g., PhaseEncodingDirection, TotalReadoutTime) that pipelines expect.</w:t>
      </w:r>
    </w:p>
    <w:p>
      <w:pPr>
        <w:pStyle w:val="ListBullet"/>
      </w:pPr>
      <w:r>
        <w:t>BEP033 / aDWI-BIDS: advanced diffusion sharing; supports modality-deep case study citations.</w:t>
      </w:r>
    </w:p>
    <w:p>
      <w:pPr>
        <w:pStyle w:val="ListBullet"/>
      </w:pPr>
      <w:r>
        <w:t>FAIR: metadata planning early; not modality-specific.</w:t>
      </w:r>
    </w:p>
    <w:p>
      <w:pPr>
        <w:pStyle w:val="ListBullet"/>
      </w:pPr>
      <w:r>
        <w:t>Harmonization literature (e.g., ComBat, Fortin et al. on multi-site DTI): motivates correcting batch effects after the fact — the proposed work targets reducing structural failure modes at birth.</w:t>
      </w:r>
    </w:p>
    <w:p>
      <w:pPr>
        <w:pStyle w:val="Heading1"/>
      </w:pPr>
      <w:r>
        <w:t>4. NeuroImage targeting</w:t>
      </w:r>
    </w:p>
    <w:p>
      <w:r>
        <w:t>NeuroImage accepts original research, methods papers, databases, and theory/conceptual contributions. A methods-oriented manuscript with quantitative audit + operationalized DBI + dcm2niix batch outcomes is a plausible fit. Pure standards text without measurement is weaker unless framed as theory with strong quantitative illustration.</w:t>
      </w:r>
    </w:p>
    <w:p>
      <w:pPr>
        <w:pStyle w:val="ListBullet"/>
      </w:pPr>
      <w:r>
        <w:t>Follow the current Guide for authors (highlights, graphical abstract optional, ethics, open access APC).</w:t>
      </w:r>
    </w:p>
    <w:p>
      <w:pPr>
        <w:pStyle w:val="ListBullet"/>
      </w:pPr>
      <w:r>
        <w:t>Open science: public validator code and clear algorithms strengthen reproducibility claims.</w:t>
      </w:r>
    </w:p>
    <w:p>
      <w:pPr>
        <w:pStyle w:val="Heading1"/>
      </w:pPr>
      <w:r>
        <w:t>5. Strong claims and how to prove them</w:t>
      </w:r>
    </w:p>
    <w:p>
      <w:pPr>
        <w:pStyle w:val="Heading2"/>
      </w:pPr>
      <w:r>
        <w:t>5.1 Primary claims (candidates)</w:t>
      </w:r>
    </w:p>
    <w:p>
      <w:pPr>
        <w:pStyle w:val="ListBullet"/>
      </w:pPr>
      <w:r>
        <w:t>Problem: multi-vendor data often fails automation at the acquisition–analysis boundary (metadata, series identity, raw vs derived).</w:t>
      </w:r>
    </w:p>
    <w:p>
      <w:pPr>
        <w:pStyle w:val="ListBullet"/>
      </w:pPr>
      <w:r>
        <w:t>Concept: quality scored at data birth (DBI), not only after harmonization.</w:t>
      </w:r>
    </w:p>
    <w:p>
      <w:pPr>
        <w:pStyle w:val="ListBullet"/>
      </w:pPr>
      <w:r>
        <w:t>Prescriptive: small set of acquisition/export conventions reduces structural failure modes.</w:t>
      </w:r>
    </w:p>
    <w:p>
      <w:pPr>
        <w:pStyle w:val="ListBullet"/>
      </w:pPr>
      <w:r>
        <w:t>Operational: enforcing conventions improves measurable outcomes (validator pass rate, conversion success, optional downstream stability).</w:t>
      </w:r>
    </w:p>
    <w:p>
      <w:pPr>
        <w:pStyle w:val="Heading2"/>
      </w:pPr>
      <w:r>
        <w:t>5.2 Evidence (without requiring cleaning time)</w:t>
      </w:r>
    </w:p>
    <w:p>
      <w:pPr>
        <w:pStyle w:val="ListBullet"/>
      </w:pPr>
      <w:r>
        <w:t>Structural audit on full cohort: tag tables, empty description rates, diffusion ambiguity counts, by scanner cluster.</w:t>
      </w:r>
    </w:p>
    <w:p>
      <w:pPr>
        <w:pStyle w:val="ListBullet"/>
      </w:pPr>
      <w:r>
        <w:t>Implemented DBI v1 + results table and figure.</w:t>
      </w:r>
    </w:p>
    <w:p>
      <w:pPr>
        <w:pStyle w:val="ListBullet"/>
      </w:pPr>
      <w:r>
        <w:t>dcm2niix batch log (pinned version) — warnings/errors per series or session; pass/fail rubric → Table 2.</w:t>
      </w:r>
    </w:p>
    <w:p>
      <w:pPr>
        <w:pStyle w:val="ListBullet"/>
      </w:pPr>
      <w:r>
        <w:t>Further pipelines (e.g., FSL/MRtrix, ML) remain out of scope for this manuscript unless added later.</w:t>
      </w:r>
    </w:p>
    <w:p>
      <w:pPr>
        <w:pStyle w:val="ListBullet"/>
      </w:pPr>
      <w:r>
        <w:t>Proxies for effort if desired: manual relabel count, exception log entries, inter-rater series-role disagreement — not the same as hours, but objective.</w:t>
      </w:r>
    </w:p>
    <w:p>
      <w:pPr>
        <w:pStyle w:val="Heading2"/>
      </w:pPr>
      <w:r>
        <w:t>5.3 Cleaning time</w:t>
      </w:r>
    </w:p>
    <w:p>
      <w:r>
        <w:t>Wall-clock cleaning time is not required for a credible NeuroImage methods paper if other objective automation-facing metrics are reported. Prospective timing strengthens an operations narrative but is optional.</w:t>
      </w:r>
    </w:p>
    <w:p>
      <w:pPr>
        <w:pStyle w:val="Heading2"/>
      </w:pPr>
      <w:r>
        <w:t>5.4 Locked outcomes (team decisions)</w:t>
      </w:r>
    </w:p>
    <w:p>
      <w:pPr>
        <w:pStyle w:val="ListBullet"/>
      </w:pPr>
      <w:r>
        <w:t>Sharing: both analysis code and aggregate (and/or per-session) statistics intended for public release; validator packaged similarly in spirit to bids-validator (CLI, spec, tests, releases).</w:t>
      </w:r>
    </w:p>
    <w:p>
      <w:pPr>
        <w:pStyle w:val="ListBullet"/>
      </w:pPr>
      <w:r>
        <w:t>Cohort: CIDUR_data is the paper cohort; identifiers will be de-identified to BIDS-style subject labels (e.g., sub-0001, sub-0002, …). Re-count N after exclusions in the de-ID pipeline.</w:t>
      </w:r>
    </w:p>
    <w:p>
      <w:pPr>
        <w:pStyle w:val="ListBullet"/>
      </w:pPr>
      <w:r>
        <w:t>Primary paper outcomes (v1, both required): (1) DBI v1 scores and audit; (2) dcm2niix batch success (pinned version, pass/fail or warning policy defined in Methods). No other conversion tools in scope for now.</w:t>
      </w:r>
    </w:p>
    <w:p>
      <w:pPr>
        <w:pStyle w:val="ListBullet"/>
      </w:pPr>
      <w:r>
        <w:t>Future work (explicitly out of scope for v1 manuscript): end-to-end BIDS layout (e.g., HeuDiConv / dcm2bids with versioned heuristics) and correlation of DBI with bids-validator severity. Discussion will frame DBI as intended to ease future BIDS conversion, without reporting full BIDS outcomes yet.</w:t>
      </w:r>
    </w:p>
    <w:p>
      <w:pPr>
        <w:pStyle w:val="Heading1"/>
      </w:pPr>
      <w:r>
        <w:t>6. Paper structure suggestion</w:t>
      </w:r>
    </w:p>
    <w:p>
      <w:pPr>
        <w:pStyle w:val="ListBullet"/>
      </w:pPr>
      <w:r>
        <w:t>General multi-modality conventions (cross-cutting): protocol ID, Tier A/B metadata policy, export profile, manifest, raw vs derived.</w:t>
      </w:r>
    </w:p>
    <w:p>
      <w:pPr>
        <w:pStyle w:val="ListBullet"/>
      </w:pPr>
      <w:r>
        <w:t>Per-modality case studies (authorship split possible): shared validator spec and outcome definitions so the paper reads as one study.</w:t>
      </w:r>
    </w:p>
    <w:p>
      <w:pPr>
        <w:pStyle w:val="ListBullet"/>
      </w:pPr>
      <w:r>
        <w:t>Primary quantitative backbone: DBI + scanner-stratified audit + dcm2niix ingest outcomes (Table 2).</w:t>
      </w:r>
    </w:p>
    <w:p>
      <w:pPr>
        <w:pStyle w:val="Heading1"/>
      </w:pPr>
      <w:r>
        <w:t>7. Do we have everything needed?</w:t>
      </w:r>
    </w:p>
    <w:p>
      <w:pPr>
        <w:pStyle w:val="ListBullet"/>
      </w:pPr>
      <w:r>
        <w:t>Data sufficiency: CIDUR_data is adequate to compute most proposed quantitative items once rules and scripts are implemented and run.</w:t>
      </w:r>
    </w:p>
    <w:p>
      <w:pPr>
        <w:pStyle w:val="ListBullet"/>
      </w:pPr>
      <w:r>
        <w:t>Study completeness: not yet — requires executed analysis, figures/tables, manuscript, IRB/data-use text, and reproducibility packaging.</w:t>
      </w:r>
    </w:p>
    <w:p>
      <w:pPr>
        <w:pStyle w:val="ListBullet"/>
      </w:pPr>
      <w:r>
        <w:t>Assistant support: planning, DBI formalization, Python audit/conversion tooling, draft sections; institutional submission, ethics, and final approval remain with the research team.</w:t>
      </w:r>
    </w:p>
    <w:p>
      <w:pPr>
        <w:pStyle w:val="Heading1"/>
      </w:pPr>
      <w:r>
        <w:t>8. Credible reference papers (curated)</w:t>
      </w:r>
    </w:p>
    <w:p>
      <w:r>
        <w:t>Abbreviated list for Introduction/Discussion; verify formatting against journal style before submission.</w:t>
      </w:r>
    </w:p>
    <w:p>
      <w:pPr>
        <w:pStyle w:val="ListBullet"/>
      </w:pPr>
      <w:r>
        <w:t>Gorgolewski et al. (2016). BIDS. Scientific Data. doi:10.1038/sdata.2016.44</w:t>
      </w:r>
    </w:p>
    <w:p>
      <w:pPr>
        <w:pStyle w:val="ListBullet"/>
      </w:pPr>
      <w:r>
        <w:t>Poldrack et al. (2017). Reproducible neuroimaging. Nature Reviews Neuroscience. doi:10.1038/nrn.2016.167</w:t>
      </w:r>
    </w:p>
    <w:p>
      <w:pPr>
        <w:pStyle w:val="ListBullet"/>
      </w:pPr>
      <w:r>
        <w:t>Norgaard et al. (2023). BIDS experiences. Nature Reviews Neuroscience. doi:10.1038/s41583-023-00762-1</w:t>
      </w:r>
    </w:p>
    <w:p>
      <w:pPr>
        <w:pStyle w:val="ListBullet"/>
      </w:pPr>
      <w:r>
        <w:t>Fortin et al. (2017). Multi-site DTI harmonization. NeuroImage. doi:10.1016/j.neuroimage.2017.08.047</w:t>
      </w:r>
    </w:p>
    <w:p>
      <w:pPr>
        <w:pStyle w:val="ListBullet"/>
      </w:pPr>
      <w:r>
        <w:t>Johnson et al. (2007). ComBat (genomics origin). Biostatistics.</w:t>
      </w:r>
    </w:p>
    <w:p>
      <w:pPr>
        <w:pStyle w:val="ListBullet"/>
      </w:pPr>
      <w:r>
        <w:t>Esteban et al. (2017). MRIQC. PLOS ONE. doi:10.1371/journal.pone.0184661</w:t>
      </w:r>
    </w:p>
    <w:p>
      <w:pPr>
        <w:pStyle w:val="ListBullet"/>
      </w:pPr>
      <w:r>
        <w:t>Esteban et al. (2019). Crowdsourced MRI QC data. Scientific Data. doi:10.1038/s41597-019-0035-4</w:t>
      </w:r>
    </w:p>
    <w:p>
      <w:pPr>
        <w:pStyle w:val="ListBullet"/>
      </w:pPr>
      <w:r>
        <w:t>Botvinik-Nezer et al. (2020). NARPS / analyst variability. Nature. doi:10.1038/s41586-020-2314-9</w:t>
      </w:r>
    </w:p>
    <w:p>
      <w:pPr>
        <w:pStyle w:val="ListBullet"/>
      </w:pPr>
      <w:r>
        <w:t>Van Essen et al. (2013). HCP overview. NeuroImage. doi:10.1016/j.neuroimage.2013.05.041</w:t>
      </w:r>
    </w:p>
    <w:p>
      <w:pPr>
        <w:pStyle w:val="ListBullet"/>
      </w:pPr>
      <w:r>
        <w:t>DICOM Standard (NEMA). https://www.dicomstandard.org/current/</w:t>
      </w:r>
    </w:p>
    <w:p>
      <w:pPr>
        <w:pStyle w:val="ListBullet"/>
      </w:pPr>
      <w:r>
        <w:t>aDWI-BIDS / BEP033 lineage. arXiv:2103.14485; bids.neuroimaging.io extensions.</w:t>
      </w:r>
    </w:p>
    <w:p>
      <w:pPr>
        <w:pStyle w:val="ListBullet"/>
      </w:pPr>
      <w:r>
        <w:t>Add 2–4 outcome-specific citations (converter, ML domain shift, etc.) once methods are fixed.</w:t>
      </w:r>
    </w:p>
    <w:p>
      <w:pPr>
        <w:pStyle w:val="Heading1"/>
      </w:pPr>
      <w:r>
        <w:t>9. Next concrete milestones</w:t>
      </w:r>
    </w:p>
    <w:p>
      <w:pPr>
        <w:pStyle w:val="ListNumber"/>
      </w:pPr>
      <w:r>
        <w:t>Lock 1–3 primary claims and target figure list.</w:t>
      </w:r>
    </w:p>
    <w:p>
      <w:pPr>
        <w:pStyle w:val="ListNumber"/>
      </w:pPr>
      <w:r>
        <w:t>Freeze DBI v1 operational definition (components, weights or binary rules).</w:t>
      </w:r>
    </w:p>
    <w:p>
      <w:pPr>
        <w:pStyle w:val="ListNumber"/>
      </w:pPr>
      <w:r>
        <w:t>Run audit on all MR sessions → Table 1 + Figure 1 by scanner cluster.</w:t>
      </w:r>
    </w:p>
    <w:p>
      <w:pPr>
        <w:pStyle w:val="ListNumber"/>
      </w:pPr>
      <w:r>
        <w:t>dcm2niix batch log → Table 2 (required). BIDS validator / full BIDS recipe → future work only.</w:t>
      </w:r>
    </w:p>
    <w:p>
      <w:pPr>
        <w:pStyle w:val="ListNumber"/>
      </w:pPr>
      <w:r>
        <w:t>Draft manuscript + supplement; internal review; NeuroImage submission.</w:t>
      </w:r>
    </w:p>
    <w:p/>
    <w:p>
      <w:r>
        <w:rPr>
          <w:b/>
        </w:rPr>
        <w:t xml:space="preserve">Note: </w:t>
      </w:r>
      <w:r>
        <w:t>This file is a synthesis of collaborative planning dialogue, not a peer-reviewed document. Empirical counts (e.g., exact N per modality) should be recomputed from the frozen cohort and code version cited in the final paper.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