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Times New Roman" w:hAnsi="Times New Roman" w:eastAsia="Times New Roman" w:cs="Times New Roman"/>
          <w:sz w:val="23"/>
          <w:szCs w:val="23"/>
        </w:rPr>
      </w:pPr>
      <w:r>
        <w:rPr/>
        <w:br/>
      </w:r>
      <w:r>
        <w:rPr>
          <w:rFonts w:eastAsia="Times New Roman" w:cs="Times New Roman" w:ascii="Times New Roman" w:hAnsi="Times New Roman"/>
          <w:b/>
          <w:bCs/>
          <w:sz w:val="23"/>
          <w:szCs w:val="23"/>
        </w:rPr>
        <w:t>D.2</w:t>
      </w:r>
      <w:r>
        <w:rPr>
          <w:rFonts w:eastAsia="Times New Roman" w:cs="Times New Roman" w:ascii="Times New Roman" w:hAnsi="Times New Roman"/>
          <w:sz w:val="23"/>
          <w:szCs w:val="23"/>
        </w:rPr>
        <w:t xml:space="preserve"> The mirrors disagree (full values)</w:t>
        <w:br/>
        <w:br/>
        <w:t xml:space="preserve"> The duplicate is IN the primary.</w:t>
      </w:r>
    </w:p>
    <w:p>
      <w:pPr>
        <w:pStyle w:val="Normal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i/>
          <w:iCs/>
          <w:sz w:val="23"/>
          <w:szCs w:val="23"/>
        </w:rPr>
        <w:t xml:space="preserve">I. virginica </w:t>
      </w:r>
      <w:r>
        <w:rPr>
          <w:rFonts w:eastAsia="Times New Roman" w:cs="Times New Roman" w:ascii="Times New Roman" w:hAnsi="Times New Roman"/>
          <w:sz w:val="23"/>
          <w:szCs w:val="23"/>
        </w:rPr>
        <w:t xml:space="preserve">block, positions 2 and 43 (= dataset rows 102 and 143): both print 5.8, 2.7, 5.1, 1.9. Fisher published the double-count. </w:t>
      </w:r>
    </w:p>
    <w:p>
      <w:pPr>
        <w:pStyle w:val="Normal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</w:rPr>
        <w:t xml:space="preserve">Which is why </w:t>
      </w:r>
      <w:r>
        <w:rPr>
          <w:rFonts w:eastAsia="Times New Roman" w:cs="Times New Roman" w:ascii="Times New Roman" w:hAnsi="Times New Roman"/>
          <w:i/>
          <w:iCs/>
        </w:rPr>
        <w:t>I. Virginica</w:t>
      </w:r>
      <w:r>
        <w:rPr>
          <w:rFonts w:eastAsia="Times New Roman" w:cs="Times New Roman" w:ascii="Times New Roman" w:hAnsi="Times New Roman"/>
          <w:sz w:val="23"/>
          <w:szCs w:val="23"/>
        </w:rPr>
        <w:t xml:space="preserve"> gets the shaft every dedup, but the how is mirror-dependent. (see D.</w:t>
      </w:r>
      <w:r>
        <w:rPr>
          <w:rFonts w:eastAsia="Times New Roman" w:cs="Times New Roman" w:ascii="Times New Roman" w:hAnsi="Times New Roman"/>
          <w:sz w:val="23"/>
          <w:szCs w:val="23"/>
        </w:rPr>
        <w:t>1</w:t>
      </w:r>
      <w:r>
        <w:rPr>
          <w:rFonts w:eastAsia="Times New Roman" w:cs="Times New Roman" w:ascii="Times New Roman" w:hAnsi="Times New Roman"/>
          <w:sz w:val="23"/>
          <w:szCs w:val="23"/>
        </w:rPr>
        <w:t>)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23"/>
          <w:szCs w:val="23"/>
        </w:rPr>
        <w:t xml:space="preserve">So: 150 rows, 149 plants, wrong since 1936 — every dedup that deletes row 143 is correcting Fisher's own table, and the canonical file's duplicate is faithful to the primary's error, not a transcription artifact. </w:t>
      </w:r>
      <w:r>
        <w:rPr/>
        <w:br/>
      </w:r>
    </w:p>
    <w:tbl>
      <w:tblPr>
        <w:tblStyle w:val="a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2700"/>
        <w:gridCol w:w="2700"/>
        <w:gridCol w:w="2700"/>
        <w:gridCol w:w="2700"/>
      </w:tblGrid>
      <w:tr>
        <w:trPr/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Source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Row 10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Row 35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Row 38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D0D0D"/>
                <w:sz w:val="20"/>
                <w:szCs w:val="20"/>
              </w:rPr>
              <w:t>Fisher 1936 (primary; verified by physical grid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4.9, 3.1, 1.5, 0.1 </w:t>
            </w:r>
            <w:r>
              <w:rPr>
                <w:rFonts w:eastAsia="Consolas" w:cs="Consolas" w:ascii="Consolas" w:hAnsi="Consolas"/>
                <w:i/>
                <w:iCs/>
                <w:sz w:val="20"/>
                <w:szCs w:val="20"/>
              </w:rPr>
              <w:t>(uncontested)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4.9, 3.1, 1.5, 0.2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4.9, 3.6, 1.4, 0.1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iris.data (UCI legacy)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4.9, 3.1, 1.5, 0.1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4.9, 3.1, 1.5, </w:t>
            </w: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0.1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4.9, </w:t>
            </w: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3.1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1.5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, 0.1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data.csv (UCI canonical DOI; fetched [September9, 2026])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4.9, 3.1, 1.5, 0.1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4.9, 3.1, 1.5, </w:t>
            </w: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0.1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4.9, </w:t>
            </w: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3.1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1.5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, 0.1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bezdekIris.data (UCI legacy)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4.9, 3.1, 1.5, 0.1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4.9, 3.1, 1.5, 0.2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4.9, 3.6, 1.4, 0.1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R built-in </w:t>
            </w:r>
            <w:r>
              <w:rPr>
                <w:rFonts w:eastAsia="Consolas" w:cs="Consolas" w:ascii="Consolas" w:hAnsi="Consolas"/>
                <w:color w:val="188038"/>
                <w:sz w:val="20"/>
                <w:szCs w:val="20"/>
              </w:rPr>
              <w:t>iris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4.9, 3.1, 1.5, 0.1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4.9, 3.1, 1.5, 0.2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4.9, 3.6, 1.4, 0.1</w:t>
            </w:r>
          </w:p>
        </w:tc>
      </w:tr>
    </w:tbl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/>
        <w:br/>
      </w:r>
      <w:r>
        <w:rPr>
          <w:rFonts w:eastAsia="Times New Roman" w:cs="Times New Roman" w:ascii="Times New Roman" w:hAnsi="Times New Roman"/>
        </w:rPr>
        <w:t>Reproducibility Code</w:t>
      </w:r>
    </w:p>
    <w:tbl>
      <w:tblPr>
        <w:tblStyle w:val="a0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800"/>
      </w:tblGrid>
      <w:tr>
        <w:trPr/>
        <w:tc>
          <w:tcPr>
            <w:tcW w:w="10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>d1 &lt;- read.csv(url("https://archive.ics.uci.edu/ml/machine-learning-databases/iris/iris.data"), header = FALSE)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>d2 &lt;- read.csv(url("https://archive.ics.uci.edu/ml/machine-learning-databases/iris/bezdekIris.data"), header = FALSE)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>iris[c(10, 35, 38), ]; d1[c(10, 35, 38), ]; d2[c(10, 35, 38), ]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color w:val="188038"/>
              </w:rPr>
              <w:t>which</w:t>
            </w:r>
            <w:r>
              <w:rPr>
                <w:rFonts w:eastAsia="Consolas" w:cs="Consolas" w:ascii="Consolas" w:hAnsi="Consolas"/>
              </w:rPr>
              <w:t>(as.matrix(d1[,1:4]) != as.matrix(d2[,1:4]), arr.ind = TRUE)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>#→ (38,2), (38,3), (35,4) — the mirrors differ ONLY in the erratum's flagged cells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/>
        <w:br/>
        <w:br/>
      </w:r>
      <w:r>
        <w:rPr>
          <w:i/>
          <w:iCs/>
        </w:rPr>
        <w:t>…and by 600-cell diff against the corrected lineage: full agreement. Fisher's own double-count is present — one virginica specimen (block rows 2 and 43; stacked positions 102 and 143) printed twice, confirming the founding "150 observations" as 149 plants</w:t>
      </w:r>
      <w:r>
        <w:rPr/>
        <w:t>.</w:t>
        <w:br/>
        <w:br/>
      </w:r>
      <w:r>
        <w:rPr>
          <w:rFonts w:eastAsia="Times New Roman" w:cs="Times New Roman" w:ascii="Times New Roman" w:hAnsi="Times New Roman"/>
        </w:rPr>
        <w:t>Receipts dated September 30, 2026: full outputs in accompanying receipt file.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47ad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47ad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47ad5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47ad5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</Pages>
  <Words>271</Words>
  <Characters>1543</Characters>
  <CharactersWithSpaces>1792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2026-10-01T12:23:00Z</dcterms:created>
  <dc:creator/>
  <dc:description/>
  <dc:language>en-US</dc:language>
  <cp:lastModifiedBy/>
  <dcterms:modified xsi:type="dcterms:W3CDTF">2026-10-03T11:03:47Z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