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415B3" w14:textId="4F71CE7A" w:rsidR="00476BA1" w:rsidRDefault="00AA13DD" w:rsidP="00476BA1">
      <w:pPr>
        <w:jc w:val="center"/>
        <w:rPr>
          <w:rFonts w:ascii="TH SarabunPSK" w:hAnsi="TH SarabunPSK" w:cs="TH SarabunPSK"/>
          <w:sz w:val="32"/>
          <w:szCs w:val="32"/>
        </w:rPr>
      </w:pPr>
      <w:r w:rsidRPr="00476BA1">
        <w:rPr>
          <w:rFonts w:ascii="TH SarabunPSK" w:hAnsi="TH SarabunPSK" w:cs="TH SarabunPSK"/>
          <w:noProof/>
          <w:sz w:val="32"/>
          <w:szCs w:val="32"/>
        </w:rPr>
        <w:drawing>
          <wp:anchor distT="0" distB="0" distL="114300" distR="114300" simplePos="0" relativeHeight="251658240" behindDoc="0" locked="0" layoutInCell="1" allowOverlap="1" wp14:anchorId="6AB3CDC1" wp14:editId="0C8E97F0">
            <wp:simplePos x="0" y="0"/>
            <wp:positionH relativeFrom="column">
              <wp:posOffset>2889250</wp:posOffset>
            </wp:positionH>
            <wp:positionV relativeFrom="paragraph">
              <wp:posOffset>-520699</wp:posOffset>
            </wp:positionV>
            <wp:extent cx="734695" cy="785916"/>
            <wp:effectExtent l="0" t="0" r="8255" b="0"/>
            <wp:wrapNone/>
            <wp:docPr id="1359903394" name="Picture 1" descr="A black and white drawing of a cre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3394" name="Picture 1" descr="A black and white drawing of a creature&#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738258" cy="789727"/>
                    </a:xfrm>
                    <a:prstGeom prst="rect">
                      <a:avLst/>
                    </a:prstGeom>
                  </pic:spPr>
                </pic:pic>
              </a:graphicData>
            </a:graphic>
            <wp14:sizeRelH relativeFrom="margin">
              <wp14:pctWidth>0</wp14:pctWidth>
            </wp14:sizeRelH>
            <wp14:sizeRelV relativeFrom="margin">
              <wp14:pctHeight>0</wp14:pctHeight>
            </wp14:sizeRelV>
          </wp:anchor>
        </w:drawing>
      </w:r>
    </w:p>
    <w:p w14:paraId="7B9A770C" w14:textId="3360DA83" w:rsidR="002511DC" w:rsidRPr="00AA13DD" w:rsidRDefault="002511DC" w:rsidP="00476BA1">
      <w:pPr>
        <w:jc w:val="center"/>
        <w:rPr>
          <w:rFonts w:ascii="TH SarabunPSK" w:hAnsi="TH SarabunPSK" w:cs="TH SarabunPSK"/>
          <w:sz w:val="28"/>
          <w:szCs w:val="24"/>
        </w:rPr>
      </w:pPr>
      <w:r w:rsidRPr="00AA13DD">
        <w:rPr>
          <w:rFonts w:ascii="TH SarabunPSK" w:hAnsi="TH SarabunPSK" w:cs="TH SarabunPSK"/>
          <w:sz w:val="28"/>
          <w:szCs w:val="24"/>
        </w:rPr>
        <w:t>Legal Statement for Assessment of EUDR complant for  agriculture</w:t>
      </w:r>
      <w:r w:rsidRPr="00AA13DD">
        <w:rPr>
          <w:rFonts w:ascii="TH SarabunPSK" w:hAnsi="TH SarabunPSK" w:cs="TH SarabunPSK"/>
          <w:sz w:val="28"/>
          <w:szCs w:val="24"/>
        </w:rPr>
        <w:tab/>
        <w:t>plot : PIN w1wr55kp9f</w:t>
      </w:r>
    </w:p>
    <w:tbl>
      <w:tblPr>
        <w:tblStyle w:val="TableGrid"/>
        <w:tblW w:w="9493" w:type="dxa"/>
        <w:tblLook w:val="04A0" w:firstRow="1" w:lastRow="0" w:firstColumn="1" w:lastColumn="0" w:noHBand="0" w:noVBand="1"/>
      </w:tblPr>
      <w:tblGrid>
        <w:gridCol w:w="1140"/>
        <w:gridCol w:w="1688"/>
        <w:gridCol w:w="6665"/>
      </w:tblGrid>
      <w:tr w:rsidR="002511DC" w:rsidRPr="00AA13DD" w14:paraId="1D3AAC57" w14:textId="77777777" w:rsidTr="002511DC">
        <w:tc>
          <w:tcPr>
            <w:tcW w:w="1140" w:type="dxa"/>
          </w:tcPr>
          <w:p w14:paraId="325FB21B" w14:textId="303FC39F" w:rsidR="002511DC" w:rsidRPr="00AA13DD" w:rsidRDefault="0090365D" w:rsidP="00C94376">
            <w:pPr>
              <w:jc w:val="center"/>
              <w:rPr>
                <w:rFonts w:ascii="TH SarabunPSK" w:hAnsi="TH SarabunPSK" w:cs="TH SarabunPSK"/>
                <w:sz w:val="28"/>
                <w:szCs w:val="24"/>
              </w:rPr>
            </w:pPr>
            <w:r>
              <w:rPr>
                <w:rFonts w:ascii="TH SarabunPSK" w:hAnsi="TH SarabunPSK" w:cs="TH SarabunPSK"/>
                <w:sz w:val="28"/>
                <w:szCs w:val="24"/>
              </w:rPr>
              <w:t>No.</w:t>
            </w:r>
          </w:p>
        </w:tc>
        <w:tc>
          <w:tcPr>
            <w:tcW w:w="1688" w:type="dxa"/>
          </w:tcPr>
          <w:p w14:paraId="1C40950C" w14:textId="6E2A8167" w:rsidR="002511DC" w:rsidRPr="00AA13DD" w:rsidRDefault="0090365D">
            <w:pPr>
              <w:rPr>
                <w:rFonts w:ascii="TH SarabunPSK" w:hAnsi="TH SarabunPSK" w:cs="TH SarabunPSK"/>
                <w:sz w:val="28"/>
                <w:szCs w:val="24"/>
              </w:rPr>
            </w:pPr>
            <w:r>
              <w:rPr>
                <w:rFonts w:ascii="TH SarabunPSK" w:hAnsi="TH SarabunPSK" w:cs="TH SarabunPSK"/>
                <w:sz w:val="28"/>
                <w:szCs w:val="24"/>
              </w:rPr>
              <w:t>Riks Level</w:t>
            </w:r>
          </w:p>
        </w:tc>
        <w:tc>
          <w:tcPr>
            <w:tcW w:w="6665" w:type="dxa"/>
          </w:tcPr>
          <w:p w14:paraId="74A29BAA" w14:textId="69315E64" w:rsidR="002511DC" w:rsidRPr="00AA13DD" w:rsidRDefault="002511DC" w:rsidP="002511DC">
            <w:pPr>
              <w:jc w:val="center"/>
              <w:rPr>
                <w:rFonts w:ascii="TH SarabunPSK" w:hAnsi="TH SarabunPSK" w:cs="TH SarabunPSK"/>
                <w:sz w:val="28"/>
                <w:szCs w:val="24"/>
              </w:rPr>
            </w:pPr>
            <w:r w:rsidRPr="00AA13DD">
              <w:rPr>
                <w:rFonts w:ascii="TH SarabunPSK" w:hAnsi="TH SarabunPSK" w:cs="TH SarabunPSK"/>
                <w:sz w:val="28"/>
                <w:szCs w:val="24"/>
              </w:rPr>
              <w:t>Explanation</w:t>
            </w:r>
          </w:p>
        </w:tc>
      </w:tr>
      <w:tr w:rsidR="002511DC" w:rsidRPr="00AA13DD" w14:paraId="6D384AC7" w14:textId="77777777" w:rsidTr="002511DC">
        <w:tc>
          <w:tcPr>
            <w:tcW w:w="1140" w:type="dxa"/>
          </w:tcPr>
          <w:p w14:paraId="6EF24884" w14:textId="14D5E55D" w:rsidR="002511DC" w:rsidRPr="00AA13DD" w:rsidRDefault="002511DC" w:rsidP="00C94376">
            <w:pPr>
              <w:jc w:val="center"/>
              <w:rPr>
                <w:rFonts w:ascii="TH SarabunPSK" w:hAnsi="TH SarabunPSK" w:cs="TH SarabunPSK"/>
                <w:sz w:val="28"/>
                <w:szCs w:val="24"/>
              </w:rPr>
            </w:pPr>
            <w:r w:rsidRPr="00AA13DD">
              <w:rPr>
                <w:rFonts w:ascii="TH SarabunPSK" w:hAnsi="TH SarabunPSK" w:cs="TH SarabunPSK"/>
                <w:sz w:val="28"/>
                <w:szCs w:val="24"/>
              </w:rPr>
              <w:t>1</w:t>
            </w:r>
          </w:p>
        </w:tc>
        <w:tc>
          <w:tcPr>
            <w:tcW w:w="1688" w:type="dxa"/>
          </w:tcPr>
          <w:p w14:paraId="5FD4D1A8" w14:textId="7F1144D8"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High Risk</w:t>
            </w:r>
          </w:p>
        </w:tc>
        <w:tc>
          <w:tcPr>
            <w:tcW w:w="6665" w:type="dxa"/>
          </w:tcPr>
          <w:p w14:paraId="027C14D8" w14:textId="58BC1987"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high deforestation risk – The agricultural plot overlaps both the official Thai National Forest boundary and the GFC2020 forest area, indicating strong likelihood of non-compliance with EUDR zero-deforestation criteria. Further legal and ground-based verification is required.</w:t>
            </w:r>
          </w:p>
        </w:tc>
      </w:tr>
      <w:tr w:rsidR="00AA13DD" w:rsidRPr="00AA13DD" w14:paraId="50665E0A" w14:textId="77777777" w:rsidTr="002511DC">
        <w:tc>
          <w:tcPr>
            <w:tcW w:w="1140" w:type="dxa"/>
          </w:tcPr>
          <w:p w14:paraId="4E54E691" w14:textId="57C0FDCE" w:rsidR="00AA13DD" w:rsidRPr="00AA13DD" w:rsidRDefault="00AA13DD" w:rsidP="00C94376">
            <w:pPr>
              <w:jc w:val="center"/>
              <w:rPr>
                <w:rFonts w:ascii="TH SarabunPSK" w:hAnsi="TH SarabunPSK" w:cs="TH SarabunPSK"/>
                <w:sz w:val="28"/>
                <w:szCs w:val="24"/>
              </w:rPr>
            </w:pPr>
            <w:r w:rsidRPr="00AA13DD">
              <w:rPr>
                <w:rFonts w:ascii="TH SarabunPSK" w:hAnsi="TH SarabunPSK" w:cs="TH SarabunPSK" w:hint="cs"/>
                <w:sz w:val="28"/>
                <w:szCs w:val="24"/>
                <w:cs/>
              </w:rPr>
              <w:t>2</w:t>
            </w:r>
          </w:p>
        </w:tc>
        <w:tc>
          <w:tcPr>
            <w:tcW w:w="1688" w:type="dxa"/>
          </w:tcPr>
          <w:p w14:paraId="2A1E17E0" w14:textId="0FAEC336" w:rsidR="00AA13DD" w:rsidRPr="00AA13DD" w:rsidRDefault="00AA13DD" w:rsidP="008A3992">
            <w:pPr>
              <w:rPr>
                <w:rFonts w:ascii="TH SarabunPSK" w:hAnsi="TH SarabunPSK" w:cs="TH SarabunPSK"/>
                <w:sz w:val="28"/>
                <w:szCs w:val="24"/>
              </w:rPr>
            </w:pPr>
            <w:r w:rsidRPr="00AA13DD">
              <w:rPr>
                <w:rFonts w:ascii="TH SarabunPSK" w:hAnsi="TH SarabunPSK" w:cs="TH SarabunPSK"/>
                <w:sz w:val="28"/>
                <w:szCs w:val="24"/>
              </w:rPr>
              <w:t>Medium Risk according to Thai Jurisdiction</w:t>
            </w:r>
          </w:p>
        </w:tc>
        <w:tc>
          <w:tcPr>
            <w:tcW w:w="6665" w:type="dxa"/>
          </w:tcPr>
          <w:p w14:paraId="5F86C5FD" w14:textId="258F46C2" w:rsidR="00AA13DD" w:rsidRPr="00AA13DD" w:rsidRDefault="00AA13DD" w:rsidP="008A3992">
            <w:pPr>
              <w:rPr>
                <w:rFonts w:ascii="TH SarabunPSK" w:hAnsi="TH SarabunPSK" w:cs="TH SarabunPSK"/>
                <w:sz w:val="28"/>
                <w:szCs w:val="24"/>
              </w:rPr>
            </w:pPr>
            <w:r w:rsidRPr="00AA13DD">
              <w:rPr>
                <w:noProof/>
                <w:sz w:val="28"/>
                <w:szCs w:val="24"/>
              </w:rPr>
              <mc:AlternateContent>
                <mc:Choice Requires="wps">
                  <w:drawing>
                    <wp:anchor distT="0" distB="0" distL="114300" distR="114300" simplePos="0" relativeHeight="251660288" behindDoc="0" locked="0" layoutInCell="1" allowOverlap="1" wp14:anchorId="4D641B91" wp14:editId="2E15034B">
                      <wp:simplePos x="0" y="0"/>
                      <wp:positionH relativeFrom="column">
                        <wp:posOffset>-2921440</wp:posOffset>
                      </wp:positionH>
                      <wp:positionV relativeFrom="paragraph">
                        <wp:posOffset>703824</wp:posOffset>
                      </wp:positionV>
                      <wp:extent cx="9246010" cy="1828800"/>
                      <wp:effectExtent l="2530792" t="0" r="2467293" b="0"/>
                      <wp:wrapNone/>
                      <wp:docPr id="2114025622" name="Text Box 1"/>
                      <wp:cNvGraphicFramePr/>
                      <a:graphic xmlns:a="http://schemas.openxmlformats.org/drawingml/2006/main">
                        <a:graphicData uri="http://schemas.microsoft.com/office/word/2010/wordprocessingShape">
                          <wps:wsp>
                            <wps:cNvSpPr txBox="1"/>
                            <wps:spPr>
                              <a:xfrm rot="18389951">
                                <a:off x="0" y="0"/>
                                <a:ext cx="9246010" cy="1828800"/>
                              </a:xfrm>
                              <a:prstGeom prst="rect">
                                <a:avLst/>
                              </a:prstGeom>
                              <a:noFill/>
                              <a:ln>
                                <a:noFill/>
                              </a:ln>
                            </wps:spPr>
                            <wps:txbx>
                              <w:txbxContent>
                                <w:p w14:paraId="30CD9039" w14:textId="4A849CB9" w:rsidR="003D205B" w:rsidRPr="003D205B" w:rsidRDefault="003D205B" w:rsidP="003D205B">
                                  <w:pPr>
                                    <w:spacing w:after="0"/>
                                    <w:ind w:firstLine="720"/>
                                    <w:jc w:val="center"/>
                                    <w:rPr>
                                      <w:rFonts w:ascii="TH SarabunPSK" w:hAnsi="TH SarabunPSK" w:cs="TH SarabunPSK"/>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H SarabunPSK" w:hAnsi="TH SarabunPSK" w:cs="TH SarabunPSK"/>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DRAFT  CERTIFICAT FOR DEMOSTRATION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641B91" id="_x0000_t202" coordsize="21600,21600" o:spt="202" path="m,l,21600r21600,l21600,xe">
                      <v:stroke joinstyle="miter"/>
                      <v:path gradientshapeok="t" o:connecttype="rect"/>
                    </v:shapetype>
                    <v:shape id="Text Box 1" o:spid="_x0000_s1026" type="#_x0000_t202" style="position:absolute;margin-left:-230.05pt;margin-top:55.4pt;width:728.05pt;height:2in;rotation:-3506230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PGGgIAADMEAAAOAAAAZHJzL2Uyb0RvYy54bWysU8Fu2zAMvQ/YPwi6L46ztHOMOEXWIsOA&#10;oC2QFj0rshwbkEVNYmJnXz9Kcdqs22nYRaDI5ye+R3p+07eaHZTzDZiCp6MxZ8pIKBuzK/jz0+pT&#10;xplHYUqhwaiCH5XnN4uPH+adzdUEatClcoxIjM87W/Aa0eZJ4mWtWuFHYJWhYgWuFUhXt0tKJzpi&#10;b3UyGY+vkw5caR1I5T1l705Fvoj8VaUkPlSVV8h0wak3jKeL5zacyWIu8p0Ttm7k0Ib4hy5a0Rh6&#10;9JXqTqBge9f8QdU20oGHCkcS2gSqqpEqaiA16fidmk0trIpayBxvX23y/49W3h829tEx7L9CTwMM&#10;hnTW556SQU9fuZY5IN/S7HM2m12lUSY1zghOjh5fXVQ9MknJ2WR6TVo4k1RLs0mWjaPPyYktsFrn&#10;8ZuCloWg4I7GFGnFYe2ROiDoGRLgBlaN1nFU2vyWIGDIJG8thwj7bT/o2EJ5JHlRAbXkrVw19OZa&#10;eHwUjkZNSVpffKCj0tAVHIaIsxrcz7/lA54mQFXOOlqdgvsfe+EUZ/q7odnM0umUaDFepldfJnRx&#10;l5XtZcXs21ug7UxjdzEMeNTnsHLQvtCWL8OrVBJG0tsFx3N4i6eFpr9EquUygmi7rMC12VgZqM+m&#10;P/UvwtnBdqSJ3cN5yUT+zv0TNnzp7XKPNIM4mmDwydXBd9rMOLHhLwqrf3mPqLd/ffELAAD//wMA&#10;UEsDBBQABgAIAAAAIQAPxS2b4QAAAAwBAAAPAAAAZHJzL2Rvd25yZXYueG1sTI/BTsMwEETvSPyD&#10;tUjcWqdJBGmIU1WVOHFAtEhcXds4gXgdbLcN+XqWExxndjT7ptlMbmBnE2LvUcBqmQEzqLzu0Qp4&#10;PTwuKmAxSdRy8GgEfJsIm/b6qpG19hd8Med9soxKMNZSQJfSWHMeVWecjEs/GqTbuw9OJpLBch3k&#10;hcrdwPMsu+NO9kgfOjmaXWfU5/7kBHyot6/5aQ5WFeNz79eZ3c24FeL2Zto+AEtmSn9h+MUndGiJ&#10;6ehPqCMbSOclbUkCFuV9UQCjSLnKyToKWFd5Bbxt+P8R7Q8AAAD//wMAUEsBAi0AFAAGAAgAAAAh&#10;ALaDOJL+AAAA4QEAABMAAAAAAAAAAAAAAAAAAAAAAFtDb250ZW50X1R5cGVzXS54bWxQSwECLQAU&#10;AAYACAAAACEAOP0h/9YAAACUAQAACwAAAAAAAAAAAAAAAAAvAQAAX3JlbHMvLnJlbHNQSwECLQAU&#10;AAYACAAAACEA5oTTxhoCAAAzBAAADgAAAAAAAAAAAAAAAAAuAgAAZHJzL2Uyb0RvYy54bWxQSwEC&#10;LQAUAAYACAAAACEAD8Utm+EAAAAMAQAADwAAAAAAAAAAAAAAAAB0BAAAZHJzL2Rvd25yZXYueG1s&#10;UEsFBgAAAAAEAAQA8wAAAIIFAAAAAA==&#10;" filled="f" stroked="f">
                      <v:textbox style="mso-fit-shape-to-text:t">
                        <w:txbxContent>
                          <w:p w14:paraId="30CD9039" w14:textId="4A849CB9" w:rsidR="003D205B" w:rsidRPr="003D205B" w:rsidRDefault="003D205B" w:rsidP="003D205B">
                            <w:pPr>
                              <w:spacing w:after="0"/>
                              <w:ind w:firstLine="720"/>
                              <w:jc w:val="center"/>
                              <w:rPr>
                                <w:rFonts w:ascii="TH SarabunPSK" w:hAnsi="TH SarabunPSK" w:cs="TH SarabunPSK"/>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H SarabunPSK" w:hAnsi="TH SarabunPSK" w:cs="TH SarabunPSK"/>
                                <w:b/>
                                <w:color w:val="E8E8E8"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DRAFT  CERTIFICAT FOR DEMOSTRATION</w:t>
                            </w:r>
                          </w:p>
                        </w:txbxContent>
                      </v:textbox>
                    </v:shape>
                  </w:pict>
                </mc:Fallback>
              </mc:AlternateContent>
            </w:r>
            <w:r w:rsidRPr="00AA13DD">
              <w:rPr>
                <w:rFonts w:ascii="TH SarabunPSK" w:hAnsi="TH SarabunPSK" w:cs="TH SarabunPSK"/>
                <w:sz w:val="28"/>
                <w:szCs w:val="24"/>
              </w:rPr>
              <w:t>The cultivated plot in question constitutes agricultural land for which the farmer has been lawfully granted usufruct rights under the Agricultural Land Reform Act (Sor Por Kor). While the plot is shown to spatially overlap with the boundaries of Thailand’s designated forest area, such boundaries are presently subject to verification under the national OneMap project. In consideration of the concurrent spatial overlap identified by the EUDR GFC2020 v.2 analysis, the plot is hereby classified as “Medium Risk” within the scope of Thai jurisdiction.</w:t>
            </w:r>
          </w:p>
        </w:tc>
      </w:tr>
      <w:tr w:rsidR="002511DC" w:rsidRPr="00AA13DD" w14:paraId="6D156D26" w14:textId="77777777" w:rsidTr="002511DC">
        <w:tc>
          <w:tcPr>
            <w:tcW w:w="1140" w:type="dxa"/>
          </w:tcPr>
          <w:p w14:paraId="02A3D2AC" w14:textId="6C5FF93D" w:rsidR="002511DC" w:rsidRPr="000C0337" w:rsidRDefault="000C0337" w:rsidP="00C94376">
            <w:pPr>
              <w:jc w:val="center"/>
              <w:rPr>
                <w:rFonts w:ascii="TH SarabunPSK" w:hAnsi="TH SarabunPSK" w:cs="TH SarabunPSK" w:hint="cs"/>
                <w:sz w:val="28"/>
                <w:szCs w:val="24"/>
              </w:rPr>
            </w:pPr>
            <w:r>
              <w:rPr>
                <w:rFonts w:ascii="TH SarabunPSK" w:hAnsi="TH SarabunPSK" w:cs="TH SarabunPSK" w:hint="cs"/>
                <w:sz w:val="28"/>
                <w:szCs w:val="24"/>
                <w:cs/>
              </w:rPr>
              <w:t>3</w:t>
            </w:r>
          </w:p>
        </w:tc>
        <w:tc>
          <w:tcPr>
            <w:tcW w:w="1688" w:type="dxa"/>
          </w:tcPr>
          <w:p w14:paraId="61D5C48F" w14:textId="75C588C0" w:rsidR="002511DC" w:rsidRPr="00AA13DD" w:rsidRDefault="002511DC" w:rsidP="008A3992">
            <w:pPr>
              <w:rPr>
                <w:rFonts w:ascii="TH SarabunPSK" w:hAnsi="TH SarabunPSK" w:cs="TH SarabunPSK"/>
                <w:sz w:val="28"/>
                <w:szCs w:val="24"/>
              </w:rPr>
            </w:pPr>
            <w:r w:rsidRPr="00AA13DD">
              <w:rPr>
                <w:rFonts w:ascii="TH SarabunPSK" w:hAnsi="TH SarabunPSK" w:cs="TH SarabunPSK"/>
                <w:sz w:val="28"/>
                <w:szCs w:val="24"/>
              </w:rPr>
              <w:t>Potential Risk</w:t>
            </w:r>
          </w:p>
        </w:tc>
        <w:tc>
          <w:tcPr>
            <w:tcW w:w="6665" w:type="dxa"/>
          </w:tcPr>
          <w:p w14:paraId="60E28501" w14:textId="1B15E105" w:rsidR="002511DC" w:rsidRPr="00AA13DD" w:rsidRDefault="002511DC" w:rsidP="008A3992">
            <w:pPr>
              <w:rPr>
                <w:rFonts w:ascii="TH SarabunPSK" w:hAnsi="TH SarabunPSK" w:cs="TH SarabunPSK"/>
                <w:sz w:val="28"/>
                <w:szCs w:val="24"/>
              </w:rPr>
            </w:pPr>
            <w:r w:rsidRPr="00AA13DD">
              <w:rPr>
                <w:rFonts w:ascii="TH SarabunPSK" w:hAnsi="TH SarabunPSK" w:cs="TH SarabunPSK"/>
                <w:sz w:val="28"/>
                <w:szCs w:val="24"/>
              </w:rPr>
              <w:t>The agricultural plot partially overlaps with forest area as identified by GFC2020, but is outside official Thai National Forest boundaries. This may indicate forest clearance after the EUDR cut-off date (31 December 2020). Ground verification and land-use history are required to confirm compliance.</w:t>
            </w:r>
          </w:p>
        </w:tc>
      </w:tr>
      <w:tr w:rsidR="002511DC" w:rsidRPr="00AA13DD" w14:paraId="3FFA79B9" w14:textId="77777777" w:rsidTr="002511DC">
        <w:tc>
          <w:tcPr>
            <w:tcW w:w="1140" w:type="dxa"/>
          </w:tcPr>
          <w:p w14:paraId="2399A9DC" w14:textId="7517B1AB" w:rsidR="002511DC" w:rsidRPr="00AA13DD" w:rsidRDefault="000C0337" w:rsidP="00C94376">
            <w:pPr>
              <w:jc w:val="center"/>
              <w:rPr>
                <w:rFonts w:ascii="TH SarabunPSK" w:hAnsi="TH SarabunPSK" w:cs="TH SarabunPSK"/>
                <w:sz w:val="28"/>
                <w:szCs w:val="24"/>
              </w:rPr>
            </w:pPr>
            <w:r>
              <w:rPr>
                <w:rFonts w:ascii="TH SarabunPSK" w:hAnsi="TH SarabunPSK" w:cs="TH SarabunPSK" w:hint="cs"/>
                <w:sz w:val="28"/>
                <w:szCs w:val="24"/>
                <w:cs/>
              </w:rPr>
              <w:t>4</w:t>
            </w:r>
          </w:p>
        </w:tc>
        <w:tc>
          <w:tcPr>
            <w:tcW w:w="1688" w:type="dxa"/>
          </w:tcPr>
          <w:p w14:paraId="5916272D" w14:textId="1F697AA2"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Compliant</w:t>
            </w:r>
          </w:p>
        </w:tc>
        <w:tc>
          <w:tcPr>
            <w:tcW w:w="6665" w:type="dxa"/>
          </w:tcPr>
          <w:p w14:paraId="41E9C369" w14:textId="0D40BC24"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The agricultural plot is located outside both the GFC2020 forest extent and Thai National Forest boundaries, and is therefore not considered deforested land under EUDR requirements. The plot is deemed compliant with the EUDR zero-deforestation cut-off date (31 December 2020), pending confirmation of land use history.</w:t>
            </w:r>
          </w:p>
        </w:tc>
      </w:tr>
    </w:tbl>
    <w:p w14:paraId="55F7077D" w14:textId="159D779A" w:rsidR="00AA13DD" w:rsidRDefault="00AA13DD" w:rsidP="00476BA1">
      <w:pPr>
        <w:spacing w:after="0"/>
        <w:rPr>
          <w:rFonts w:ascii="TH SarabunPSK" w:hAnsi="TH SarabunPSK" w:cs="TH SarabunPSK"/>
          <w:sz w:val="28"/>
          <w:szCs w:val="24"/>
        </w:rPr>
      </w:pPr>
      <w:r w:rsidRPr="00AA13DD">
        <w:rPr>
          <w:rFonts w:ascii="TH SarabunPSK" w:hAnsi="TH SarabunPSK" w:cs="TH SarabunPSK"/>
          <w:sz w:val="28"/>
          <w:szCs w:val="24"/>
        </w:rPr>
        <w:t>This certification is issued to the best of our knowledge, pursuant to and in reliance upon the collaborative verification undertaken among the relevant Thai government agencies, and is based on the most accurate and up-to-date information available at the time of issuance.</w:t>
      </w:r>
    </w:p>
    <w:p w14:paraId="41D7DA5D" w14:textId="40AA91D9" w:rsidR="00AA13DD" w:rsidRDefault="00233345" w:rsidP="00476BA1">
      <w:pPr>
        <w:spacing w:after="0"/>
        <w:rPr>
          <w:rFonts w:ascii="TH SarabunPSK" w:hAnsi="TH SarabunPSK" w:cs="TH SarabunPSK"/>
          <w:sz w:val="28"/>
          <w:szCs w:val="24"/>
        </w:rPr>
      </w:pPr>
      <w:r w:rsidRPr="00AA13DD">
        <w:rPr>
          <w:rFonts w:ascii="TH SarabunPSK" w:hAnsi="TH SarabunPSK" w:cs="TH SarabunPSK"/>
          <w:sz w:val="28"/>
          <w:szCs w:val="24"/>
        </w:rPr>
        <w:t>1.</w:t>
      </w:r>
      <w:r w:rsidR="00954470" w:rsidRPr="00AA13DD">
        <w:rPr>
          <w:rFonts w:ascii="TH SarabunPSK" w:hAnsi="TH SarabunPSK" w:cs="TH SarabunPSK" w:hint="cs"/>
          <w:sz w:val="28"/>
          <w:szCs w:val="24"/>
          <w:cs/>
        </w:rPr>
        <w:t xml:space="preserve"> </w:t>
      </w:r>
      <w:r w:rsidRPr="00AA13DD">
        <w:rPr>
          <w:rFonts w:ascii="TH SarabunPSK" w:hAnsi="TH SarabunPSK" w:cs="TH SarabunPSK" w:hint="cs"/>
          <w:sz w:val="28"/>
          <w:szCs w:val="24"/>
          <w:cs/>
        </w:rPr>
        <w:t>สำนักงานคณะกรรมการนโยบายที่ดินแห่งชาติ</w:t>
      </w:r>
      <w:r w:rsidRPr="00AA13DD">
        <w:rPr>
          <w:rFonts w:ascii="TH SarabunPSK" w:hAnsi="TH SarabunPSK" w:cs="TH SarabunPSK"/>
          <w:sz w:val="28"/>
          <w:szCs w:val="24"/>
        </w:rPr>
        <w:t xml:space="preserve"> </w:t>
      </w:r>
      <w:r w:rsidR="00954470" w:rsidRPr="00AA13DD">
        <w:rPr>
          <w:rFonts w:ascii="TH SarabunPSK" w:hAnsi="TH SarabunPSK" w:cs="TH SarabunPSK"/>
          <w:sz w:val="28"/>
          <w:szCs w:val="24"/>
        </w:rPr>
        <w:t>Office of the National Land Policy Board</w:t>
      </w:r>
      <w:r w:rsidR="00954470" w:rsidRPr="00AA13DD">
        <w:rPr>
          <w:rFonts w:ascii="TH SarabunPSK" w:hAnsi="TH SarabunPSK" w:cs="TH SarabunPSK" w:hint="cs"/>
          <w:sz w:val="28"/>
          <w:szCs w:val="24"/>
          <w:cs/>
        </w:rPr>
        <w:t xml:space="preserve"> </w:t>
      </w:r>
      <w:r w:rsidR="00954470" w:rsidRPr="00AA13DD">
        <w:rPr>
          <w:rFonts w:ascii="TH SarabunPSK" w:hAnsi="TH SarabunPSK" w:cs="TH SarabunPSK"/>
          <w:sz w:val="28"/>
          <w:szCs w:val="24"/>
        </w:rPr>
        <w:t xml:space="preserve">(NLB) </w:t>
      </w:r>
    </w:p>
    <w:p w14:paraId="4ACA1E88" w14:textId="5C0B0917" w:rsidR="00954470" w:rsidRPr="00AA13DD" w:rsidRDefault="00AA13DD" w:rsidP="00476BA1">
      <w:pPr>
        <w:spacing w:after="0"/>
        <w:rPr>
          <w:rFonts w:ascii="TH SarabunPSK" w:hAnsi="TH SarabunPSK" w:cs="TH SarabunPSK"/>
          <w:noProof/>
          <w:sz w:val="28"/>
          <w:szCs w:val="24"/>
        </w:rPr>
      </w:pPr>
      <w:r w:rsidRPr="001D3BE9">
        <w:rPr>
          <w:rFonts w:ascii="TH SarabunPSK" w:hAnsi="TH SarabunPSK" w:cs="TH SarabunPSK"/>
          <w:noProof/>
          <w:sz w:val="32"/>
          <w:szCs w:val="32"/>
        </w:rPr>
        <w:drawing>
          <wp:anchor distT="0" distB="0" distL="114300" distR="114300" simplePos="0" relativeHeight="251661312" behindDoc="0" locked="0" layoutInCell="1" allowOverlap="1" wp14:anchorId="0FEA9054" wp14:editId="3B86D5E2">
            <wp:simplePos x="0" y="0"/>
            <wp:positionH relativeFrom="margin">
              <wp:posOffset>4647565</wp:posOffset>
            </wp:positionH>
            <wp:positionV relativeFrom="paragraph">
              <wp:posOffset>7620</wp:posOffset>
            </wp:positionV>
            <wp:extent cx="1509395" cy="744855"/>
            <wp:effectExtent l="0" t="0" r="0" b="0"/>
            <wp:wrapNone/>
            <wp:docPr id="2" name="Picture 1" descr="Generated image">
              <a:extLst xmlns:a="http://schemas.openxmlformats.org/drawingml/2006/main">
                <a:ext uri="{FF2B5EF4-FFF2-40B4-BE49-F238E27FC236}">
                  <a16:creationId xmlns:a16="http://schemas.microsoft.com/office/drawing/2014/main" id="{5854818A-706B-20EB-C7AF-B321C5F37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enerated image">
                      <a:extLst>
                        <a:ext uri="{FF2B5EF4-FFF2-40B4-BE49-F238E27FC236}">
                          <a16:creationId xmlns:a16="http://schemas.microsoft.com/office/drawing/2014/main" id="{5854818A-706B-20EB-C7AF-B321C5F3790D}"/>
                        </a:ext>
                      </a:extLst>
                    </pic:cNvPr>
                    <pic:cNvPicPr>
                      <a:picLocks noChangeAspect="1" noChangeArrowheads="1"/>
                    </pic:cNvPicPr>
                  </pic:nvPicPr>
                  <pic:blipFill rotWithShape="1">
                    <a:blip r:embed="rId5">
                      <a:clrChange>
                        <a:clrFrom>
                          <a:srgbClr val="F7F8F5"/>
                        </a:clrFrom>
                        <a:clrTo>
                          <a:srgbClr val="F7F8F5">
                            <a:alpha val="0"/>
                          </a:srgbClr>
                        </a:clrTo>
                      </a:clrChange>
                      <a:extLst>
                        <a:ext uri="{28A0092B-C50C-407E-A947-70E740481C1C}">
                          <a14:useLocalDpi xmlns:a14="http://schemas.microsoft.com/office/drawing/2010/main" val="0"/>
                        </a:ext>
                      </a:extLst>
                    </a:blip>
                    <a:srcRect l="4680" t="26822" r="2931" b="27562"/>
                    <a:stretch>
                      <a:fillRect/>
                    </a:stretch>
                  </pic:blipFill>
                  <pic:spPr bwMode="auto">
                    <a:xfrm>
                      <a:off x="0" y="0"/>
                      <a:ext cx="1509395" cy="74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470" w:rsidRPr="00AA13DD">
        <w:rPr>
          <w:rFonts w:ascii="TH SarabunPSK" w:hAnsi="TH SarabunPSK" w:cs="TH SarabunPSK"/>
          <w:sz w:val="28"/>
          <w:szCs w:val="24"/>
        </w:rPr>
        <w:t xml:space="preserve">2. </w:t>
      </w:r>
      <w:r w:rsidR="00954470" w:rsidRPr="00AA13DD">
        <w:rPr>
          <w:rFonts w:ascii="TH SarabunPSK" w:hAnsi="TH SarabunPSK" w:cs="TH SarabunPSK"/>
          <w:sz w:val="28"/>
          <w:szCs w:val="24"/>
          <w:cs/>
        </w:rPr>
        <w:t xml:space="preserve">สำนักงานการปฏิรูปที่ดินเพื่อเกษตรกรรม (อังกฤษ: </w:t>
      </w:r>
      <w:r w:rsidR="00954470" w:rsidRPr="00AA13DD">
        <w:rPr>
          <w:rFonts w:ascii="TH SarabunPSK" w:hAnsi="TH SarabunPSK" w:cs="TH SarabunPSK"/>
          <w:sz w:val="28"/>
          <w:szCs w:val="24"/>
        </w:rPr>
        <w:t>Agricultural Land Reform Office: ALRO)</w:t>
      </w:r>
      <w:r w:rsidR="00954470" w:rsidRPr="00AA13DD">
        <w:rPr>
          <w:rFonts w:ascii="TH SarabunPSK" w:hAnsi="TH SarabunPSK" w:cs="TH SarabunPSK"/>
          <w:noProof/>
          <w:sz w:val="28"/>
          <w:szCs w:val="24"/>
        </w:rPr>
        <w:t xml:space="preserve"> </w:t>
      </w:r>
    </w:p>
    <w:p w14:paraId="000A02E7" w14:textId="40F88366" w:rsidR="00954470" w:rsidRPr="00AA13DD" w:rsidRDefault="00954470" w:rsidP="002511DC">
      <w:pPr>
        <w:spacing w:after="0"/>
        <w:rPr>
          <w:rFonts w:ascii="TH SarabunPSK" w:hAnsi="TH SarabunPSK" w:cs="TH SarabunPSK"/>
          <w:noProof/>
          <w:sz w:val="28"/>
          <w:szCs w:val="24"/>
        </w:rPr>
      </w:pPr>
      <w:r w:rsidRPr="00AA13DD">
        <w:rPr>
          <w:rFonts w:ascii="TH SarabunPSK" w:hAnsi="TH SarabunPSK" w:cs="TH SarabunPSK"/>
          <w:noProof/>
          <w:sz w:val="28"/>
          <w:szCs w:val="24"/>
        </w:rPr>
        <w:t xml:space="preserve">3. </w:t>
      </w:r>
      <w:r w:rsidRPr="00AA13DD">
        <w:rPr>
          <w:rFonts w:ascii="TH SarabunPSK" w:hAnsi="TH SarabunPSK" w:cs="TH SarabunPSK" w:hint="cs"/>
          <w:noProof/>
          <w:sz w:val="28"/>
          <w:szCs w:val="24"/>
          <w:cs/>
        </w:rPr>
        <w:t xml:space="preserve">กรมส่งเสริมการเกษตร </w:t>
      </w:r>
      <w:r w:rsidRPr="00AA13DD">
        <w:rPr>
          <w:rFonts w:ascii="TH SarabunPSK" w:hAnsi="TH SarabunPSK" w:cs="TH SarabunPSK"/>
          <w:noProof/>
          <w:sz w:val="28"/>
          <w:szCs w:val="24"/>
        </w:rPr>
        <w:t>(</w:t>
      </w:r>
      <w:r w:rsidR="00233345" w:rsidRPr="00AA13DD">
        <w:rPr>
          <w:rFonts w:ascii="TH SarabunPSK" w:hAnsi="TH SarabunPSK" w:cs="TH SarabunPSK"/>
          <w:noProof/>
          <w:sz w:val="28"/>
          <w:szCs w:val="24"/>
        </w:rPr>
        <w:t>Department of Agriculture Extension : DOAE)</w:t>
      </w:r>
    </w:p>
    <w:p w14:paraId="15D59776" w14:textId="77B5F3A8" w:rsidR="00233345" w:rsidRPr="00AA13DD" w:rsidRDefault="00233345" w:rsidP="002511DC">
      <w:pPr>
        <w:spacing w:after="0"/>
        <w:rPr>
          <w:rFonts w:ascii="TH SarabunPSK" w:hAnsi="TH SarabunPSK" w:cs="TH SarabunPSK"/>
          <w:sz w:val="28"/>
          <w:szCs w:val="24"/>
        </w:rPr>
      </w:pPr>
      <w:r w:rsidRPr="00AA13DD">
        <w:rPr>
          <w:rFonts w:ascii="TH SarabunPSK" w:hAnsi="TH SarabunPSK" w:cs="TH SarabunPSK"/>
          <w:sz w:val="28"/>
          <w:szCs w:val="24"/>
        </w:rPr>
        <w:t xml:space="preserve">4. </w:t>
      </w:r>
      <w:r w:rsidRPr="00AA13DD">
        <w:rPr>
          <w:rFonts w:ascii="TH SarabunPSK" w:hAnsi="TH SarabunPSK" w:cs="TH SarabunPSK" w:hint="cs"/>
          <w:sz w:val="28"/>
          <w:szCs w:val="24"/>
          <w:cs/>
        </w:rPr>
        <w:t>การยางแห่งประเทศไทย</w:t>
      </w:r>
      <w:r w:rsidRPr="00AA13DD">
        <w:rPr>
          <w:rFonts w:ascii="TH SarabunPSK" w:hAnsi="TH SarabunPSK" w:cs="TH SarabunPSK"/>
          <w:sz w:val="28"/>
          <w:szCs w:val="24"/>
        </w:rPr>
        <w:t xml:space="preserve"> </w:t>
      </w:r>
      <w:r w:rsidR="00476BA1" w:rsidRPr="00AA13DD">
        <w:rPr>
          <w:rFonts w:ascii="TH SarabunPSK" w:hAnsi="TH SarabunPSK" w:cs="TH SarabunPSK"/>
          <w:sz w:val="28"/>
          <w:szCs w:val="24"/>
        </w:rPr>
        <w:t>(</w:t>
      </w:r>
      <w:r w:rsidRPr="00AA13DD">
        <w:rPr>
          <w:rFonts w:ascii="TH SarabunPSK" w:hAnsi="TH SarabunPSK" w:cs="TH SarabunPSK"/>
          <w:sz w:val="28"/>
          <w:szCs w:val="24"/>
        </w:rPr>
        <w:t>Rubber Authority of Thailand : RAOT)</w:t>
      </w:r>
    </w:p>
    <w:p w14:paraId="3E1B58C3" w14:textId="3A290955" w:rsidR="00450307" w:rsidRPr="00AA13DD" w:rsidRDefault="00476BA1" w:rsidP="00EC2EC5">
      <w:pPr>
        <w:spacing w:after="0"/>
        <w:rPr>
          <w:rFonts w:ascii="TH SarabunPSK" w:hAnsi="TH SarabunPSK" w:cs="TH SarabunPSK"/>
          <w:sz w:val="28"/>
          <w:szCs w:val="24"/>
        </w:rPr>
      </w:pPr>
      <w:r w:rsidRPr="00AA13DD">
        <w:rPr>
          <w:rFonts w:ascii="TH SarabunPSK" w:hAnsi="TH SarabunPSK" w:cs="TH SarabunPSK"/>
          <w:sz w:val="28"/>
          <w:szCs w:val="24"/>
        </w:rPr>
        <w:t xml:space="preserve">5. </w:t>
      </w:r>
      <w:r w:rsidRPr="00AA13DD">
        <w:rPr>
          <w:rFonts w:ascii="TH SarabunPSK" w:hAnsi="TH SarabunPSK" w:cs="TH SarabunPSK" w:hint="cs"/>
          <w:sz w:val="28"/>
          <w:szCs w:val="24"/>
          <w:cs/>
        </w:rPr>
        <w:t xml:space="preserve">กรมที่ดิน </w:t>
      </w:r>
      <w:r w:rsidRPr="00AA13DD">
        <w:rPr>
          <w:rFonts w:ascii="TH SarabunPSK" w:hAnsi="TH SarabunPSK" w:cs="TH SarabunPSK"/>
          <w:sz w:val="28"/>
          <w:szCs w:val="24"/>
        </w:rPr>
        <w:t>( Department of Land : DOL )</w:t>
      </w:r>
    </w:p>
    <w:tbl>
      <w:tblPr>
        <w:tblStyle w:val="TableGrid"/>
        <w:tblW w:w="0" w:type="auto"/>
        <w:tblLook w:val="04A0" w:firstRow="1" w:lastRow="0" w:firstColumn="1" w:lastColumn="0" w:noHBand="0" w:noVBand="1"/>
      </w:tblPr>
      <w:tblGrid>
        <w:gridCol w:w="9350"/>
      </w:tblGrid>
      <w:tr w:rsidR="00954470" w:rsidRPr="00476BA1" w14:paraId="59E146F9" w14:textId="77777777">
        <w:tc>
          <w:tcPr>
            <w:tcW w:w="9350" w:type="dxa"/>
          </w:tcPr>
          <w:p w14:paraId="675F9B9A" w14:textId="58C7BE87" w:rsidR="00954470" w:rsidRPr="00476BA1" w:rsidRDefault="00954470" w:rsidP="00DF6354">
            <w:pPr>
              <w:jc w:val="center"/>
              <w:rPr>
                <w:rFonts w:ascii="TH SarabunPSK" w:hAnsi="TH SarabunPSK" w:cs="TH SarabunPSK"/>
                <w:sz w:val="32"/>
                <w:szCs w:val="32"/>
              </w:rPr>
            </w:pPr>
            <w:r w:rsidRPr="00476BA1">
              <w:rPr>
                <w:rFonts w:ascii="TH SarabunPSK" w:hAnsi="TH SarabunPSK" w:cs="TH SarabunPSK"/>
                <w:noProof/>
                <w:sz w:val="32"/>
                <w:szCs w:val="32"/>
              </w:rPr>
              <w:drawing>
                <wp:inline distT="0" distB="0" distL="0" distR="0" wp14:anchorId="6102B05C" wp14:editId="0F56966B">
                  <wp:extent cx="493185" cy="632670"/>
                  <wp:effectExtent l="0" t="0" r="2540" b="0"/>
                  <wp:docPr id="128744134" name="Picture 1" descr="สำนักงานคณะกรรมการนโยบายที่ดินแห่งชาติ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ำนักงานคณะกรรมการนโยบายที่ดินแห่งชาติ - วิกิพีเดีย"/>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648" cy="640960"/>
                          </a:xfrm>
                          <a:prstGeom prst="rect">
                            <a:avLst/>
                          </a:prstGeom>
                          <a:noFill/>
                          <a:ln>
                            <a:noFill/>
                          </a:ln>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6A78F13D" wp14:editId="777BC383">
                  <wp:extent cx="681589" cy="614732"/>
                  <wp:effectExtent l="0" t="0" r="4445" b="0"/>
                  <wp:docPr id="6146" name="Picture 2" descr="เข้าสู่ระบบ Mapping&amp;LandText | ส.ป.ก.">
                    <a:extLst xmlns:a="http://schemas.openxmlformats.org/drawingml/2006/main">
                      <a:ext uri="{FF2B5EF4-FFF2-40B4-BE49-F238E27FC236}">
                        <a16:creationId xmlns:a16="http://schemas.microsoft.com/office/drawing/2014/main" id="{111A8B31-B813-0CA5-5526-B3664CCB8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เข้าสู่ระบบ Mapping&amp;LandText | ส.ป.ก.">
                            <a:extLst>
                              <a:ext uri="{FF2B5EF4-FFF2-40B4-BE49-F238E27FC236}">
                                <a16:creationId xmlns:a16="http://schemas.microsoft.com/office/drawing/2014/main" id="{111A8B31-B813-0CA5-5526-B3664CCB8C29}"/>
                              </a:ext>
                            </a:extLst>
                          </pic:cNvPr>
                          <pic:cNvPicPr>
                            <a:picLocks noChangeAspect="1" noChangeArrowheads="1"/>
                          </pic:cNvPicPr>
                        </pic:nvPicPr>
                        <pic:blipFill rotWithShape="1">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t="9356"/>
                          <a:stretch>
                            <a:fillRect/>
                          </a:stretch>
                        </pic:blipFill>
                        <pic:spPr bwMode="auto">
                          <a:xfrm>
                            <a:off x="0" y="0"/>
                            <a:ext cx="697508" cy="629089"/>
                          </a:xfrm>
                          <a:prstGeom prst="rect">
                            <a:avLst/>
                          </a:prstGeom>
                          <a:noFill/>
                          <a:ln>
                            <a:noFill/>
                          </a:ln>
                          <a:extLst>
                            <a:ext uri="{53640926-AAD7-44D8-BBD7-CCE9431645EC}">
                              <a14:shadowObscured xmlns:a14="http://schemas.microsoft.com/office/drawing/2010/main"/>
                            </a:ext>
                          </a:extLst>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3525E9D4" wp14:editId="4457CDB7">
                  <wp:extent cx="589432" cy="615315"/>
                  <wp:effectExtent l="0" t="0" r="1270" b="0"/>
                  <wp:docPr id="529219562" name="Picture 2" descr="LOGO – ศูนย์ข่าวกรมส่งเสริมการเกษต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 ศูนย์ข่าวกรมส่งเสริมการเกษต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601748" cy="628172"/>
                          </a:xfrm>
                          <a:prstGeom prst="rect">
                            <a:avLst/>
                          </a:prstGeom>
                          <a:noFill/>
                          <a:ln>
                            <a:noFill/>
                          </a:ln>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38E61721" wp14:editId="5B2C0F67">
                  <wp:extent cx="636032" cy="615844"/>
                  <wp:effectExtent l="0" t="0" r="0" b="0"/>
                  <wp:docPr id="2143681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11" r="11431" b="26066"/>
                          <a:stretch>
                            <a:fillRect/>
                          </a:stretch>
                        </pic:blipFill>
                        <pic:spPr bwMode="auto">
                          <a:xfrm flipV="1">
                            <a:off x="0" y="0"/>
                            <a:ext cx="646938" cy="626404"/>
                          </a:xfrm>
                          <a:prstGeom prst="rect">
                            <a:avLst/>
                          </a:prstGeom>
                          <a:noFill/>
                          <a:ln>
                            <a:noFill/>
                          </a:ln>
                          <a:extLst>
                            <a:ext uri="{53640926-AAD7-44D8-BBD7-CCE9431645EC}">
                              <a14:shadowObscured xmlns:a14="http://schemas.microsoft.com/office/drawing/2010/main"/>
                            </a:ext>
                          </a:extLst>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2511DC">
              <w:rPr>
                <w:noProof/>
              </w:rPr>
              <w:drawing>
                <wp:inline distT="0" distB="0" distL="0" distR="0" wp14:anchorId="4910691B" wp14:editId="2907EDDA">
                  <wp:extent cx="593427" cy="618746"/>
                  <wp:effectExtent l="0" t="0" r="0" b="0"/>
                  <wp:docPr id="756322969" name="Picture 4" descr="กรมที่ดิน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กรมที่ดิน - วิกิพีเดีย"/>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183" cy="628918"/>
                          </a:xfrm>
                          <a:prstGeom prst="rect">
                            <a:avLst/>
                          </a:prstGeom>
                          <a:noFill/>
                          <a:ln>
                            <a:noFill/>
                          </a:ln>
                        </pic:spPr>
                      </pic:pic>
                    </a:graphicData>
                  </a:graphic>
                </wp:inline>
              </w:drawing>
            </w:r>
          </w:p>
        </w:tc>
      </w:tr>
    </w:tbl>
    <w:p w14:paraId="636EA3BB" w14:textId="77777777" w:rsidR="00954470" w:rsidRPr="00476BA1" w:rsidRDefault="00954470" w:rsidP="00AA13DD">
      <w:pPr>
        <w:rPr>
          <w:rFonts w:ascii="TH SarabunPSK" w:hAnsi="TH SarabunPSK" w:cs="TH SarabunPSK"/>
          <w:sz w:val="32"/>
          <w:szCs w:val="32"/>
          <w:cs/>
        </w:rPr>
      </w:pPr>
    </w:p>
    <w:sectPr w:rsidR="00954470" w:rsidRPr="00476BA1" w:rsidSect="00450307">
      <w:pgSz w:w="12240" w:h="15840" w:code="1"/>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B5"/>
    <w:rsid w:val="000C0337"/>
    <w:rsid w:val="001D3BE9"/>
    <w:rsid w:val="00230330"/>
    <w:rsid w:val="00233345"/>
    <w:rsid w:val="002511DC"/>
    <w:rsid w:val="002D7023"/>
    <w:rsid w:val="002F1E57"/>
    <w:rsid w:val="003D205B"/>
    <w:rsid w:val="00450307"/>
    <w:rsid w:val="00476BA1"/>
    <w:rsid w:val="004C505E"/>
    <w:rsid w:val="00532752"/>
    <w:rsid w:val="00543D67"/>
    <w:rsid w:val="006E40B7"/>
    <w:rsid w:val="007A4AB5"/>
    <w:rsid w:val="008D2EB2"/>
    <w:rsid w:val="0090365D"/>
    <w:rsid w:val="00954470"/>
    <w:rsid w:val="00A145F8"/>
    <w:rsid w:val="00AA13DD"/>
    <w:rsid w:val="00AA594D"/>
    <w:rsid w:val="00C94376"/>
    <w:rsid w:val="00CD4E5C"/>
    <w:rsid w:val="00DF6354"/>
    <w:rsid w:val="00EA766E"/>
    <w:rsid w:val="00EC2EC5"/>
    <w:rsid w:val="00F71992"/>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C59BC"/>
  <w15:chartTrackingRefBased/>
  <w15:docId w15:val="{4D562A67-68FC-4C5F-84BC-34F3B502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AB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A4AB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A4AB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A4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AB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A4AB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A4AB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A4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AB5"/>
    <w:rPr>
      <w:rFonts w:eastAsiaTheme="majorEastAsia" w:cstheme="majorBidi"/>
      <w:color w:val="272727" w:themeColor="text1" w:themeTint="D8"/>
    </w:rPr>
  </w:style>
  <w:style w:type="paragraph" w:styleId="Title">
    <w:name w:val="Title"/>
    <w:basedOn w:val="Normal"/>
    <w:next w:val="Normal"/>
    <w:link w:val="TitleChar"/>
    <w:uiPriority w:val="10"/>
    <w:qFormat/>
    <w:rsid w:val="007A4AB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A4AB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A4AB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A4AB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A4AB5"/>
    <w:pPr>
      <w:spacing w:before="160"/>
      <w:jc w:val="center"/>
    </w:pPr>
    <w:rPr>
      <w:i/>
      <w:iCs/>
      <w:color w:val="404040" w:themeColor="text1" w:themeTint="BF"/>
    </w:rPr>
  </w:style>
  <w:style w:type="character" w:customStyle="1" w:styleId="QuoteChar">
    <w:name w:val="Quote Char"/>
    <w:basedOn w:val="DefaultParagraphFont"/>
    <w:link w:val="Quote"/>
    <w:uiPriority w:val="29"/>
    <w:rsid w:val="007A4AB5"/>
    <w:rPr>
      <w:i/>
      <w:iCs/>
      <w:color w:val="404040" w:themeColor="text1" w:themeTint="BF"/>
    </w:rPr>
  </w:style>
  <w:style w:type="paragraph" w:styleId="ListParagraph">
    <w:name w:val="List Paragraph"/>
    <w:basedOn w:val="Normal"/>
    <w:uiPriority w:val="34"/>
    <w:qFormat/>
    <w:rsid w:val="007A4AB5"/>
    <w:pPr>
      <w:ind w:left="720"/>
      <w:contextualSpacing/>
    </w:pPr>
  </w:style>
  <w:style w:type="character" w:styleId="IntenseEmphasis">
    <w:name w:val="Intense Emphasis"/>
    <w:basedOn w:val="DefaultParagraphFont"/>
    <w:uiPriority w:val="21"/>
    <w:qFormat/>
    <w:rsid w:val="007A4AB5"/>
    <w:rPr>
      <w:i/>
      <w:iCs/>
      <w:color w:val="0F4761" w:themeColor="accent1" w:themeShade="BF"/>
    </w:rPr>
  </w:style>
  <w:style w:type="paragraph" w:styleId="IntenseQuote">
    <w:name w:val="Intense Quote"/>
    <w:basedOn w:val="Normal"/>
    <w:next w:val="Normal"/>
    <w:link w:val="IntenseQuoteChar"/>
    <w:uiPriority w:val="30"/>
    <w:qFormat/>
    <w:rsid w:val="007A4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AB5"/>
    <w:rPr>
      <w:i/>
      <w:iCs/>
      <w:color w:val="0F4761" w:themeColor="accent1" w:themeShade="BF"/>
    </w:rPr>
  </w:style>
  <w:style w:type="character" w:styleId="IntenseReference">
    <w:name w:val="Intense Reference"/>
    <w:basedOn w:val="DefaultParagraphFont"/>
    <w:uiPriority w:val="32"/>
    <w:qFormat/>
    <w:rsid w:val="007A4AB5"/>
    <w:rPr>
      <w:b/>
      <w:bCs/>
      <w:smallCaps/>
      <w:color w:val="0F4761" w:themeColor="accent1" w:themeShade="BF"/>
      <w:spacing w:val="5"/>
    </w:rPr>
  </w:style>
  <w:style w:type="table" w:styleId="TableGrid">
    <w:name w:val="Table Grid"/>
    <w:basedOn w:val="TableNormal"/>
    <w:uiPriority w:val="39"/>
    <w:rsid w:val="00954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PHISAN SANTITAMNONT</dc:creator>
  <cp:keywords/>
  <dc:description/>
  <cp:lastModifiedBy>PHISAN SANTITAMNONT</cp:lastModifiedBy>
  <cp:revision>15</cp:revision>
  <cp:lastPrinted>2025-08-12T14:53:00Z</cp:lastPrinted>
  <dcterms:created xsi:type="dcterms:W3CDTF">2025-08-03T05:54:00Z</dcterms:created>
  <dcterms:modified xsi:type="dcterms:W3CDTF">2025-08-12T14:54:00Z</dcterms:modified>
</cp:coreProperties>
</file>