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66"/>
        <w:gridCol w:w="1557"/>
        <w:gridCol w:w="319"/>
        <w:gridCol w:w="2949"/>
        <w:gridCol w:w="3341"/>
      </w:tblGrid>
      <w:tr w:rsidR="004F6EFE" w:rsidRPr="00EF3B4C" w:rsidTr="00BD4BE6">
        <w:trPr>
          <w:tblHeader/>
          <w:jc w:val="center"/>
        </w:trPr>
        <w:tc>
          <w:tcPr>
            <w:tcW w:w="2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bookmarkStart w:id="0" w:name="_GoBack"/>
            <w:bookmarkEnd w:id="0"/>
            <w:r w:rsidRPr="00EF3B4C">
              <w:rPr>
                <w:b/>
              </w:rPr>
              <w:t>Binôme 1 :</w:t>
            </w:r>
          </w:p>
          <w:p w:rsidR="00EF3B4C" w:rsidRDefault="00A66B43" w:rsidP="00EF3B4C">
            <w:pPr>
              <w:jc w:val="center"/>
              <w:rPr>
                <w:b/>
              </w:rPr>
            </w:pPr>
            <w:r>
              <w:rPr>
                <w:b/>
              </w:rPr>
              <w:t>JACQUET Philippe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A66B43" w:rsidRDefault="00A66B43" w:rsidP="00EF3B4C">
            <w:pPr>
              <w:jc w:val="center"/>
              <w:rPr>
                <w:b/>
              </w:rPr>
            </w:pPr>
            <w:r>
              <w:rPr>
                <w:b/>
              </w:rPr>
              <w:t>jacquet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825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TP N°1</w:t>
            </w:r>
          </w:p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Prise en main de </w:t>
            </w:r>
          </w:p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TRIPOLI et DRAGON</w:t>
            </w:r>
          </w:p>
          <w:p w:rsidR="00297EC7" w:rsidRPr="00EF3B4C" w:rsidRDefault="00297EC7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297EC7">
              <w:rPr>
                <w:rFonts w:asciiTheme="majorHAnsi" w:hAnsiTheme="majorHAnsi"/>
                <w:b/>
                <w:sz w:val="36"/>
                <w:szCs w:val="36"/>
                <w:highlight w:val="red"/>
              </w:rPr>
              <w:t>- CORRECTION -</w:t>
            </w:r>
          </w:p>
        </w:tc>
        <w:tc>
          <w:tcPr>
            <w:tcW w:w="334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A66B43" w:rsidP="00EF3B4C">
            <w:pPr>
              <w:jc w:val="center"/>
              <w:rPr>
                <w:b/>
              </w:rPr>
            </w:pPr>
            <w:r>
              <w:rPr>
                <w:b/>
              </w:rPr>
              <w:t>28/11</w:t>
            </w:r>
            <w:r w:rsidR="00EF3B4C">
              <w:rPr>
                <w:b/>
              </w:rPr>
              <w:t>/2013</w:t>
            </w: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/>
          <w:p w:rsidR="00EF3B4C" w:rsidRPr="00812099" w:rsidRDefault="00EF3B4C" w:rsidP="00EF3B4C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TRIPOLI</w:t>
            </w:r>
          </w:p>
          <w:p w:rsidR="00EF3B4C" w:rsidRDefault="00EF3B4C" w:rsidP="00EF3B4C">
            <w:r>
              <w:t>Document de référence : Manuel Utilisateur TRIPOLI4</w:t>
            </w:r>
          </w:p>
          <w:p w:rsidR="00EF3B4C" w:rsidRDefault="0063087F" w:rsidP="00EF3B4C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tripoli »</w:t>
            </w:r>
          </w:p>
          <w:p w:rsidR="0063087F" w:rsidRPr="0063087F" w:rsidRDefault="0063087F" w:rsidP="00EF3B4C">
            <w:pPr>
              <w:rPr>
                <w:u w:val="single"/>
              </w:rPr>
            </w:pP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EF3B4C">
            <w:pPr>
              <w:pStyle w:val="Titre1"/>
              <w:outlineLvl w:val="0"/>
            </w:pPr>
          </w:p>
          <w:p w:rsidR="00EF3B4C" w:rsidRDefault="00EF3B4C" w:rsidP="00EF3B4C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</w:t>
            </w:r>
            <w:r w:rsidR="00812099">
              <w:t xml:space="preserve"> – expérience GODIVA (boule critique – 94%</w:t>
            </w:r>
            <w:r w:rsidR="00812099" w:rsidRPr="00812099">
              <w:rPr>
                <w:vertAlign w:val="subscript"/>
              </w:rPr>
              <w:t>wt</w:t>
            </w:r>
            <w:r w:rsidR="00812099">
              <w:t>U235)</w:t>
            </w:r>
          </w:p>
          <w:p w:rsidR="00DE58FB" w:rsidRPr="00DE58FB" w:rsidRDefault="00DE58FB" w:rsidP="00DE58FB"/>
        </w:tc>
      </w:tr>
      <w:tr w:rsidR="00115ED3" w:rsidRPr="00EF3B4C" w:rsidTr="00BD4BE6">
        <w:trPr>
          <w:jc w:val="center"/>
        </w:trPr>
        <w:tc>
          <w:tcPr>
            <w:tcW w:w="206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318F7" w:rsidRPr="00DE58FB" w:rsidRDefault="000318F7" w:rsidP="00794E11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DE58FB"/>
        </w:tc>
        <w:tc>
          <w:tcPr>
            <w:tcW w:w="816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Pr="00EF3B4C" w:rsidRDefault="000318F7" w:rsidP="00EF3B4C">
            <w:pPr>
              <w:rPr>
                <w:b/>
              </w:rPr>
            </w:pPr>
          </w:p>
        </w:tc>
      </w:tr>
      <w:tr w:rsidR="000318F7" w:rsidRPr="00794E11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Default="000318F7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La commande de lancement de TRIPOLI est un alias : « tripoli »</w:t>
            </w:r>
          </w:p>
          <w:p w:rsidR="00DE58FB" w:rsidRDefault="00DE58FB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L’argument « </w:t>
            </w:r>
            <w:r w:rsidR="00794E11">
              <w:rPr>
                <w:b/>
              </w:rPr>
              <w:t>-c</w:t>
            </w:r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bib_path_file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> » </w:t>
            </w:r>
            <w:r>
              <w:rPr>
                <w:b/>
              </w:rPr>
              <w:t>spécifie la bibliothèque</w:t>
            </w:r>
            <w:r w:rsidR="00794E11">
              <w:rPr>
                <w:b/>
              </w:rPr>
              <w:t xml:space="preserve"> de données nucléaires </w:t>
            </w:r>
            <w:r>
              <w:rPr>
                <w:b/>
              </w:rPr>
              <w:t xml:space="preserve"> à utiliser :</w:t>
            </w:r>
          </w:p>
          <w:p w:rsidR="000318F7" w:rsidRPr="00794E11" w:rsidRDefault="000318F7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t4path.jef2 </w:t>
            </w:r>
            <w:r w:rsidR="00794E11" w:rsidRPr="00794E11">
              <w:t xml:space="preserve"> </w:t>
            </w:r>
            <w:r w:rsidR="00794E11">
              <w:rPr>
                <w:lang w:val="en-US"/>
              </w:rPr>
              <w:sym w:font="Symbol" w:char="F0DE"/>
            </w:r>
            <w:r w:rsidR="00794E11" w:rsidRPr="00794E11">
              <w:t xml:space="preserve"> utilisation de la bibliothèque</w:t>
            </w:r>
            <w:r w:rsidR="00794E11">
              <w:t xml:space="preserve"> européenne</w:t>
            </w:r>
            <w:r w:rsidR="00794E11" w:rsidRPr="00794E11">
              <w:t xml:space="preserve"> JEF2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</w:t>
            </w:r>
            <w:r>
              <w:t>path.endl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japonaise ENDL</w:t>
            </w:r>
          </w:p>
          <w:p w:rsidR="00DE58FB" w:rsidRPr="00794E11" w:rsidRDefault="00794E11" w:rsidP="00DE58FB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</w:t>
            </w:r>
            <w:r>
              <w:t>endfb6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américaine B6</w:t>
            </w:r>
          </w:p>
          <w:p w:rsidR="00DE58FB" w:rsidRDefault="00DE58FB" w:rsidP="00794E11">
            <w:pPr>
              <w:rPr>
                <w:b/>
              </w:rPr>
            </w:pPr>
          </w:p>
          <w:p w:rsidR="00794E11" w:rsidRDefault="00794E11" w:rsidP="00794E11">
            <w:pPr>
              <w:rPr>
                <w:b/>
              </w:rPr>
            </w:pPr>
            <w:r>
              <w:rPr>
                <w:b/>
              </w:rPr>
              <w:t>L’argument « -s &lt;</w:t>
            </w:r>
            <w:proofErr w:type="spellStart"/>
            <w:r>
              <w:rPr>
                <w:b/>
              </w:rPr>
              <w:t>autopModel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 xml:space="preserve"> » </w:t>
            </w:r>
            <w:r>
              <w:rPr>
                <w:b/>
              </w:rPr>
              <w:t xml:space="preserve"> spécifie le modèle d’</w:t>
            </w:r>
            <w:r w:rsidR="00DE58FB">
              <w:rPr>
                <w:b/>
              </w:rPr>
              <w:t>autoprotection</w:t>
            </w:r>
            <w:r>
              <w:rPr>
                <w:b/>
              </w:rPr>
              <w:t xml:space="preserve">  à utiliser :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NJOY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sans tables de probabilités</w:t>
            </w:r>
          </w:p>
          <w:p w:rsidR="000318F7" w:rsidRPr="00DE58FB" w:rsidRDefault="00794E11" w:rsidP="00794E1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TABPROB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avec tables de probabilités</w:t>
            </w:r>
          </w:p>
          <w:p w:rsidR="00DE58FB" w:rsidRDefault="00DE58FB" w:rsidP="00DE58FB">
            <w:pPr>
              <w:rPr>
                <w:b/>
              </w:rPr>
            </w:pPr>
          </w:p>
          <w:p w:rsidR="00DE58FB" w:rsidRDefault="00DE58FB" w:rsidP="00DE58FB">
            <w:pPr>
              <w:rPr>
                <w:b/>
              </w:rPr>
            </w:pPr>
            <w:r>
              <w:rPr>
                <w:b/>
              </w:rPr>
              <w:t>L’argument « -d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spécifie le nom du fichier de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à calculer :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</w:t>
            </w:r>
          </w:p>
          <w:p w:rsidR="00831D3A" w:rsidRDefault="00831D3A" w:rsidP="00831D3A"/>
          <w:p w:rsidR="00831D3A" w:rsidRPr="001F6177" w:rsidRDefault="00831D3A" w:rsidP="00831D3A">
            <w:pPr>
              <w:rPr>
                <w:b/>
              </w:rPr>
            </w:pPr>
            <w:r w:rsidRPr="001F6177">
              <w:rPr>
                <w:b/>
              </w:rPr>
              <w:t>Exécutez le calcul TRIPOLI avec les options suivantes :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Bibliothèque : JEF2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Autoprotection : Tables de Probabilités</w:t>
            </w:r>
          </w:p>
          <w:p w:rsidR="00DE58FB" w:rsidRPr="00DE58FB" w:rsidRDefault="00DE58FB" w:rsidP="00DE58FB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E58FB" w:rsidRPr="00DE58FB" w:rsidRDefault="00DE58FB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DE58FB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avec l’estimateur KSTEP ?</w:t>
            </w:r>
          </w:p>
          <w:p w:rsidR="00DE58FB" w:rsidRDefault="00DE58FB" w:rsidP="001826F3"/>
          <w:p w:rsidR="00CC1693" w:rsidRPr="00DE58FB" w:rsidRDefault="00CC1693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97EC7" w:rsidRDefault="00297EC7" w:rsidP="001826F3">
            <w:pPr>
              <w:rPr>
                <w:b/>
              </w:rPr>
            </w:pPr>
            <w:r>
              <w:rPr>
                <w:b/>
              </w:rPr>
              <w:t>Les résultats sont conservés dans le fichier hmf001.out</w:t>
            </w:r>
          </w:p>
          <w:p w:rsidR="00297EC7" w:rsidRPr="00297EC7" w:rsidRDefault="00297EC7" w:rsidP="001826F3">
            <w:r w:rsidRPr="00297EC7">
              <w:t xml:space="preserve">Le </w:t>
            </w:r>
            <w:proofErr w:type="spellStart"/>
            <w:r w:rsidRPr="00297EC7">
              <w:t>Keff</w:t>
            </w:r>
            <w:proofErr w:type="spellEnd"/>
            <w:r w:rsidRPr="00297EC7">
              <w:t xml:space="preserve"> obtenu avec l’estimateur KSTEP est :</w:t>
            </w:r>
          </w:p>
          <w:p w:rsidR="00297EC7" w:rsidRPr="00297EC7" w:rsidRDefault="00297EC7" w:rsidP="00297EC7">
            <w:pPr>
              <w:jc w:val="center"/>
            </w:pPr>
            <w:r w:rsidRPr="00297EC7">
              <w:rPr>
                <w:bdr w:val="single" w:sz="4" w:space="0" w:color="auto"/>
              </w:rPr>
              <w:t>0,99</w:t>
            </w:r>
            <w:r>
              <w:rPr>
                <w:bdr w:val="single" w:sz="4" w:space="0" w:color="auto"/>
              </w:rPr>
              <w:t>365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>Quel est l’écart statistique associé?</w:t>
            </w:r>
          </w:p>
          <w:p w:rsidR="00DE58FB" w:rsidRDefault="00DE58FB" w:rsidP="00DE58FB"/>
          <w:p w:rsidR="00CC1693" w:rsidRDefault="00CC1693" w:rsidP="00DE58FB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297EC7" w:rsidRDefault="00297EC7" w:rsidP="001826F3">
            <w:r w:rsidRPr="00297EC7">
              <w:t xml:space="preserve">L’écart statistique </w:t>
            </w:r>
            <w:r>
              <w:t>absolu</w:t>
            </w:r>
            <w:r w:rsidRPr="00297EC7">
              <w:t xml:space="preserve"> associé est :</w:t>
            </w:r>
          </w:p>
          <w:p w:rsidR="00DE58FB" w:rsidRPr="00297EC7" w:rsidRDefault="00297EC7" w:rsidP="00BE7BAA">
            <w:pPr>
              <w:jc w:val="center"/>
            </w:pPr>
            <w:r>
              <w:rPr>
                <w:bdr w:val="single" w:sz="4" w:space="0" w:color="auto"/>
              </w:rPr>
              <w:t>0,0012</w:t>
            </w:r>
            <w:r w:rsidR="00BE7BAA">
              <w:rPr>
                <w:bdr w:val="single" w:sz="4" w:space="0" w:color="auto"/>
              </w:rPr>
              <w:t>6</w: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 xml:space="preserve">Indiquez la réactivité de cette configuration et son incertitude à 1 </w:t>
            </w:r>
            <w:r>
              <w:sym w:font="Symbol" w:char="F073"/>
            </w:r>
          </w:p>
          <w:p w:rsidR="00CC1693" w:rsidRDefault="00CC1693" w:rsidP="00DE58FB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297EC7" w:rsidRDefault="00297EC7" w:rsidP="001826F3">
            <w:r w:rsidRPr="00297EC7">
              <w:t>La réactivité de cette configuration est :</w:t>
            </w:r>
          </w:p>
          <w:p w:rsidR="00297EC7" w:rsidRDefault="00BE7BAA" w:rsidP="00297EC7">
            <w:pPr>
              <w:jc w:val="center"/>
              <w:rPr>
                <w:b/>
              </w:rPr>
            </w:pPr>
            <w:r>
              <w:rPr>
                <w:bdr w:val="single" w:sz="4" w:space="0" w:color="auto"/>
              </w:rPr>
              <w:t xml:space="preserve">639 </w:t>
            </w:r>
            <w:proofErr w:type="spellStart"/>
            <w:r>
              <w:rPr>
                <w:bdr w:val="single" w:sz="4" w:space="0" w:color="auto"/>
              </w:rPr>
              <w:t>pcm</w:t>
            </w:r>
            <w:proofErr w:type="spellEnd"/>
            <w:r>
              <w:rPr>
                <w:bdr w:val="single" w:sz="4" w:space="0" w:color="auto"/>
              </w:rPr>
              <w:t xml:space="preserve"> +/- 126</w:t>
            </w:r>
            <w:r w:rsidR="00297EC7" w:rsidRPr="00297EC7">
              <w:rPr>
                <w:bdr w:val="single" w:sz="4" w:space="0" w:color="auto"/>
              </w:rPr>
              <w:t xml:space="preserve"> </w:t>
            </w:r>
            <w:proofErr w:type="spellStart"/>
            <w:r w:rsidR="00297EC7" w:rsidRPr="00297EC7">
              <w:rPr>
                <w:bdr w:val="single" w:sz="4" w:space="0" w:color="auto"/>
              </w:rPr>
              <w:t>pcm</w:t>
            </w:r>
            <w:proofErr w:type="spellEnd"/>
          </w:p>
        </w:tc>
      </w:tr>
      <w:tr w:rsidR="00115ED3" w:rsidRPr="00EF3B4C" w:rsidTr="00BD4BE6">
        <w:trPr>
          <w:jc w:val="center"/>
        </w:trPr>
        <w:tc>
          <w:tcPr>
            <w:tcW w:w="206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1826F3"/>
        </w:tc>
        <w:tc>
          <w:tcPr>
            <w:tcW w:w="816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794E11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31D3A" w:rsidRDefault="00831D3A" w:rsidP="000B0592">
            <w:r>
              <w:t>Pour connaitre la durée réelle d’exécution d’un processus, une méthode simple est de précéder l’appel au processus par la commande « </w:t>
            </w:r>
            <w:r w:rsidRPr="00831D3A">
              <w:rPr>
                <w:b/>
              </w:rPr>
              <w:t>time</w:t>
            </w:r>
            <w:r>
              <w:t> ». Par exemple :</w:t>
            </w:r>
          </w:p>
          <w:p w:rsidR="00831D3A" w:rsidRDefault="00831D3A" w:rsidP="000B0592">
            <w:r>
              <w:t>« time tripoli –c &lt;…&gt;  -s &lt;…&gt;  -d &lt;…&gt;</w:t>
            </w:r>
          </w:p>
          <w:p w:rsidR="00831D3A" w:rsidRDefault="00831D3A" w:rsidP="00831D3A">
            <w:r>
              <w:t xml:space="preserve">Le nombre d’histoires d’un code stochastique est représentatif du nombre de particules dont la « vie » sera </w:t>
            </w:r>
            <w:r>
              <w:lastRenderedPageBreak/>
              <w:t>simulée : de la naissance par une fission à la mort par une absorption. Le nombre d’histoires est spécifié dans les « </w:t>
            </w:r>
            <w:r w:rsidRPr="00217B0A">
              <w:rPr>
                <w:b/>
              </w:rPr>
              <w:t>paramètres de simulation</w:t>
            </w:r>
            <w:r>
              <w:t xml:space="preserve"> » (voir </w:t>
            </w:r>
            <w:proofErr w:type="spellStart"/>
            <w:r>
              <w:t>slide</w:t>
            </w:r>
            <w:proofErr w:type="spellEnd"/>
            <w:r>
              <w:t xml:space="preserve"> 18)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1 000 000 d’histoires (1000 batch de 1000 histoires).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4 000 000 d’histoires.</w:t>
            </w:r>
          </w:p>
          <w:p w:rsidR="00CC2B12" w:rsidRPr="00217B0A" w:rsidRDefault="00217B0A" w:rsidP="000B0592"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100 000 d’histoires.</w: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E58FB" w:rsidRPr="00DE58FB" w:rsidRDefault="00DE58FB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115ED3" w:rsidRPr="00BE7BAA" w:rsidTr="00BD4BE6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E7BAA" w:rsidRDefault="00BE7BAA" w:rsidP="00CC2B12">
            <w:r>
              <w:t>Comparez les temps d’exécution obtenus</w:t>
            </w:r>
          </w:p>
          <w:p w:rsidR="00BE7BAA" w:rsidRDefault="00BE7BAA" w:rsidP="00CC2B12"/>
          <w:p w:rsidR="00BE7BAA" w:rsidRPr="00DE58FB" w:rsidRDefault="00BE7BAA" w:rsidP="00D4208B"/>
        </w:tc>
        <w:tc>
          <w:tcPr>
            <w:tcW w:w="629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:rsidR="00BE7BAA" w:rsidRDefault="00BE7BAA" w:rsidP="00BE7BAA">
            <w:pPr>
              <w:rPr>
                <w:b/>
              </w:rPr>
            </w:pPr>
            <w:r>
              <w:rPr>
                <w:b/>
              </w:rPr>
              <w:t>Les résultats sont conservés dans les fichiers :</w:t>
            </w:r>
          </w:p>
          <w:p w:rsidR="00BE7BAA" w:rsidRPr="00BE7BAA" w:rsidRDefault="00BE7BAA" w:rsidP="00BE7BAA">
            <w:pPr>
              <w:pStyle w:val="Paragraphedeliste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BE7BAA">
              <w:rPr>
                <w:b/>
                <w:lang w:val="en-US"/>
              </w:rPr>
              <w:t>hmf001.1000K.out</w:t>
            </w:r>
          </w:p>
          <w:p w:rsidR="00BE7BAA" w:rsidRPr="00BE7BAA" w:rsidRDefault="00BE7BAA" w:rsidP="00BE7BAA">
            <w:pPr>
              <w:pStyle w:val="Paragraphedeliste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BE7BAA">
              <w:rPr>
                <w:b/>
                <w:lang w:val="en-US"/>
              </w:rPr>
              <w:t>hmf001.4000K.out</w:t>
            </w:r>
          </w:p>
          <w:p w:rsidR="00BE7BAA" w:rsidRPr="00BE7BAA" w:rsidRDefault="00BE7BAA" w:rsidP="00BE7BAA">
            <w:pPr>
              <w:pStyle w:val="Paragraphedeliste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BE7BAA">
              <w:rPr>
                <w:b/>
                <w:lang w:val="en-US"/>
              </w:rPr>
              <w:t>hmf001.100K.out</w:t>
            </w:r>
          </w:p>
          <w:p w:rsidR="00BE7BAA" w:rsidRDefault="00BE7BAA" w:rsidP="001826F3">
            <w:pPr>
              <w:rPr>
                <w:b/>
                <w:lang w:val="en-US"/>
              </w:rPr>
            </w:pPr>
          </w:p>
          <w:tbl>
            <w:tblPr>
              <w:tblW w:w="48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86"/>
              <w:gridCol w:w="1418"/>
              <w:gridCol w:w="864"/>
              <w:gridCol w:w="946"/>
            </w:tblGrid>
            <w:tr w:rsidR="00E43930" w:rsidRPr="00E43930" w:rsidTr="00E43930">
              <w:trPr>
                <w:trHeight w:val="300"/>
              </w:trPr>
              <w:tc>
                <w:tcPr>
                  <w:tcW w:w="1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Nb. Histoires (K)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durée "user" (s)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proofErr w:type="spellStart"/>
                  <w:r w:rsidRPr="00E4393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keff</w:t>
                  </w:r>
                  <w:proofErr w:type="spellEnd"/>
                </w:p>
              </w:tc>
              <w:tc>
                <w:tcPr>
                  <w:tcW w:w="9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sigma</w:t>
                  </w:r>
                </w:p>
              </w:tc>
            </w:tr>
            <w:tr w:rsidR="00E43930" w:rsidRPr="00E43930" w:rsidTr="00E43930">
              <w:trPr>
                <w:trHeight w:val="300"/>
              </w:trPr>
              <w:tc>
                <w:tcPr>
                  <w:tcW w:w="1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100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3,1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0,98757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0,00400</w:t>
                  </w:r>
                </w:p>
              </w:tc>
            </w:tr>
            <w:tr w:rsidR="00E43930" w:rsidRPr="00E43930" w:rsidTr="00E43930">
              <w:trPr>
                <w:trHeight w:val="300"/>
              </w:trPr>
              <w:tc>
                <w:tcPr>
                  <w:tcW w:w="1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1000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0,99365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0,00125</w:t>
                  </w:r>
                </w:p>
              </w:tc>
            </w:tr>
            <w:tr w:rsidR="00E43930" w:rsidRPr="00E43930" w:rsidTr="00E43930">
              <w:trPr>
                <w:trHeight w:val="300"/>
              </w:trPr>
              <w:tc>
                <w:tcPr>
                  <w:tcW w:w="1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4000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100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0,99532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3930" w:rsidRPr="00E43930" w:rsidRDefault="00E43930" w:rsidP="00E4393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E43930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0,00061</w:t>
                  </w:r>
                </w:p>
              </w:tc>
            </w:tr>
          </w:tbl>
          <w:p w:rsidR="00E43930" w:rsidRDefault="00E43930" w:rsidP="001826F3">
            <w:pPr>
              <w:rPr>
                <w:b/>
                <w:lang w:val="en-US"/>
              </w:rPr>
            </w:pPr>
          </w:p>
          <w:p w:rsidR="00C96436" w:rsidRPr="00C96436" w:rsidRDefault="00C96436" w:rsidP="00C964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right="214"/>
            </w:pPr>
            <w:r>
              <w:t>L</w:t>
            </w:r>
            <w:r w:rsidRPr="00C96436">
              <w:t>e temps d’exécution augmente linéairement avec le nombre d’histoire</w:t>
            </w:r>
            <w:r>
              <w:t>s</w:t>
            </w:r>
            <w:r w:rsidRPr="00C96436">
              <w:t>.</w:t>
            </w:r>
          </w:p>
          <w:p w:rsidR="00BE7BAA" w:rsidRDefault="00BE7BAA" w:rsidP="001826F3">
            <w:pPr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278FEB2" wp14:editId="06CFC577">
                  <wp:extent cx="3303917" cy="1673524"/>
                  <wp:effectExtent l="0" t="0" r="10795" b="22225"/>
                  <wp:docPr id="1" name="Graphique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BE7BAA" w:rsidRPr="00C96436" w:rsidRDefault="00C96436" w:rsidP="00C964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74" w:right="214"/>
            </w:pPr>
            <w:r>
              <w:t>L’écart statistique varie</w:t>
            </w:r>
            <w:r w:rsidR="00E80BB1">
              <w:t xml:space="preserve"> inversement </w:t>
            </w:r>
            <w:r>
              <w:t xml:space="preserve">proportionnellement avec la racine du </w:t>
            </w:r>
            <w:r w:rsidRPr="00C96436">
              <w:t>nombre d’histoire</w:t>
            </w:r>
            <w:r>
              <w:t>s</w:t>
            </w:r>
            <w:r w:rsidRPr="00C96436">
              <w:t>.</w:t>
            </w:r>
          </w:p>
          <w:p w:rsidR="00BE7BAA" w:rsidRPr="00BE7BAA" w:rsidRDefault="00BE7BAA" w:rsidP="001826F3">
            <w:pPr>
              <w:rPr>
                <w:b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BD70EB0" wp14:editId="345B7970">
                  <wp:extent cx="3347049" cy="1820173"/>
                  <wp:effectExtent l="0" t="0" r="25400" b="27940"/>
                  <wp:docPr id="2" name="Graphique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E7BAA" w:rsidRDefault="00BE7BAA" w:rsidP="00D4208B">
            <w:r>
              <w:t>Comparez les écarts statistiques obtenus</w:t>
            </w:r>
          </w:p>
          <w:p w:rsidR="00BE7BAA" w:rsidRDefault="00BE7BAA" w:rsidP="001826F3"/>
          <w:p w:rsidR="00BE7BAA" w:rsidRPr="00DE58FB" w:rsidRDefault="00BE7BAA" w:rsidP="001826F3"/>
        </w:tc>
        <w:tc>
          <w:tcPr>
            <w:tcW w:w="6290" w:type="dxa"/>
            <w:gridSpan w:val="2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:rsidR="00BE7BAA" w:rsidRPr="00EF3B4C" w:rsidRDefault="00BE7BAA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4208B" w:rsidP="001826F3">
            <w:r>
              <w:t xml:space="preserve">Combien faudrait-il d’histoires pour avoir un écart statistique de 5 </w:t>
            </w:r>
            <w:proofErr w:type="spellStart"/>
            <w:r>
              <w:t>pcm</w:t>
            </w:r>
            <w:proofErr w:type="spellEnd"/>
            <w:r>
              <w:t> ?</w:t>
            </w:r>
          </w:p>
          <w:p w:rsidR="00D4208B" w:rsidRDefault="00D4208B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E80BB1" w:rsidRDefault="00E80BB1" w:rsidP="001826F3">
            <w:r>
              <w:t xml:space="preserve">Pour avoir un écart statistique de 5 </w:t>
            </w:r>
            <w:proofErr w:type="spellStart"/>
            <w:r>
              <w:t>pcm</w:t>
            </w:r>
            <w:proofErr w:type="spellEnd"/>
            <w:r>
              <w:t>, il faut :</w:t>
            </w:r>
          </w:p>
          <w:p w:rsidR="00E80BB1" w:rsidRPr="00E80BB1" w:rsidRDefault="00E80BB1" w:rsidP="00E80BB1">
            <w:pPr>
              <w:jc w:val="center"/>
            </w:pPr>
            <w:r w:rsidRPr="00E80BB1">
              <w:rPr>
                <w:bdr w:val="single" w:sz="4" w:space="0" w:color="auto"/>
              </w:rPr>
              <w:t>4 10</w:t>
            </w:r>
            <w:r w:rsidRPr="00E80BB1">
              <w:rPr>
                <w:bdr w:val="single" w:sz="4" w:space="0" w:color="auto"/>
                <w:vertAlign w:val="superscript"/>
              </w:rPr>
              <w:t>6</w:t>
            </w:r>
            <w:proofErr w:type="gramStart"/>
            <w:r w:rsidRPr="00E80BB1">
              <w:rPr>
                <w:bdr w:val="single" w:sz="4" w:space="0" w:color="auto"/>
              </w:rPr>
              <w:t>×(</w:t>
            </w:r>
            <w:proofErr w:type="gramEnd"/>
            <w:r w:rsidRPr="00E80BB1">
              <w:rPr>
                <w:bdr w:val="single" w:sz="4" w:space="0" w:color="auto"/>
              </w:rPr>
              <w:t>60/5)² ≈ 600 10</w:t>
            </w:r>
            <w:r w:rsidRPr="00E80BB1">
              <w:rPr>
                <w:bdr w:val="single" w:sz="4" w:space="0" w:color="auto"/>
                <w:vertAlign w:val="superscript"/>
              </w:rPr>
              <w:t>6</w:t>
            </w:r>
            <w:r w:rsidRPr="00E80BB1">
              <w:rPr>
                <w:bdr w:val="single" w:sz="4" w:space="0" w:color="auto"/>
              </w:rPr>
              <w:t xml:space="preserve"> histoires</w:t>
            </w: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1826F3">
            <w:pPr>
              <w:pStyle w:val="Titre1"/>
              <w:outlineLvl w:val="0"/>
            </w:pPr>
          </w:p>
          <w:p w:rsidR="00D4208B" w:rsidRDefault="00812099" w:rsidP="001826F3">
            <w:pPr>
              <w:pStyle w:val="Titre1"/>
              <w:outlineLvl w:val="0"/>
            </w:pPr>
            <w:r>
              <w:t>2/ Etude du Cas</w:t>
            </w:r>
          </w:p>
          <w:p w:rsidR="00D4208B" w:rsidRPr="00DE58FB" w:rsidRDefault="00D4208B" w:rsidP="001826F3"/>
        </w:tc>
      </w:tr>
      <w:tr w:rsidR="00115ED3" w:rsidRPr="00EF3B4C" w:rsidTr="00BD4BE6">
        <w:trPr>
          <w:jc w:val="center"/>
        </w:trPr>
        <w:tc>
          <w:tcPr>
            <w:tcW w:w="206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16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1F6177" w:rsidRDefault="00D4208B" w:rsidP="001826F3"/>
          <w:p w:rsidR="00735F6F" w:rsidRPr="001F6177" w:rsidRDefault="00735F6F" w:rsidP="001826F3">
            <w:r w:rsidRPr="001F6177">
              <w:t>Les densités atomiques sont données dans la « </w:t>
            </w:r>
            <w:r w:rsidRPr="0030799A">
              <w:rPr>
                <w:b/>
              </w:rPr>
              <w:t>définition des compositions</w:t>
            </w:r>
            <w:r w:rsidRPr="001F6177">
              <w:t xml:space="preserve"> 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Leur unité est 10</w:t>
            </w:r>
            <w:r w:rsidRPr="001F6177">
              <w:rPr>
                <w:vertAlign w:val="superscript"/>
              </w:rPr>
              <w:t>24</w:t>
            </w:r>
            <w:r w:rsidRPr="001F6177">
              <w:t>at/cm</w:t>
            </w:r>
            <w:r w:rsidRPr="001F6177">
              <w:rPr>
                <w:vertAlign w:val="superscript"/>
              </w:rPr>
              <w:t>3</w:t>
            </w:r>
            <w:r w:rsidRPr="001F6177">
              <w:t>.</w:t>
            </w:r>
          </w:p>
          <w:p w:rsidR="00D4208B" w:rsidRPr="001F6177" w:rsidRDefault="00735F6F" w:rsidP="001826F3">
            <w:r w:rsidRPr="001F6177">
              <w:rPr>
                <w:b/>
              </w:rPr>
              <w:t>L’enrichissement isotopique ou atomique en U235</w:t>
            </w:r>
            <w:r w:rsidRPr="001F6177">
              <w:t xml:space="preserve"> est défini par :</w:t>
            </w:r>
          </w:p>
          <w:p w:rsidR="00735F6F" w:rsidRPr="001F6177" w:rsidRDefault="00D72F48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[U235]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+[U234]</m:t>
                    </m:r>
                  </m:den>
                </m:f>
              </m:oMath>
            </m:oMathPara>
          </w:p>
          <w:p w:rsidR="00735F6F" w:rsidRPr="001F6177" w:rsidRDefault="00735F6F" w:rsidP="00735F6F">
            <w:r w:rsidRPr="001F6177">
              <w:rPr>
                <w:b/>
              </w:rPr>
              <w:t>L’enrichissement massique en U235</w:t>
            </w:r>
            <w:r w:rsidRPr="001F6177">
              <w:t xml:space="preserve"> est défini par :</w:t>
            </w:r>
          </w:p>
          <w:p w:rsidR="00735F6F" w:rsidRPr="001F6177" w:rsidRDefault="00D72F48" w:rsidP="00735F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U234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235[U235]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+234[U234]</m:t>
                    </m:r>
                  </m:den>
                </m:f>
              </m:oMath>
            </m:oMathPara>
          </w:p>
          <w:p w:rsidR="00D4208B" w:rsidRPr="001F6177" w:rsidRDefault="00735F6F" w:rsidP="001826F3">
            <w:r w:rsidRPr="001F6177">
              <w:t>On note :</w:t>
            </w:r>
          </w:p>
          <w:p w:rsidR="00735F6F" w:rsidRPr="001F6177" w:rsidRDefault="00D72F48" w:rsidP="00735F6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U235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U234</m:t>
                    </m:r>
                  </m:sup>
                </m:sSubSup>
              </m:oMath>
            </m:oMathPara>
          </w:p>
          <w:p w:rsidR="00D4208B" w:rsidRDefault="00D4208B" w:rsidP="001826F3">
            <w:pPr>
              <w:rPr>
                <w:b/>
              </w:rPr>
            </w:pPr>
          </w:p>
          <w:p w:rsidR="008955A1" w:rsidRPr="00DB1F3A" w:rsidRDefault="008955A1" w:rsidP="001826F3">
            <w:pPr>
              <w:rPr>
                <w:b/>
                <w:u w:val="single"/>
              </w:rPr>
            </w:pPr>
            <w:r w:rsidRPr="00DB1F3A">
              <w:rPr>
                <w:b/>
                <w:u w:val="single"/>
              </w:rPr>
              <w:t>Rappel :</w: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géométrique en géométrie sphérique :</w:t>
            </w:r>
          </w:p>
          <w:p w:rsidR="008955A1" w:rsidRDefault="008955A1" w:rsidP="008955A1">
            <w:pPr>
              <w:jc w:val="center"/>
              <w:rPr>
                <w:b/>
              </w:rPr>
            </w:pPr>
            <w:r w:rsidRPr="008955A1">
              <w:rPr>
                <w:position w:val="-34"/>
              </w:rPr>
              <w:object w:dxaOrig="148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9pt;height:42.55pt" o:ole="">
                  <v:imagedata r:id="rId11" o:title=""/>
                </v:shape>
                <o:OLEObject Type="Embed" ProgID="Equation.3" ShapeID="_x0000_i1025" DrawAspect="Content" ObjectID="_1447145504" r:id="rId12"/>
              </w:objec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matière :</w:t>
            </w:r>
          </w:p>
          <w:p w:rsidR="008955A1" w:rsidRDefault="00FC4F24" w:rsidP="008955A1">
            <w:pPr>
              <w:jc w:val="center"/>
            </w:pPr>
            <w:r w:rsidRPr="00C26EBE">
              <w:rPr>
                <w:position w:val="-24"/>
              </w:rPr>
              <w:object w:dxaOrig="1500" w:dyaOrig="660">
                <v:shape id="_x0000_i1026" type="#_x0000_t75" style="width:74.5pt;height:32.55pt" o:ole="">
                  <v:imagedata r:id="rId13" o:title=""/>
                </v:shape>
                <o:OLEObject Type="Embed" ProgID="Equation.3" ShapeID="_x0000_i1026" DrawAspect="Content" ObjectID="_1447145505" r:id="rId14"/>
              </w:object>
            </w:r>
          </w:p>
          <w:p w:rsidR="008955A1" w:rsidRDefault="008955A1" w:rsidP="008955A1">
            <w:r>
              <w:t>Où :</w:t>
            </w:r>
          </w:p>
          <w:p w:rsidR="008955A1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DB1F3A">
              <w:rPr>
                <w:i/>
              </w:rPr>
              <w:t>D</w:t>
            </w:r>
            <w:r>
              <w:t xml:space="preserve"> est le coefficient de diffusion dans le cadre de cette approximation, on peut écrire </w:t>
            </w:r>
            <w:r w:rsidRPr="00C26EBE">
              <w:rPr>
                <w:position w:val="-30"/>
              </w:rPr>
              <w:object w:dxaOrig="999" w:dyaOrig="680">
                <v:shape id="_x0000_i1027" type="#_x0000_t75" style="width:49.45pt;height:33.8pt" o:ole="">
                  <v:imagedata r:id="rId15" o:title=""/>
                </v:shape>
                <o:OLEObject Type="Embed" ProgID="Equation.3" ShapeID="_x0000_i1027" DrawAspect="Content" ObjectID="_1447145506" r:id="rId16"/>
              </w:object>
            </w:r>
          </w:p>
          <w:p w:rsidR="008955A1" w:rsidRPr="00DB1F3A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C26EBE">
              <w:rPr>
                <w:position w:val="-12"/>
              </w:rPr>
              <w:object w:dxaOrig="300" w:dyaOrig="360">
                <v:shape id="_x0000_i1028" type="#_x0000_t75" style="width:15.05pt;height:17.55pt" o:ole="">
                  <v:imagedata r:id="rId17" o:title=""/>
                </v:shape>
                <o:OLEObject Type="Embed" ProgID="Equation.3" ShapeID="_x0000_i1028" DrawAspect="Content" ObjectID="_1447145507" r:id="rId18"/>
              </w:object>
            </w:r>
            <w:r>
              <w:t xml:space="preserve"> est la section macroscopique d’absorption, c’est  notablement : </w:t>
            </w:r>
            <w:r w:rsidR="00DB1F3A" w:rsidRPr="008955A1">
              <w:rPr>
                <w:position w:val="-12"/>
              </w:rPr>
              <w:object w:dxaOrig="1380" w:dyaOrig="360">
                <v:shape id="_x0000_i1029" type="#_x0000_t75" style="width:69.5pt;height:17.55pt" o:ole="">
                  <v:imagedata r:id="rId19" o:title=""/>
                </v:shape>
                <o:OLEObject Type="Embed" ProgID="Equation.3" ShapeID="_x0000_i1029" DrawAspect="Content" ObjectID="_1447145508" r:id="rId20"/>
              </w:objec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4208B" w:rsidRPr="00DE58FB" w:rsidRDefault="00D4208B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D0DB7" w:rsidRDefault="003D0DB7" w:rsidP="001826F3">
            <w:r>
              <w:t>Que vaut l’</w:t>
            </w:r>
            <w:r w:rsidRPr="00CD2603">
              <w:rPr>
                <w:u w:val="single"/>
              </w:rPr>
              <w:t xml:space="preserve">enrichissement </w:t>
            </w:r>
            <w:r>
              <w:rPr>
                <w:u w:val="single"/>
              </w:rPr>
              <w:t>isotopique</w:t>
            </w:r>
            <w:r>
              <w:t xml:space="preserve"> en U235 de la sphère du cas A?</w:t>
            </w:r>
          </w:p>
          <w:p w:rsidR="003D0DB7" w:rsidRPr="00DE58FB" w:rsidRDefault="003D0DB7" w:rsidP="001826F3"/>
        </w:tc>
        <w:tc>
          <w:tcPr>
            <w:tcW w:w="6290" w:type="dxa"/>
            <w:gridSpan w:val="2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:rsidR="003D0DB7" w:rsidRPr="007E059F" w:rsidRDefault="003D0DB7" w:rsidP="001826F3">
            <w:r w:rsidRPr="007E059F">
              <w:t>L’enrichissement isotopique de la sphère est :</w:t>
            </w:r>
          </w:p>
          <w:p w:rsidR="003D0DB7" w:rsidRPr="007E059F" w:rsidRDefault="003D0DB7" w:rsidP="007E059F">
            <w:pPr>
              <w:jc w:val="center"/>
            </w:pPr>
            <w:r>
              <w:rPr>
                <w:bdr w:val="single" w:sz="4" w:space="0" w:color="auto"/>
              </w:rPr>
              <w:t>93,77</w:t>
            </w:r>
            <w:r w:rsidRPr="007E059F">
              <w:rPr>
                <w:bdr w:val="single" w:sz="4" w:space="0" w:color="auto"/>
              </w:rPr>
              <w:t>%</w:t>
            </w:r>
            <w:r w:rsidRPr="007E059F">
              <w:rPr>
                <w:bdr w:val="single" w:sz="4" w:space="0" w:color="auto"/>
                <w:vertAlign w:val="subscript"/>
              </w:rPr>
              <w:t>isot</w:t>
            </w:r>
          </w:p>
          <w:p w:rsidR="003D0DB7" w:rsidRDefault="003D0DB7" w:rsidP="007E059F"/>
          <w:p w:rsidR="003D0DB7" w:rsidRPr="007E059F" w:rsidRDefault="003D0DB7" w:rsidP="007E059F">
            <w:r w:rsidRPr="007E059F">
              <w:t xml:space="preserve">L’enrichissement </w:t>
            </w:r>
            <w:r>
              <w:t>massique</w:t>
            </w:r>
            <w:r w:rsidRPr="007E059F">
              <w:t xml:space="preserve"> de la sphère est :</w:t>
            </w:r>
          </w:p>
          <w:p w:rsidR="003D0DB7" w:rsidRPr="007E059F" w:rsidRDefault="003D0DB7" w:rsidP="007E059F">
            <w:pPr>
              <w:jc w:val="center"/>
            </w:pPr>
            <w:r>
              <w:rPr>
                <w:bdr w:val="single" w:sz="4" w:space="0" w:color="auto"/>
              </w:rPr>
              <w:t>93,71</w:t>
            </w:r>
            <w:r w:rsidRPr="007E059F">
              <w:rPr>
                <w:bdr w:val="single" w:sz="4" w:space="0" w:color="auto"/>
              </w:rPr>
              <w:t>%</w:t>
            </w:r>
            <w:r>
              <w:rPr>
                <w:bdr w:val="single" w:sz="4" w:space="0" w:color="auto"/>
                <w:vertAlign w:val="subscript"/>
              </w:rPr>
              <w:t>wt</w:t>
            </w:r>
          </w:p>
          <w:p w:rsidR="003D0DB7" w:rsidRDefault="003D0DB7" w:rsidP="001826F3">
            <w:pPr>
              <w:rPr>
                <w:b/>
              </w:rPr>
            </w:pPr>
          </w:p>
          <w:p w:rsidR="003D0DB7" w:rsidRDefault="003D0DB7" w:rsidP="001826F3">
            <w:pPr>
              <w:rPr>
                <w:b/>
              </w:rPr>
            </w:pPr>
          </w:p>
          <w:p w:rsidR="003D0DB7" w:rsidRDefault="003D0DB7" w:rsidP="001826F3">
            <w:pPr>
              <w:rPr>
                <w:b/>
              </w:rPr>
            </w:pPr>
          </w:p>
          <w:p w:rsidR="003D0DB7" w:rsidRDefault="003D0DB7" w:rsidP="001826F3">
            <w:pPr>
              <w:rPr>
                <w:b/>
              </w:rPr>
            </w:pPr>
          </w:p>
          <w:p w:rsidR="003D0DB7" w:rsidRDefault="003D0DB7" w:rsidP="001826F3">
            <w:pPr>
              <w:rPr>
                <w:b/>
              </w:rPr>
            </w:pPr>
          </w:p>
          <w:p w:rsidR="003D0DB7" w:rsidRDefault="003D0DB7" w:rsidP="001826F3">
            <w:pPr>
              <w:rPr>
                <w:b/>
              </w:rPr>
            </w:pPr>
          </w:p>
          <w:p w:rsidR="003D0DB7" w:rsidRDefault="003D0DB7" w:rsidP="001826F3">
            <w:pPr>
              <w:rPr>
                <w:b/>
              </w:rPr>
            </w:pPr>
          </w:p>
          <w:p w:rsidR="003D0DB7" w:rsidRPr="00EF3B4C" w:rsidRDefault="003D0DB7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D0DB7" w:rsidRDefault="003D0DB7" w:rsidP="0030799A">
            <w:r>
              <w:t>Que vaut l’</w:t>
            </w:r>
            <w:r w:rsidRPr="00CD2603">
              <w:rPr>
                <w:u w:val="single"/>
              </w:rPr>
              <w:t>enrichissement massique</w:t>
            </w:r>
            <w:r>
              <w:t xml:space="preserve"> en U235 de la sphère du cas A?</w:t>
            </w:r>
          </w:p>
          <w:p w:rsidR="003D0DB7" w:rsidRDefault="003D0DB7" w:rsidP="001826F3"/>
        </w:tc>
        <w:tc>
          <w:tcPr>
            <w:tcW w:w="6290" w:type="dxa"/>
            <w:gridSpan w:val="2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:rsidR="003D0DB7" w:rsidRDefault="003D0DB7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206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D4208B" w:rsidRPr="00DE58FB" w:rsidRDefault="00D4208B" w:rsidP="001826F3"/>
        </w:tc>
        <w:tc>
          <w:tcPr>
            <w:tcW w:w="816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217B0A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Créez 5 </w:t>
            </w:r>
            <w:proofErr w:type="spellStart"/>
            <w:r>
              <w:t>jdd</w:t>
            </w:r>
            <w:proofErr w:type="spellEnd"/>
            <w:r>
              <w:t xml:space="preserve"> différents avec les noms et les enrichissements massiques </w:t>
            </w:r>
            <w:proofErr w:type="spellStart"/>
            <w:r>
              <w:t>E</w:t>
            </w:r>
            <w:r w:rsidRPr="005C5B78">
              <w:rPr>
                <w:vertAlign w:val="subscript"/>
              </w:rPr>
              <w:t>wt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suivants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066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066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30799A">
                  <w:r>
                    <w:t>hmf001.05 </w:t>
                  </w:r>
                </w:p>
              </w:tc>
              <w:tc>
                <w:tcPr>
                  <w:tcW w:w="1066" w:type="dxa"/>
                </w:tcPr>
                <w:p w:rsidR="0030799A" w:rsidRDefault="0030799A" w:rsidP="0030799A">
                  <w:r>
                    <w:t>5%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10%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20%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50%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90%</w:t>
                  </w:r>
                </w:p>
              </w:tc>
            </w:tr>
          </w:tbl>
          <w:p w:rsidR="00D4208B" w:rsidRPr="00217B0A" w:rsidRDefault="0030799A" w:rsidP="001826F3">
            <w:r>
              <w:t>C</w:t>
            </w:r>
            <w:r w:rsidR="00CC1693">
              <w:t xml:space="preserve">alculez ces 5 </w:t>
            </w:r>
            <w:proofErr w:type="spellStart"/>
            <w:r w:rsidR="00CC1693">
              <w:t>jdd</w:t>
            </w:r>
            <w:proofErr w:type="spellEnd"/>
            <w:r w:rsidR="00CC1693">
              <w:t xml:space="preserve"> avec Tripoli.</w: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4208B" w:rsidRPr="00DE58FB" w:rsidRDefault="00D4208B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 pour chaque enrichissement ?</w:t>
            </w:r>
          </w:p>
          <w:p w:rsidR="00D4208B" w:rsidRDefault="00D4208B" w:rsidP="001826F3"/>
          <w:p w:rsidR="00D4208B" w:rsidRDefault="00D4208B" w:rsidP="001826F3"/>
          <w:p w:rsidR="00D4208B" w:rsidRPr="00DE58FB" w:rsidRDefault="00D4208B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Pr="00A518CA" w:rsidRDefault="00D4208B" w:rsidP="001826F3">
            <w:pPr>
              <w:rPr>
                <w:b/>
                <w:sz w:val="4"/>
                <w:szCs w:val="4"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  <w:gridCol w:w="737"/>
              <w:gridCol w:w="1630"/>
            </w:tblGrid>
            <w:tr w:rsidR="0030799A" w:rsidRPr="0030799A" w:rsidTr="00B867EA">
              <w:trPr>
                <w:jc w:val="center"/>
              </w:trPr>
              <w:tc>
                <w:tcPr>
                  <w:tcW w:w="2271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B867EA" w:rsidTr="00B867EA">
              <w:trPr>
                <w:jc w:val="center"/>
              </w:trPr>
              <w:tc>
                <w:tcPr>
                  <w:tcW w:w="2271" w:type="dxa"/>
                  <w:vAlign w:val="bottom"/>
                </w:tcPr>
                <w:p w:rsidR="00B867EA" w:rsidRDefault="00B867E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hmf001.5_8.7407.out</w:t>
                  </w:r>
                </w:p>
              </w:tc>
              <w:tc>
                <w:tcPr>
                  <w:tcW w:w="737" w:type="dxa"/>
                </w:tcPr>
                <w:p w:rsidR="00B867EA" w:rsidRDefault="00B867EA" w:rsidP="001826F3">
                  <w:r>
                    <w:t>5%</w:t>
                  </w:r>
                </w:p>
              </w:tc>
              <w:tc>
                <w:tcPr>
                  <w:tcW w:w="1630" w:type="dxa"/>
                  <w:vAlign w:val="bottom"/>
                </w:tcPr>
                <w:p w:rsidR="00B867EA" w:rsidRDefault="00B867E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0,26793</w:t>
                  </w:r>
                </w:p>
              </w:tc>
            </w:tr>
            <w:tr w:rsidR="00B867EA" w:rsidTr="00B867EA">
              <w:trPr>
                <w:jc w:val="center"/>
              </w:trPr>
              <w:tc>
                <w:tcPr>
                  <w:tcW w:w="2271" w:type="dxa"/>
                  <w:vAlign w:val="bottom"/>
                </w:tcPr>
                <w:p w:rsidR="00B867EA" w:rsidRDefault="00B867E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hmf001.10_8.7407.out</w:t>
                  </w:r>
                </w:p>
              </w:tc>
              <w:tc>
                <w:tcPr>
                  <w:tcW w:w="737" w:type="dxa"/>
                </w:tcPr>
                <w:p w:rsidR="00B867EA" w:rsidRDefault="00B867EA" w:rsidP="001826F3">
                  <w:r>
                    <w:t>10%</w:t>
                  </w:r>
                </w:p>
              </w:tc>
              <w:tc>
                <w:tcPr>
                  <w:tcW w:w="1630" w:type="dxa"/>
                  <w:vAlign w:val="bottom"/>
                </w:tcPr>
                <w:p w:rsidR="00B867EA" w:rsidRDefault="00B867E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0,33188</w:t>
                  </w:r>
                </w:p>
              </w:tc>
            </w:tr>
            <w:tr w:rsidR="00B867EA" w:rsidTr="00B867EA">
              <w:trPr>
                <w:jc w:val="center"/>
              </w:trPr>
              <w:tc>
                <w:tcPr>
                  <w:tcW w:w="2271" w:type="dxa"/>
                  <w:vAlign w:val="bottom"/>
                </w:tcPr>
                <w:p w:rsidR="00B867EA" w:rsidRDefault="00B867E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hmf001.20_8.7407.out</w:t>
                  </w:r>
                </w:p>
              </w:tc>
              <w:tc>
                <w:tcPr>
                  <w:tcW w:w="737" w:type="dxa"/>
                </w:tcPr>
                <w:p w:rsidR="00B867EA" w:rsidRDefault="00B867EA" w:rsidP="001826F3">
                  <w:r>
                    <w:t>20%</w:t>
                  </w:r>
                </w:p>
              </w:tc>
              <w:tc>
                <w:tcPr>
                  <w:tcW w:w="1630" w:type="dxa"/>
                  <w:vAlign w:val="bottom"/>
                </w:tcPr>
                <w:p w:rsidR="00B867EA" w:rsidRDefault="00B867E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0,44939</w:t>
                  </w:r>
                </w:p>
              </w:tc>
            </w:tr>
            <w:tr w:rsidR="00B867EA" w:rsidTr="00B867EA">
              <w:trPr>
                <w:jc w:val="center"/>
              </w:trPr>
              <w:tc>
                <w:tcPr>
                  <w:tcW w:w="2271" w:type="dxa"/>
                  <w:vAlign w:val="bottom"/>
                </w:tcPr>
                <w:p w:rsidR="00B867EA" w:rsidRDefault="00B867E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hmf001.50_8.7407.out</w:t>
                  </w:r>
                </w:p>
              </w:tc>
              <w:tc>
                <w:tcPr>
                  <w:tcW w:w="737" w:type="dxa"/>
                </w:tcPr>
                <w:p w:rsidR="00B867EA" w:rsidRDefault="00B867EA" w:rsidP="001826F3">
                  <w:r>
                    <w:t>50%</w:t>
                  </w:r>
                </w:p>
              </w:tc>
              <w:tc>
                <w:tcPr>
                  <w:tcW w:w="1630" w:type="dxa"/>
                  <w:vAlign w:val="bottom"/>
                </w:tcPr>
                <w:p w:rsidR="00B867EA" w:rsidRDefault="00B867E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0,72284</w:t>
                  </w:r>
                </w:p>
              </w:tc>
            </w:tr>
            <w:tr w:rsidR="00B867EA" w:rsidTr="00B867EA">
              <w:trPr>
                <w:jc w:val="center"/>
              </w:trPr>
              <w:tc>
                <w:tcPr>
                  <w:tcW w:w="2271" w:type="dxa"/>
                  <w:vAlign w:val="bottom"/>
                </w:tcPr>
                <w:p w:rsidR="00B867EA" w:rsidRDefault="00B867E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hmf001.90_8.7407.out</w:t>
                  </w:r>
                </w:p>
              </w:tc>
              <w:tc>
                <w:tcPr>
                  <w:tcW w:w="737" w:type="dxa"/>
                </w:tcPr>
                <w:p w:rsidR="00B867EA" w:rsidRDefault="00B867EA" w:rsidP="001826F3">
                  <w:r>
                    <w:t>90%</w:t>
                  </w:r>
                </w:p>
              </w:tc>
              <w:tc>
                <w:tcPr>
                  <w:tcW w:w="1630" w:type="dxa"/>
                  <w:vAlign w:val="bottom"/>
                </w:tcPr>
                <w:p w:rsidR="00B867EA" w:rsidRDefault="00B867E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0,97573</w:t>
                  </w:r>
                </w:p>
              </w:tc>
            </w:tr>
          </w:tbl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30799A" w:rsidRPr="00A518CA" w:rsidRDefault="0030799A" w:rsidP="001826F3">
            <w:pPr>
              <w:rPr>
                <w:b/>
                <w:sz w:val="4"/>
                <w:szCs w:val="4"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206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30799A" w:rsidRPr="00DE58FB" w:rsidRDefault="0030799A" w:rsidP="001826F3"/>
        </w:tc>
        <w:tc>
          <w:tcPr>
            <w:tcW w:w="816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217B0A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1F6177" w:rsidRDefault="0030799A" w:rsidP="0030799A">
            <w:r>
              <w:t>Le rayon de la sphère est donné</w:t>
            </w:r>
            <w:r w:rsidRPr="001F6177">
              <w:t xml:space="preserve"> dans la « </w:t>
            </w:r>
            <w:r w:rsidRPr="0030799A">
              <w:rPr>
                <w:b/>
              </w:rPr>
              <w:t>définition de la géométrie</w:t>
            </w:r>
            <w:r w:rsidRPr="001F6177">
              <w:t xml:space="preserve">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</w:t>
            </w:r>
            <w:r>
              <w:t>L’unité de distance en vigueur dans Tripoli est le cm.</w:t>
            </w:r>
          </w:p>
          <w:p w:rsidR="0030799A" w:rsidRDefault="0030799A" w:rsidP="001826F3"/>
          <w:p w:rsidR="0030799A" w:rsidRPr="00CC1693" w:rsidRDefault="0030799A" w:rsidP="00CC1693">
            <w:pPr>
              <w:rPr>
                <w:b/>
              </w:rPr>
            </w:pPr>
            <w:r w:rsidRPr="00CC1693">
              <w:rPr>
                <w:b/>
              </w:rPr>
              <w:t>Pour chaque enrichissement, recherche</w:t>
            </w:r>
            <w:r w:rsidR="00CC1693" w:rsidRPr="00CC1693">
              <w:rPr>
                <w:b/>
              </w:rPr>
              <w:t>z</w:t>
            </w:r>
            <w:r w:rsidRPr="00CC1693">
              <w:rPr>
                <w:b/>
              </w:rPr>
              <w:t xml:space="preserve"> le rayon </w:t>
            </w:r>
            <w:proofErr w:type="spellStart"/>
            <w:r w:rsidRPr="00CC1693">
              <w:rPr>
                <w:b/>
              </w:rPr>
              <w:t>R</w:t>
            </w:r>
            <w:r w:rsidRPr="00CC1693">
              <w:rPr>
                <w:b/>
                <w:vertAlign w:val="subscript"/>
              </w:rPr>
              <w:t>crit</w:t>
            </w:r>
            <w:proofErr w:type="spellEnd"/>
            <w:r w:rsidRPr="00CC1693">
              <w:rPr>
                <w:b/>
              </w:rPr>
              <w:t xml:space="preserve"> de la sphère permettant d’obtenir la criticité.</w: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30799A" w:rsidRPr="00DE58FB" w:rsidRDefault="0030799A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A72B0F" w:rsidP="001826F3">
            <w:r>
              <w:t xml:space="preserve">Indiquez </w:t>
            </w:r>
            <w:r w:rsidRPr="00A72B0F">
              <w:rPr>
                <w:b/>
              </w:rPr>
              <w:t>l’enrichissement isotopique</w:t>
            </w:r>
            <w:r>
              <w:t xml:space="preserve"> et </w:t>
            </w:r>
            <w:r w:rsidRPr="00A72B0F">
              <w:rPr>
                <w:b/>
              </w:rPr>
              <w:t>le</w:t>
            </w:r>
            <w:r w:rsidR="00B11553" w:rsidRPr="00A72B0F">
              <w:rPr>
                <w:b/>
              </w:rPr>
              <w:t xml:space="preserve"> rayon crit</w:t>
            </w:r>
            <w:r w:rsidRPr="00A72B0F">
              <w:rPr>
                <w:b/>
              </w:rPr>
              <w:t>ique</w:t>
            </w:r>
            <w:r>
              <w:t xml:space="preserve"> pour les 5 enrichissements massiques considérés.</w:t>
            </w:r>
          </w:p>
          <w:p w:rsidR="0030799A" w:rsidRDefault="0030799A" w:rsidP="001826F3"/>
          <w:p w:rsidR="0030799A" w:rsidRDefault="0030799A" w:rsidP="001826F3"/>
          <w:p w:rsidR="0030799A" w:rsidRPr="00DE58FB" w:rsidRDefault="0030799A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711"/>
              <w:gridCol w:w="920"/>
              <w:gridCol w:w="1574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11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A6A6A6" w:themeFill="background1" w:themeFillShade="A6"/>
                </w:tcPr>
                <w:p w:rsidR="00A72B0F" w:rsidRDefault="00D72F48" w:rsidP="00A72B0F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isot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74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</w:t>
                  </w:r>
                  <w:r w:rsidRPr="00B11553">
                    <w:rPr>
                      <w:b/>
                      <w:vertAlign w:val="subscript"/>
                    </w:rPr>
                    <w:t>crit</w:t>
                  </w:r>
                  <w:proofErr w:type="spellEnd"/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B11553">
                    <w:rPr>
                      <w:b/>
                    </w:rPr>
                    <w:t>(cm)</w:t>
                  </w:r>
                </w:p>
              </w:tc>
            </w:tr>
            <w:tr w:rsidR="00A518CA" w:rsidTr="00F73C6A">
              <w:trPr>
                <w:jc w:val="center"/>
              </w:trPr>
              <w:tc>
                <w:tcPr>
                  <w:tcW w:w="1598" w:type="dxa"/>
                  <w:vAlign w:val="bottom"/>
                </w:tcPr>
                <w:p w:rsidR="00A518CA" w:rsidRDefault="00A518C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hmf001.10</w:t>
                  </w:r>
                </w:p>
              </w:tc>
              <w:tc>
                <w:tcPr>
                  <w:tcW w:w="711" w:type="dxa"/>
                </w:tcPr>
                <w:p w:rsidR="00A518CA" w:rsidRDefault="00A518CA" w:rsidP="001826F3">
                  <w:r>
                    <w:t>5%</w:t>
                  </w:r>
                </w:p>
              </w:tc>
              <w:tc>
                <w:tcPr>
                  <w:tcW w:w="920" w:type="dxa"/>
                  <w:vAlign w:val="bottom"/>
                </w:tcPr>
                <w:p w:rsidR="00A518CA" w:rsidRDefault="00A518C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5,06%</w:t>
                  </w:r>
                </w:p>
              </w:tc>
              <w:tc>
                <w:tcPr>
                  <w:tcW w:w="1574" w:type="dxa"/>
                </w:tcPr>
                <w:p w:rsidR="00A518CA" w:rsidRDefault="00A518CA" w:rsidP="001826F3">
                  <w:r>
                    <w:t>-</w:t>
                  </w:r>
                </w:p>
              </w:tc>
            </w:tr>
            <w:tr w:rsidR="00A518CA" w:rsidTr="00F73C6A">
              <w:trPr>
                <w:jc w:val="center"/>
              </w:trPr>
              <w:tc>
                <w:tcPr>
                  <w:tcW w:w="1598" w:type="dxa"/>
                  <w:vAlign w:val="bottom"/>
                </w:tcPr>
                <w:p w:rsidR="00A518CA" w:rsidRDefault="00A518C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hmf001.20</w:t>
                  </w:r>
                </w:p>
              </w:tc>
              <w:tc>
                <w:tcPr>
                  <w:tcW w:w="711" w:type="dxa"/>
                </w:tcPr>
                <w:p w:rsidR="00A518CA" w:rsidRDefault="00A518CA" w:rsidP="001826F3">
                  <w:r>
                    <w:t>10%</w:t>
                  </w:r>
                </w:p>
              </w:tc>
              <w:tc>
                <w:tcPr>
                  <w:tcW w:w="920" w:type="dxa"/>
                  <w:vAlign w:val="bottom"/>
                </w:tcPr>
                <w:p w:rsidR="00A518CA" w:rsidRDefault="00A518C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10,11%</w:t>
                  </w:r>
                </w:p>
              </w:tc>
              <w:tc>
                <w:tcPr>
                  <w:tcW w:w="1574" w:type="dxa"/>
                  <w:vAlign w:val="bottom"/>
                </w:tcPr>
                <w:p w:rsidR="00A518CA" w:rsidRDefault="00A518C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37,1</w:t>
                  </w:r>
                </w:p>
              </w:tc>
            </w:tr>
            <w:tr w:rsidR="00A518CA" w:rsidTr="00F73C6A">
              <w:trPr>
                <w:jc w:val="center"/>
              </w:trPr>
              <w:tc>
                <w:tcPr>
                  <w:tcW w:w="1598" w:type="dxa"/>
                  <w:vAlign w:val="bottom"/>
                </w:tcPr>
                <w:p w:rsidR="00A518CA" w:rsidRDefault="00A518C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hmf001.50</w:t>
                  </w:r>
                </w:p>
              </w:tc>
              <w:tc>
                <w:tcPr>
                  <w:tcW w:w="711" w:type="dxa"/>
                </w:tcPr>
                <w:p w:rsidR="00A518CA" w:rsidRDefault="00A518CA" w:rsidP="001826F3">
                  <w:r>
                    <w:t>20%</w:t>
                  </w:r>
                </w:p>
              </w:tc>
              <w:tc>
                <w:tcPr>
                  <w:tcW w:w="920" w:type="dxa"/>
                  <w:vAlign w:val="bottom"/>
                </w:tcPr>
                <w:p w:rsidR="00A518CA" w:rsidRDefault="00A518C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20,20%</w:t>
                  </w:r>
                </w:p>
              </w:tc>
              <w:tc>
                <w:tcPr>
                  <w:tcW w:w="1574" w:type="dxa"/>
                  <w:vAlign w:val="bottom"/>
                </w:tcPr>
                <w:p w:rsidR="00A518CA" w:rsidRDefault="00A518C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21,55</w:t>
                  </w:r>
                </w:p>
              </w:tc>
            </w:tr>
            <w:tr w:rsidR="00A518CA" w:rsidTr="00F73C6A">
              <w:trPr>
                <w:jc w:val="center"/>
              </w:trPr>
              <w:tc>
                <w:tcPr>
                  <w:tcW w:w="1598" w:type="dxa"/>
                  <w:vAlign w:val="bottom"/>
                </w:tcPr>
                <w:p w:rsidR="00A518CA" w:rsidRDefault="00A518C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hmf001.90</w:t>
                  </w:r>
                </w:p>
              </w:tc>
              <w:tc>
                <w:tcPr>
                  <w:tcW w:w="711" w:type="dxa"/>
                </w:tcPr>
                <w:p w:rsidR="00A518CA" w:rsidRDefault="00A518CA" w:rsidP="001826F3">
                  <w:r>
                    <w:t>50%</w:t>
                  </w:r>
                </w:p>
              </w:tc>
              <w:tc>
                <w:tcPr>
                  <w:tcW w:w="920" w:type="dxa"/>
                  <w:vAlign w:val="bottom"/>
                </w:tcPr>
                <w:p w:rsidR="00A518CA" w:rsidRDefault="00A518C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50,31%</w:t>
                  </w:r>
                </w:p>
              </w:tc>
              <w:tc>
                <w:tcPr>
                  <w:tcW w:w="1574" w:type="dxa"/>
                  <w:vAlign w:val="bottom"/>
                </w:tcPr>
                <w:p w:rsidR="00A518CA" w:rsidRDefault="00A518C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12,7</w:t>
                  </w:r>
                </w:p>
              </w:tc>
            </w:tr>
            <w:tr w:rsidR="00A518CA" w:rsidTr="00F73C6A">
              <w:trPr>
                <w:jc w:val="center"/>
              </w:trPr>
              <w:tc>
                <w:tcPr>
                  <w:tcW w:w="1598" w:type="dxa"/>
                  <w:vAlign w:val="bottom"/>
                </w:tcPr>
                <w:p w:rsidR="00A518CA" w:rsidRDefault="00A518C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hmf001.10</w:t>
                  </w:r>
                </w:p>
              </w:tc>
              <w:tc>
                <w:tcPr>
                  <w:tcW w:w="711" w:type="dxa"/>
                </w:tcPr>
                <w:p w:rsidR="00A518CA" w:rsidRDefault="00A518CA" w:rsidP="001826F3">
                  <w:r>
                    <w:t>90%</w:t>
                  </w:r>
                </w:p>
              </w:tc>
              <w:tc>
                <w:tcPr>
                  <w:tcW w:w="920" w:type="dxa"/>
                  <w:vAlign w:val="bottom"/>
                </w:tcPr>
                <w:p w:rsidR="00A518CA" w:rsidRDefault="00A518C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90,10%</w:t>
                  </w:r>
                </w:p>
              </w:tc>
              <w:tc>
                <w:tcPr>
                  <w:tcW w:w="1574" w:type="dxa"/>
                  <w:vAlign w:val="bottom"/>
                </w:tcPr>
                <w:p w:rsidR="00A518CA" w:rsidRDefault="00A518C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9,1</w:t>
                  </w:r>
                </w:p>
              </w:tc>
            </w:tr>
          </w:tbl>
          <w:p w:rsidR="0030799A" w:rsidRPr="00A518CA" w:rsidRDefault="0030799A" w:rsidP="001826F3">
            <w:pPr>
              <w:rPr>
                <w:b/>
                <w:sz w:val="4"/>
                <w:szCs w:val="4"/>
              </w:rPr>
            </w:pPr>
          </w:p>
          <w:p w:rsidR="0030799A" w:rsidRPr="00DB1F3A" w:rsidRDefault="0030799A" w:rsidP="001826F3">
            <w:pPr>
              <w:rPr>
                <w:b/>
                <w:sz w:val="8"/>
                <w:szCs w:val="8"/>
              </w:rPr>
            </w:pPr>
          </w:p>
        </w:tc>
      </w:tr>
      <w:tr w:rsidR="00115ED3" w:rsidRPr="00EF3B4C" w:rsidTr="00BD4BE6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F00E2" w:rsidRDefault="000F00E2" w:rsidP="001826F3">
            <w:r>
              <w:t xml:space="preserve">Tracez </w:t>
            </w:r>
            <w:proofErr w:type="spellStart"/>
            <w:r>
              <w:t>R</w:t>
            </w:r>
            <w:r w:rsidRPr="005C5B78">
              <w:rPr>
                <w:vertAlign w:val="subscript"/>
              </w:rPr>
              <w:t>crit</w:t>
            </w:r>
            <w:proofErr w:type="spellEnd"/>
            <w:r>
              <w:t xml:space="preserve"> en fonction de </w:t>
            </w:r>
            <w:r w:rsidR="00A72B0F" w:rsidRPr="00A72B0F">
              <w:rPr>
                <w:b/>
              </w:rPr>
              <w:t>l’enrichissement isotopique</w:t>
            </w:r>
          </w:p>
          <w:p w:rsidR="000F00E2" w:rsidRDefault="000F00E2" w:rsidP="001826F3">
            <w:r>
              <w:t xml:space="preserve">(un tableur : </w:t>
            </w:r>
            <w:proofErr w:type="spellStart"/>
            <w:r w:rsidRPr="000F00E2">
              <w:rPr>
                <w:b/>
              </w:rPr>
              <w:t>libreoffice</w:t>
            </w:r>
            <w:proofErr w:type="spellEnd"/>
            <w:r w:rsidRPr="000F00E2">
              <w:rPr>
                <w:b/>
              </w:rPr>
              <w:t xml:space="preserve"> </w:t>
            </w:r>
            <w:r>
              <w:rPr>
                <w:b/>
              </w:rPr>
              <w:t>--</w:t>
            </w:r>
            <w:proofErr w:type="spellStart"/>
            <w:r w:rsidRPr="000F00E2">
              <w:rPr>
                <w:b/>
              </w:rPr>
              <w:t>calc</w:t>
            </w:r>
            <w:proofErr w:type="spellEnd"/>
            <w:r>
              <w:t xml:space="preserve"> ou bien </w:t>
            </w:r>
            <w:proofErr w:type="spellStart"/>
            <w:r w:rsidRPr="000F00E2">
              <w:rPr>
                <w:b/>
              </w:rPr>
              <w:t>google</w:t>
            </w:r>
            <w:proofErr w:type="spellEnd"/>
            <w:r w:rsidRPr="000F00E2">
              <w:rPr>
                <w:b/>
              </w:rPr>
              <w:t xml:space="preserve"> doc</w:t>
            </w:r>
            <w:r>
              <w:t>)</w:t>
            </w:r>
          </w:p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Pr="00DE58FB" w:rsidRDefault="000F00E2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F00E2" w:rsidRPr="00EF3B4C" w:rsidRDefault="007D2070" w:rsidP="007D2070">
            <w:pPr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344E8F23" wp14:editId="44D5F633">
                  <wp:extent cx="3364302" cy="1854679"/>
                  <wp:effectExtent l="0" t="0" r="762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883" cy="1859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lastRenderedPageBreak/>
              <w:t xml:space="preserve">Ecrivez l’équation du transport à symétrie sphérique (invariance </w:t>
            </w:r>
            <w:proofErr w:type="gramStart"/>
            <w:r>
              <w:t xml:space="preserve">selon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i/>
                    </w:rPr>
                    <w:sym w:font="Symbol" w:char="F057"/>
                  </m:r>
                </m:e>
              </m:acc>
            </m:oMath>
            <w:r>
              <w:t xml:space="preserve">) dans le cadre de l’approximation monocinétique (un seul groupe). </w:t>
            </w:r>
          </w:p>
          <w:p w:rsidR="00CC1693" w:rsidRDefault="00CC1693" w:rsidP="00CC1693">
            <w:r>
              <w:t xml:space="preserve">(voir </w:t>
            </w:r>
            <w:proofErr w:type="spellStart"/>
            <w:r>
              <w:t>slide</w:t>
            </w:r>
            <w:proofErr w:type="spellEnd"/>
            <w:r>
              <w:t xml:space="preserve"> 8)</w:t>
            </w:r>
          </w:p>
          <w:p w:rsidR="0030799A" w:rsidRPr="00DE58FB" w:rsidRDefault="0030799A" w:rsidP="00BF07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9C14EE" w:rsidRDefault="009C14EE" w:rsidP="009C14EE">
            <w:pPr>
              <w:jc w:val="center"/>
            </w:pPr>
          </w:p>
          <w:p w:rsidR="009C14EE" w:rsidRDefault="009C14EE" w:rsidP="009C14EE">
            <w:pPr>
              <w:jc w:val="center"/>
            </w:pPr>
          </w:p>
          <w:p w:rsidR="0030799A" w:rsidRDefault="005D0A8D" w:rsidP="009C14EE">
            <w:pPr>
              <w:jc w:val="center"/>
              <w:rPr>
                <w:b/>
              </w:rPr>
            </w:pPr>
            <w:r w:rsidRPr="009C14EE">
              <w:rPr>
                <w:position w:val="-32"/>
              </w:rPr>
              <w:object w:dxaOrig="6220" w:dyaOrig="700">
                <v:shape id="_x0000_i1030" type="#_x0000_t75" style="width:290.5pt;height:32.55pt" o:ole="" o:bordertopcolor="red" o:borderleftcolor="red" o:borderbottomcolor="red" o:borderrightcolor="red">
                  <v:imagedata r:id="rId22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  <o:OLEObject Type="Embed" ProgID="Equation.3" ShapeID="_x0000_i1030" DrawAspect="Content" ObjectID="_1447145509" r:id="rId23"/>
              </w:object>
            </w:r>
          </w:p>
          <w:p w:rsidR="0030799A" w:rsidRPr="00EF3B4C" w:rsidRDefault="005D0A8D" w:rsidP="001826F3">
            <w:pPr>
              <w:rPr>
                <w:b/>
              </w:rPr>
            </w:pPr>
            <w:r>
              <w:t xml:space="preserve">Avec </w:t>
            </w:r>
            <w:r w:rsidR="005F5882" w:rsidRPr="005D0A8D">
              <w:rPr>
                <w:position w:val="-32"/>
              </w:rPr>
              <w:object w:dxaOrig="3240" w:dyaOrig="700">
                <v:shape id="_x0000_i1031" type="#_x0000_t75" style="width:140.85pt;height:30.7pt" o:ole="">
                  <v:imagedata r:id="rId24" o:title=""/>
                </v:shape>
                <o:OLEObject Type="Embed" ProgID="Equation.3" ShapeID="_x0000_i1031" DrawAspect="Content" ObjectID="_1447145510" r:id="rId25"/>
              </w:objec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Intégrez cette équation sur la sphère unité et faites apparaitre le courant </w:t>
            </w:r>
            <w:r w:rsidR="00355BC3">
              <w:t>neutronique</w:t>
            </w:r>
            <w:r>
              <w:t xml:space="preserve"> (voir </w:t>
            </w:r>
            <w:proofErr w:type="spellStart"/>
            <w:r>
              <w:t>slide</w:t>
            </w:r>
            <w:proofErr w:type="spellEnd"/>
            <w:r>
              <w:t xml:space="preserve"> 15)</w:t>
            </w:r>
          </w:p>
          <w:p w:rsidR="00BF07F3" w:rsidRDefault="00BF07F3" w:rsidP="00CC1693"/>
          <w:p w:rsidR="00BF07F3" w:rsidRDefault="00BF07F3" w:rsidP="00CC1693"/>
          <w:p w:rsidR="00BF07F3" w:rsidRDefault="00BF07F3" w:rsidP="00CC169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D0A8D" w:rsidRDefault="005D0A8D" w:rsidP="001826F3">
            <w:pPr>
              <w:rPr>
                <w:position w:val="-32"/>
              </w:rPr>
            </w:pPr>
            <w:r>
              <w:rPr>
                <w:position w:val="-32"/>
              </w:rPr>
              <w:t>En posant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32"/>
              <w:gridCol w:w="3032"/>
            </w:tblGrid>
            <w:tr w:rsidR="005D0A8D" w:rsidTr="005D0A8D">
              <w:tc>
                <w:tcPr>
                  <w:tcW w:w="3037" w:type="dxa"/>
                </w:tcPr>
                <w:p w:rsidR="005D0A8D" w:rsidRDefault="005F5882" w:rsidP="005D0A8D">
                  <w:pPr>
                    <w:jc w:val="center"/>
                    <w:rPr>
                      <w:position w:val="-32"/>
                    </w:rPr>
                  </w:pPr>
                  <w:r w:rsidRPr="00615813">
                    <w:rPr>
                      <w:position w:val="-32"/>
                    </w:rPr>
                    <w:object w:dxaOrig="2200" w:dyaOrig="600">
                      <v:shape id="_x0000_i1032" type="#_x0000_t75" style="width:97.65pt;height:26.3pt" o:ole="">
                        <v:imagedata r:id="rId26" o:title=""/>
                      </v:shape>
                      <o:OLEObject Type="Embed" ProgID="Equation.3" ShapeID="_x0000_i1032" DrawAspect="Content" ObjectID="_1447145511" r:id="rId27"/>
                    </w:object>
                  </w:r>
                </w:p>
              </w:tc>
              <w:tc>
                <w:tcPr>
                  <w:tcW w:w="3037" w:type="dxa"/>
                </w:tcPr>
                <w:p w:rsidR="005D0A8D" w:rsidRDefault="005D0A8D" w:rsidP="005D0A8D">
                  <w:pPr>
                    <w:jc w:val="center"/>
                    <w:rPr>
                      <w:position w:val="-32"/>
                    </w:rPr>
                  </w:pPr>
                  <w:r w:rsidRPr="00615813">
                    <w:rPr>
                      <w:position w:val="-32"/>
                    </w:rPr>
                    <w:object w:dxaOrig="1920" w:dyaOrig="600">
                      <v:shape id="_x0000_i1033" type="#_x0000_t75" style="width:96.4pt;height:30.05pt" o:ole="">
                        <v:imagedata r:id="rId28" o:title=""/>
                      </v:shape>
                      <o:OLEObject Type="Embed" ProgID="Equation.3" ShapeID="_x0000_i1033" DrawAspect="Content" ObjectID="_1447145512" r:id="rId29"/>
                    </w:object>
                  </w:r>
                </w:p>
              </w:tc>
            </w:tr>
          </w:tbl>
          <w:p w:rsidR="005D0A8D" w:rsidRDefault="005D0A8D" w:rsidP="001826F3">
            <w:pPr>
              <w:rPr>
                <w:position w:val="-32"/>
              </w:rPr>
            </w:pPr>
            <w:r>
              <w:rPr>
                <w:position w:val="-32"/>
              </w:rPr>
              <w:t>On intègre le premier terme :</w:t>
            </w:r>
          </w:p>
          <w:p w:rsidR="005D0A8D" w:rsidRDefault="005F5882" w:rsidP="005D0A8D">
            <w:pPr>
              <w:jc w:val="center"/>
              <w:rPr>
                <w:position w:val="-10"/>
              </w:rPr>
            </w:pPr>
            <w:r w:rsidRPr="005D0A8D">
              <w:rPr>
                <w:position w:val="-34"/>
              </w:rPr>
              <w:object w:dxaOrig="5140" w:dyaOrig="800">
                <v:shape id="_x0000_i1034" type="#_x0000_t75" style="width:237.3pt;height:36.3pt" o:ole="">
                  <v:imagedata r:id="rId30" o:title=""/>
                </v:shape>
                <o:OLEObject Type="Embed" ProgID="Equation.3" ShapeID="_x0000_i1034" DrawAspect="Content" ObjectID="_1447145513" r:id="rId31"/>
              </w:object>
            </w:r>
          </w:p>
          <w:p w:rsidR="005D0A8D" w:rsidRDefault="005D0A8D" w:rsidP="001826F3">
            <w:pPr>
              <w:rPr>
                <w:position w:val="-10"/>
              </w:rPr>
            </w:pPr>
            <w:r>
              <w:rPr>
                <w:position w:val="-10"/>
              </w:rPr>
              <w:t>Et on obtient l’équation du transport monocinétique en géométrie sphérique :</w:t>
            </w:r>
          </w:p>
          <w:p w:rsidR="005D0A8D" w:rsidRDefault="005D0A8D" w:rsidP="005D0A8D">
            <w:pPr>
              <w:jc w:val="center"/>
              <w:rPr>
                <w:b/>
              </w:rPr>
            </w:pPr>
            <w:r w:rsidRPr="009C14EE">
              <w:rPr>
                <w:position w:val="-32"/>
              </w:rPr>
              <w:object w:dxaOrig="5700" w:dyaOrig="700">
                <v:shape id="_x0000_i1035" type="#_x0000_t75" style="width:266.7pt;height:32.55pt" o:ole="" o:bordertopcolor="red" o:borderleftcolor="red" o:borderbottomcolor="red" o:borderrightcolor="red">
                  <v:imagedata r:id="rId32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  <o:OLEObject Type="Embed" ProgID="Equation.3" ShapeID="_x0000_i1035" DrawAspect="Content" ObjectID="_1447145514" r:id="rId33"/>
              </w:object>
            </w:r>
          </w:p>
          <w:p w:rsidR="00BC31E6" w:rsidRPr="00BC31E6" w:rsidRDefault="00BC31E6" w:rsidP="005F5882">
            <w:pPr>
              <w:tabs>
                <w:tab w:val="left" w:pos="2119"/>
              </w:tabs>
            </w:pPr>
            <w:r>
              <w:tab/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Appliquez l’approximation de la diffusion.</w:t>
            </w:r>
          </w:p>
          <w:p w:rsidR="00A72B0F" w:rsidRDefault="005D0A8D" w:rsidP="00CC1693">
            <w:r w:rsidRPr="00BF07F3">
              <w:rPr>
                <w:position w:val="-30"/>
              </w:rPr>
              <w:object w:dxaOrig="2360" w:dyaOrig="680">
                <v:shape id="_x0000_i1036" type="#_x0000_t75" style="width:117.7pt;height:33.8pt" o:ole="">
                  <v:imagedata r:id="rId34" o:title=""/>
                </v:shape>
                <o:OLEObject Type="Embed" ProgID="Equation.3" ShapeID="_x0000_i1036" DrawAspect="Content" ObjectID="_1447145515" r:id="rId35"/>
              </w:objec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D0A8D" w:rsidRDefault="005D0A8D" w:rsidP="001826F3">
            <w:r>
              <w:t>Le premier terme devient :</w:t>
            </w:r>
          </w:p>
          <w:p w:rsidR="005D0A8D" w:rsidRDefault="008163BF" w:rsidP="001826F3">
            <w:r w:rsidRPr="005D0A8D">
              <w:rPr>
                <w:position w:val="-32"/>
              </w:rPr>
              <w:object w:dxaOrig="3620" w:dyaOrig="760">
                <v:shape id="_x0000_i1037" type="#_x0000_t75" style="width:152.15pt;height:31.95pt" o:ole="">
                  <v:imagedata r:id="rId36" o:title=""/>
                </v:shape>
                <o:OLEObject Type="Embed" ProgID="Equation.3" ShapeID="_x0000_i1037" DrawAspect="Content" ObjectID="_1447145516" r:id="rId37"/>
              </w:object>
            </w:r>
          </w:p>
          <w:p w:rsidR="005F5882" w:rsidRDefault="005F5882" w:rsidP="001826F3">
            <w:r>
              <w:t>Le milieu étant homogène :</w:t>
            </w:r>
          </w:p>
          <w:p w:rsidR="005F5882" w:rsidRDefault="008163BF" w:rsidP="001826F3">
            <w:r w:rsidRPr="008163BF">
              <w:rPr>
                <w:position w:val="-24"/>
              </w:rPr>
              <w:object w:dxaOrig="3700" w:dyaOrig="620">
                <v:shape id="_x0000_i1038" type="#_x0000_t75" style="width:162.15pt;height:26.9pt" o:ole="">
                  <v:imagedata r:id="rId38" o:title=""/>
                </v:shape>
                <o:OLEObject Type="Embed" ProgID="Equation.3" ShapeID="_x0000_i1038" DrawAspect="Content" ObjectID="_1447145517" r:id="rId39"/>
              </w:object>
            </w:r>
          </w:p>
          <w:p w:rsidR="00CC1693" w:rsidRDefault="00FC4F24" w:rsidP="005F5882">
            <w:pPr>
              <w:jc w:val="center"/>
              <w:rPr>
                <w:b/>
              </w:rPr>
            </w:pPr>
            <w:r w:rsidRPr="00CC64E1">
              <w:rPr>
                <w:position w:val="-34"/>
              </w:rPr>
              <w:object w:dxaOrig="3980" w:dyaOrig="800">
                <v:shape id="_x0000_i1039" type="#_x0000_t75" style="width:185.95pt;height:36.95pt" o:ole="" o:bordertopcolor="red" o:borderleftcolor="red" o:borderbottomcolor="red" o:borderrightcolor="red">
                  <v:imagedata r:id="rId40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  <o:OLEObject Type="Embed" ProgID="Equation.3" ShapeID="_x0000_i1039" DrawAspect="Content" ObjectID="_1447145518" r:id="rId41"/>
              </w:objec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Quelle est la forme du flux  solution de cette équation ?</w:t>
            </w:r>
          </w:p>
          <w:p w:rsidR="00A72B0F" w:rsidRDefault="00A72B0F" w:rsidP="00CC1693"/>
          <w:p w:rsidR="00CC1693" w:rsidRDefault="00CC1693" w:rsidP="00CC169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Pr="005F5882" w:rsidRDefault="005F5882" w:rsidP="001826F3">
            <w:r w:rsidRPr="005F5882">
              <w:t>En coordonnées sphérique, l’équation la solution de cette équation est un sinus cardinal</w:t>
            </w:r>
            <w:r>
              <w:t> :</w:t>
            </w:r>
          </w:p>
          <w:p w:rsidR="005F5882" w:rsidRDefault="005F5882" w:rsidP="005F5882">
            <w:pPr>
              <w:jc w:val="center"/>
              <w:rPr>
                <w:position w:val="-32"/>
              </w:rPr>
            </w:pPr>
            <w:r w:rsidRPr="005F5882">
              <w:rPr>
                <w:position w:val="-10"/>
              </w:rPr>
              <w:object w:dxaOrig="1740" w:dyaOrig="340">
                <v:shape id="_x0000_i1040" type="#_x0000_t75" style="width:81.4pt;height:15.65pt" o:ole="" o:bordertopcolor="red" o:borderleftcolor="red" o:borderbottomcolor="red" o:borderrightcolor="red">
                  <v:imagedata r:id="rId42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  <o:OLEObject Type="Embed" ProgID="Equation.3" ShapeID="_x0000_i1040" DrawAspect="Content" ObjectID="_1447145519" r:id="rId43"/>
              </w:object>
            </w:r>
          </w:p>
          <w:p w:rsidR="0068626D" w:rsidRDefault="0068626D" w:rsidP="005F5882">
            <w:pPr>
              <w:jc w:val="center"/>
              <w:rPr>
                <w:position w:val="-32"/>
              </w:rPr>
            </w:pPr>
            <w:r>
              <w:rPr>
                <w:noProof/>
                <w:position w:val="-32"/>
                <w:lang w:eastAsia="fr-FR"/>
              </w:rPr>
              <w:drawing>
                <wp:inline distT="0" distB="0" distL="0" distR="0" wp14:anchorId="5F52DD1D" wp14:editId="08F99288">
                  <wp:extent cx="3295290" cy="2127131"/>
                  <wp:effectExtent l="0" t="0" r="635" b="698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970" cy="2126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4E1" w:rsidRPr="00CC64E1" w:rsidRDefault="00CC64E1" w:rsidP="00CC64E1">
            <w:r w:rsidRPr="00CC64E1">
              <w:t xml:space="preserve">Avec une condition de flux nul à la limite de la sphère, le </w:t>
            </w:r>
            <w:proofErr w:type="spellStart"/>
            <w:r w:rsidRPr="00CC64E1">
              <w:t>laplacient</w:t>
            </w:r>
            <w:proofErr w:type="spellEnd"/>
            <w:r w:rsidRPr="00CC64E1">
              <w:t xml:space="preserve">  géométrique est</w:t>
            </w:r>
            <w:r>
              <w:t> :</w:t>
            </w:r>
          </w:p>
          <w:p w:rsidR="0068626D" w:rsidRDefault="00CC64E1" w:rsidP="00CC64E1">
            <w:pPr>
              <w:jc w:val="center"/>
              <w:rPr>
                <w:position w:val="-32"/>
                <w:bdr w:val="single" w:sz="4" w:space="0" w:color="auto"/>
                <w:vertAlign w:val="subscript"/>
              </w:rPr>
            </w:pPr>
            <w:proofErr w:type="spellStart"/>
            <w:r w:rsidRPr="00CC64E1">
              <w:rPr>
                <w:position w:val="-32"/>
                <w:bdr w:val="single" w:sz="4" w:space="0" w:color="auto"/>
              </w:rPr>
              <w:t>Bg</w:t>
            </w:r>
            <w:proofErr w:type="spellEnd"/>
            <w:r w:rsidRPr="00CC64E1">
              <w:rPr>
                <w:position w:val="-32"/>
                <w:bdr w:val="single" w:sz="4" w:space="0" w:color="auto"/>
              </w:rPr>
              <w:t>=</w:t>
            </w:r>
            <w:r w:rsidRPr="00CC64E1">
              <w:rPr>
                <w:position w:val="-32"/>
                <w:bdr w:val="single" w:sz="4" w:space="0" w:color="auto"/>
              </w:rPr>
              <w:sym w:font="Symbol" w:char="F070"/>
            </w:r>
            <w:r w:rsidRPr="00CC64E1">
              <w:rPr>
                <w:position w:val="-32"/>
                <w:bdr w:val="single" w:sz="4" w:space="0" w:color="auto"/>
              </w:rPr>
              <w:t>/</w:t>
            </w:r>
            <w:proofErr w:type="spellStart"/>
            <w:r w:rsidRPr="00CC64E1">
              <w:rPr>
                <w:position w:val="-32"/>
                <w:bdr w:val="single" w:sz="4" w:space="0" w:color="auto"/>
              </w:rPr>
              <w:t>R</w:t>
            </w:r>
            <w:r w:rsidRPr="00CC64E1">
              <w:rPr>
                <w:position w:val="-32"/>
                <w:bdr w:val="single" w:sz="4" w:space="0" w:color="auto"/>
                <w:vertAlign w:val="subscript"/>
              </w:rPr>
              <w:t>crit</w:t>
            </w:r>
            <w:proofErr w:type="spellEnd"/>
          </w:p>
          <w:p w:rsidR="00CC64E1" w:rsidRDefault="00CC64E1" w:rsidP="00CC64E1">
            <w:pPr>
              <w:jc w:val="center"/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632322" w:rsidRDefault="00632322" w:rsidP="00632322">
            <w:r>
              <w:lastRenderedPageBreak/>
              <w:t xml:space="preserve">En introduisant le flux solution, identifiez dans l’équation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géométrique</w:t>
            </w:r>
            <w:r>
              <w:t xml:space="preserve"> et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matière</w:t>
            </w:r>
            <w:r>
              <w:rPr>
                <w:b/>
              </w:rPr>
              <w:t>.</w:t>
            </w:r>
          </w:p>
          <w:p w:rsidR="00632322" w:rsidRDefault="00632322" w:rsidP="00CC1693"/>
          <w:p w:rsidR="00A72B0F" w:rsidRDefault="00FB6F9D" w:rsidP="00CC1693">
            <w:r>
              <w:t xml:space="preserve">Calculez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en fonction des sections efficaces</w:t>
            </w:r>
            <w:r w:rsidR="00A72B0F">
              <w:t xml:space="preserve"> macroscopiques</w:t>
            </w:r>
          </w:p>
          <w:p w:rsidR="00632322" w:rsidRDefault="00632322" w:rsidP="00CC1693"/>
          <w:p w:rsidR="00A72B0F" w:rsidRPr="00A72B0F" w:rsidRDefault="00A72B0F" w:rsidP="00CC1693">
            <w:pPr>
              <w:rPr>
                <w:b/>
              </w:rPr>
            </w:pPr>
            <w:r w:rsidRPr="00A72B0F">
              <w:rPr>
                <w:b/>
              </w:rPr>
              <w:t>(indiquez le raisonnement suivi)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BF07F3" w:rsidRDefault="00BF07F3" w:rsidP="00CC169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F5882" w:rsidRDefault="005F5882" w:rsidP="005F5882">
            <w:r>
              <w:t>Le premier terme devient :</w:t>
            </w:r>
          </w:p>
          <w:p w:rsidR="005F5882" w:rsidRDefault="008163BF" w:rsidP="005F5882">
            <w:r w:rsidRPr="008163BF">
              <w:rPr>
                <w:position w:val="-24"/>
              </w:rPr>
              <w:object w:dxaOrig="2740" w:dyaOrig="620">
                <v:shape id="_x0000_i1041" type="#_x0000_t75" style="width:120.2pt;height:26.9pt" o:ole="">
                  <v:imagedata r:id="rId45" o:title=""/>
                </v:shape>
                <o:OLEObject Type="Embed" ProgID="Equation.3" ShapeID="_x0000_i1041" DrawAspect="Content" ObjectID="_1447145520" r:id="rId46"/>
              </w:object>
            </w:r>
          </w:p>
          <w:p w:rsidR="00CC1693" w:rsidRPr="00914105" w:rsidRDefault="00CC64E1" w:rsidP="001826F3">
            <w:r>
              <w:t>Le second terme devient :</w:t>
            </w:r>
          </w:p>
          <w:p w:rsidR="00914105" w:rsidRDefault="00914105" w:rsidP="001826F3">
            <w:r w:rsidRPr="001C10BD">
              <w:rPr>
                <w:position w:val="-36"/>
              </w:rPr>
              <w:object w:dxaOrig="4980" w:dyaOrig="840">
                <v:shape id="_x0000_i1042" type="#_x0000_t75" style="width:249.2pt;height:41.95pt" o:ole="">
                  <v:imagedata r:id="rId47" o:title=""/>
                </v:shape>
                <o:OLEObject Type="Embed" ProgID="Equation.3" ShapeID="_x0000_i1042" DrawAspect="Content" ObjectID="_1447145521" r:id="rId48"/>
              </w:object>
            </w:r>
          </w:p>
          <w:p w:rsidR="00914105" w:rsidRDefault="00914105" w:rsidP="001826F3">
            <w:r>
              <w:t>Le terme de flux peut donc s’éliminer pour faire apparaitre :</w:t>
            </w:r>
          </w:p>
          <w:p w:rsidR="00914105" w:rsidRDefault="008163BF" w:rsidP="00B71F91">
            <w:pPr>
              <w:jc w:val="center"/>
            </w:pPr>
            <w:r w:rsidRPr="00914105">
              <w:rPr>
                <w:position w:val="-36"/>
              </w:rPr>
              <w:object w:dxaOrig="3100" w:dyaOrig="840">
                <v:shape id="_x0000_i1043" type="#_x0000_t75" style="width:155.25pt;height:41.95pt" o:ole="" o:bordertopcolor="this" o:borderleftcolor="this" o:borderbottomcolor="this" o:borderrightcolor="this">
                  <v:imagedata r:id="rId4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43" DrawAspect="Content" ObjectID="_1447145522" r:id="rId50"/>
              </w:object>
            </w:r>
          </w:p>
          <w:p w:rsidR="00B71F91" w:rsidRDefault="00BE6A0E" w:rsidP="001826F3">
            <w:r>
              <w:t xml:space="preserve">La situation étant critique : </w:t>
            </w:r>
            <w:r w:rsidRPr="001C10BD">
              <w:rPr>
                <w:position w:val="-14"/>
              </w:rPr>
              <w:object w:dxaOrig="440" w:dyaOrig="380">
                <v:shape id="_x0000_i1044" type="#_x0000_t75" style="width:21.9pt;height:18.8pt" o:ole="">
                  <v:imagedata r:id="rId51" o:title=""/>
                </v:shape>
                <o:OLEObject Type="Embed" ProgID="Equation.3" ShapeID="_x0000_i1044" DrawAspect="Content" ObjectID="_1447145523" r:id="rId52"/>
              </w:object>
            </w:r>
            <w:r>
              <w:t>=1</w:t>
            </w:r>
          </w:p>
          <w:p w:rsidR="00BE6A0E" w:rsidRDefault="00FC027D" w:rsidP="00BE6A0E">
            <w:pPr>
              <w:jc w:val="center"/>
            </w:pPr>
            <w:r w:rsidRPr="00BE6A0E">
              <w:rPr>
                <w:position w:val="-14"/>
              </w:rPr>
              <w:object w:dxaOrig="940" w:dyaOrig="400">
                <v:shape id="_x0000_i1045" type="#_x0000_t75" style="width:46.95pt;height:20.05pt" o:ole="" o:bordertopcolor="this" o:borderleftcolor="this" o:borderbottomcolor="this" o:borderrightcolor="this">
                  <v:imagedata r:id="rId5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45" DrawAspect="Content" ObjectID="_1447145524" r:id="rId54"/>
              </w:object>
            </w:r>
          </w:p>
          <w:p w:rsidR="00B71F91" w:rsidRDefault="008163BF" w:rsidP="001826F3">
            <w:r>
              <w:t>Et ainsi :</w:t>
            </w:r>
          </w:p>
          <w:p w:rsidR="008163BF" w:rsidRDefault="00EF6CC6" w:rsidP="008163BF">
            <w:pPr>
              <w:jc w:val="center"/>
              <w:rPr>
                <w:b/>
              </w:rPr>
            </w:pPr>
            <w:r w:rsidRPr="008163BF">
              <w:rPr>
                <w:position w:val="-32"/>
              </w:rPr>
              <w:object w:dxaOrig="3700" w:dyaOrig="800">
                <v:shape id="_x0000_i1046" type="#_x0000_t75" style="width:185.3pt;height:40.05pt" o:ole="">
                  <v:imagedata r:id="rId55" o:title=""/>
                </v:shape>
                <o:OLEObject Type="Embed" ProgID="Equation.3" ShapeID="_x0000_i1046" DrawAspect="Content" ObjectID="_1447145525" r:id="rId56"/>
              </w:object>
            </w:r>
          </w:p>
          <w:p w:rsidR="008163BF" w:rsidRPr="00914105" w:rsidRDefault="00EF6CC6" w:rsidP="008163BF">
            <w:pPr>
              <w:jc w:val="center"/>
            </w:pPr>
            <w:r w:rsidRPr="008163BF">
              <w:rPr>
                <w:position w:val="-36"/>
              </w:rPr>
              <w:object w:dxaOrig="2380" w:dyaOrig="740">
                <v:shape id="_x0000_i1047" type="#_x0000_t75" style="width:118.95pt;height:36.95pt" o:ole="" o:bordertopcolor="this" o:borderleftcolor="this" o:borderbottomcolor="this" o:borderrightcolor="this">
                  <v:imagedata r:id="rId5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47" DrawAspect="Content" ObjectID="_1447145526" r:id="rId58"/>
              </w:objec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1A4E1E" w:rsidP="00FB6F9D">
            <w:r>
              <w:t>En négligeant la contribution de l’U234, d</w:t>
            </w:r>
            <w:r w:rsidR="00FB6F9D">
              <w:t xml:space="preserve">écomposez les différentes sections </w:t>
            </w:r>
            <w:r w:rsidR="000F00E2">
              <w:t>efficaces</w:t>
            </w:r>
            <w:r>
              <w:t xml:space="preserve"> macroscopiques</w:t>
            </w:r>
            <w:r w:rsidR="000F00E2">
              <w:t xml:space="preserve"> </w:t>
            </w:r>
            <w:r w:rsidR="00FB6F9D">
              <w:t>en fonction de :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capture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fission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Le nombre de neutron</w:t>
            </w:r>
            <w:r w:rsidR="00A72B0F">
              <w:t>s</w:t>
            </w:r>
            <w:r>
              <w:t xml:space="preserve"> par fission de l’U235</w:t>
            </w:r>
          </w:p>
          <w:p w:rsidR="001A4E1E" w:rsidRDefault="00FB6F9D" w:rsidP="001A4E1E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 xml:space="preserve">L’enrichissement </w:t>
            </w:r>
            <w:r w:rsidR="00A72B0F">
              <w:t>isotopique</w:t>
            </w:r>
            <w:r>
              <w:t xml:space="preserve"> en U235</w:t>
            </w:r>
          </w:p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EF6CC6" w:rsidRPr="00EF6CC6" w:rsidRDefault="00EF6CC6" w:rsidP="001826F3">
            <w:r w:rsidRPr="00EF6CC6">
              <w:t>La section totale :</w:t>
            </w:r>
          </w:p>
          <w:p w:rsidR="00EF6CC6" w:rsidRDefault="00EF6CC6" w:rsidP="001826F3">
            <w:pPr>
              <w:rPr>
                <w:sz w:val="18"/>
              </w:rPr>
            </w:pPr>
            <w:r w:rsidRPr="00EF6CC6">
              <w:rPr>
                <w:position w:val="-14"/>
                <w:sz w:val="18"/>
              </w:rPr>
              <w:object w:dxaOrig="3980" w:dyaOrig="380">
                <v:shape id="_x0000_i1048" type="#_x0000_t75" style="width:199.1pt;height:18.8pt" o:ole="">
                  <v:imagedata r:id="rId59" o:title=""/>
                </v:shape>
                <o:OLEObject Type="Embed" ProgID="Equation.3" ShapeID="_x0000_i1048" DrawAspect="Content" ObjectID="_1447145527" r:id="rId60"/>
              </w:object>
            </w:r>
          </w:p>
          <w:p w:rsidR="00EF6CC6" w:rsidRDefault="00EF6CC6" w:rsidP="00EF6CC6"/>
          <w:p w:rsidR="00EF6CC6" w:rsidRPr="00EF6CC6" w:rsidRDefault="00EF6CC6" w:rsidP="00EF6CC6">
            <w:r>
              <w:t>L</w:t>
            </w:r>
            <w:r w:rsidRPr="00EF6CC6">
              <w:t xml:space="preserve">a section </w:t>
            </w:r>
            <w:r>
              <w:t>d’absorption</w:t>
            </w:r>
            <w:r w:rsidRPr="00EF6CC6">
              <w:t> :</w:t>
            </w:r>
          </w:p>
          <w:p w:rsidR="00EF6CC6" w:rsidRDefault="00DC4650" w:rsidP="00EF6CC6">
            <w:pPr>
              <w:rPr>
                <w:sz w:val="18"/>
              </w:rPr>
            </w:pPr>
            <w:r w:rsidRPr="00EF6CC6">
              <w:rPr>
                <w:position w:val="-14"/>
                <w:sz w:val="18"/>
              </w:rPr>
              <w:object w:dxaOrig="3760" w:dyaOrig="380">
                <v:shape id="_x0000_i1049" type="#_x0000_t75" style="width:187.85pt;height:18.8pt" o:ole="">
                  <v:imagedata r:id="rId61" o:title=""/>
                </v:shape>
                <o:OLEObject Type="Embed" ProgID="Equation.3" ShapeID="_x0000_i1049" DrawAspect="Content" ObjectID="_1447145528" r:id="rId62"/>
              </w:object>
            </w:r>
          </w:p>
          <w:p w:rsidR="00EF6CC6" w:rsidRDefault="00EF6CC6" w:rsidP="00EF6CC6"/>
          <w:p w:rsidR="00EF6CC6" w:rsidRPr="00EF6CC6" w:rsidRDefault="00EF6CC6" w:rsidP="00EF6CC6">
            <w:r>
              <w:t>Le produit « nombre de neutrons émis » et « </w:t>
            </w:r>
            <w:r w:rsidRPr="00EF6CC6">
              <w:t xml:space="preserve"> section </w:t>
            </w:r>
            <w:r>
              <w:t>de fission »</w:t>
            </w:r>
            <w:r w:rsidRPr="00EF6CC6">
              <w:t> :</w:t>
            </w:r>
          </w:p>
          <w:p w:rsidR="00EF6CC6" w:rsidRDefault="00DC4650" w:rsidP="00EF6CC6">
            <w:pPr>
              <w:rPr>
                <w:b/>
              </w:rPr>
            </w:pPr>
            <w:r w:rsidRPr="00EF6CC6">
              <w:rPr>
                <w:position w:val="-14"/>
                <w:sz w:val="18"/>
              </w:rPr>
              <w:object w:dxaOrig="2180" w:dyaOrig="380">
                <v:shape id="_x0000_i1050" type="#_x0000_t75" style="width:108.95pt;height:18.8pt" o:ole="">
                  <v:imagedata r:id="rId63" o:title=""/>
                </v:shape>
                <o:OLEObject Type="Embed" ProgID="Equation.3" ShapeID="_x0000_i1050" DrawAspect="Content" ObjectID="_1447145529" r:id="rId64"/>
              </w:objec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FB6F9D" w:rsidP="00FB6F9D">
            <w:r>
              <w:t xml:space="preserve">Tracez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théorique en fonction de </w:t>
            </w:r>
            <w:r w:rsidR="00A72B0F">
              <w:t>l</w:t>
            </w:r>
            <w:r>
              <w:t xml:space="preserve">’enrichissement </w:t>
            </w:r>
            <w:r w:rsidR="00A72B0F">
              <w:t>isotopique</w:t>
            </w:r>
            <w:r>
              <w:t xml:space="preserve"> sur le même graphe que précédemment.</w:t>
            </w:r>
          </w:p>
          <w:p w:rsidR="00A72B0F" w:rsidRDefault="00A72B0F" w:rsidP="00FB6F9D">
            <w:r>
              <w:t>Sachant que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bookmarkStart w:id="1" w:name="OLE_LINK1"/>
                  <w:bookmarkStart w:id="2" w:name="OLE_LINK2"/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(barns)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</w:t>
                  </w:r>
                  <w:proofErr w:type="gramStart"/>
                  <w:r w:rsidRPr="00A72B0F">
                    <w:rPr>
                      <w:vertAlign w:val="subscript"/>
                    </w:rPr>
                    <w:t>,U</w:t>
                  </w:r>
                  <w:proofErr w:type="spellEnd"/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10.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A72B0F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proofErr w:type="gramStart"/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1.5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2.4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proofErr w:type="gramStart"/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  <w:proofErr w:type="gram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0.12</w:t>
                  </w:r>
                </w:p>
              </w:tc>
            </w:tr>
            <w:bookmarkEnd w:id="1"/>
            <w:bookmarkEnd w:id="2"/>
          </w:tbl>
          <w:p w:rsidR="00A72B0F" w:rsidRDefault="00A72B0F" w:rsidP="00A72B0F"/>
          <w:p w:rsidR="00A72B0F" w:rsidRDefault="00A72B0F" w:rsidP="00FB6F9D"/>
          <w:p w:rsidR="001A4E1E" w:rsidRDefault="001A4E1E" w:rsidP="00FB6F9D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F35A4" w:rsidRPr="00FF35A4" w:rsidRDefault="00FF35A4" w:rsidP="00FF35A4">
            <w:r w:rsidRPr="00FF35A4">
              <w:t>On observe une parfaite prédiction du rayon critique avec ce modèle très approché (monocinétique + diffusion) :</w:t>
            </w:r>
          </w:p>
          <w:p w:rsidR="00FB6F9D" w:rsidRDefault="004F6EFE" w:rsidP="004F6EFE">
            <w:pPr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69771B95" wp14:editId="196A1B77">
                  <wp:extent cx="3114136" cy="1829458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315" cy="182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1A4E1E" w:rsidRPr="00024709" w:rsidRDefault="001A4E1E" w:rsidP="00FB6F9D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lastRenderedPageBreak/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1A4E1E" w:rsidRDefault="001A4E1E" w:rsidP="00FB6F9D">
            <w:r>
              <w:t>Comparez les valeurs de sections efficaces microscopiques indiquées ci-dessus avec les valeurs de JEF2 consultables avec l’outil JANIS (</w:t>
            </w:r>
            <w:proofErr w:type="spellStart"/>
            <w:r>
              <w:t>google</w:t>
            </w:r>
            <w:proofErr w:type="spellEnd"/>
            <w:r>
              <w:t>).</w:t>
            </w:r>
          </w:p>
          <w:p w:rsidR="001A4E1E" w:rsidRDefault="001A4E1E" w:rsidP="00FB6F9D">
            <w:r>
              <w:t xml:space="preserve">Qu’en </w:t>
            </w:r>
            <w:proofErr w:type="spellStart"/>
            <w:proofErr w:type="gramStart"/>
            <w:r>
              <w:t>pensez vous</w:t>
            </w:r>
            <w:proofErr w:type="spellEnd"/>
            <w:proofErr w:type="gramEnd"/>
            <w:r>
              <w:t> ?</w:t>
            </w:r>
          </w:p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72B0F" w:rsidRDefault="00A72B0F" w:rsidP="001826F3">
            <w:pPr>
              <w:rPr>
                <w:b/>
              </w:rPr>
            </w:pPr>
          </w:p>
          <w:p w:rsidR="002E4F3A" w:rsidRPr="002E4F3A" w:rsidRDefault="00BD4BE6" w:rsidP="001826F3">
            <w:r>
              <w:t>Le spectre dans cette sp</w:t>
            </w:r>
            <w:r w:rsidR="002E4F3A" w:rsidRPr="002E4F3A">
              <w:t xml:space="preserve">hère étant rapide, on s’intéresse à la plage d’énergie entre 100KeV et 1MeV. Les valeurs min et max </w:t>
            </w:r>
            <w:r w:rsidR="002E4F3A">
              <w:t>des sections sont les suivantes :</w:t>
            </w:r>
          </w:p>
          <w:p w:rsidR="002E4F3A" w:rsidRDefault="002E4F3A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14"/>
              <w:gridCol w:w="2678"/>
            </w:tblGrid>
            <w:tr w:rsidR="001A4E1E" w:rsidRPr="0030799A" w:rsidTr="005D67BE">
              <w:trPr>
                <w:jc w:val="center"/>
              </w:trPr>
              <w:tc>
                <w:tcPr>
                  <w:tcW w:w="1214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2678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JEF2 (barns)</w:t>
                  </w:r>
                </w:p>
              </w:tc>
            </w:tr>
            <w:tr w:rsidR="00C62DAB" w:rsidTr="00C62DAB">
              <w:trPr>
                <w:jc w:val="center"/>
              </w:trPr>
              <w:tc>
                <w:tcPr>
                  <w:tcW w:w="1214" w:type="dxa"/>
                </w:tcPr>
                <w:p w:rsidR="00C62DAB" w:rsidRDefault="00C62DAB" w:rsidP="001826F3">
                  <w:r>
                    <w:sym w:font="Symbol" w:char="F073"/>
                  </w:r>
                  <w:r w:rsidRPr="00A72B0F">
                    <w:rPr>
                      <w:vertAlign w:val="subscript"/>
                    </w:rPr>
                    <w:t>tot</w:t>
                  </w:r>
                  <w:proofErr w:type="gramStart"/>
                  <w:r w:rsidRPr="00A72B0F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  <w:proofErr w:type="gramEnd"/>
                </w:p>
              </w:tc>
              <w:tc>
                <w:tcPr>
                  <w:tcW w:w="2678" w:type="dxa"/>
                  <w:vMerge w:val="restart"/>
                  <w:vAlign w:val="center"/>
                </w:tcPr>
                <w:p w:rsidR="00C62DAB" w:rsidRDefault="00C62DAB" w:rsidP="00C62DAB">
                  <w:pPr>
                    <w:jc w:val="center"/>
                  </w:pPr>
                  <w:r>
                    <w:t>7 - 12</w:t>
                  </w:r>
                </w:p>
              </w:tc>
            </w:tr>
            <w:tr w:rsidR="00C62DAB" w:rsidTr="00C62DAB">
              <w:trPr>
                <w:jc w:val="center"/>
              </w:trPr>
              <w:tc>
                <w:tcPr>
                  <w:tcW w:w="1214" w:type="dxa"/>
                </w:tcPr>
                <w:p w:rsidR="00C62DAB" w:rsidRDefault="00C62DAB" w:rsidP="001826F3">
                  <w:r>
                    <w:sym w:font="Symbol" w:char="F073"/>
                  </w:r>
                  <w:r w:rsidRPr="00A72B0F">
                    <w:rPr>
                      <w:vertAlign w:val="subscript"/>
                    </w:rPr>
                    <w:t>tot</w:t>
                  </w:r>
                  <w:proofErr w:type="gramStart"/>
                  <w:r w:rsidRPr="00A72B0F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  <w:proofErr w:type="gramEnd"/>
                </w:p>
              </w:tc>
              <w:tc>
                <w:tcPr>
                  <w:tcW w:w="2678" w:type="dxa"/>
                  <w:vMerge/>
                  <w:vAlign w:val="center"/>
                </w:tcPr>
                <w:p w:rsidR="00C62DAB" w:rsidRDefault="00C62DAB" w:rsidP="00C62DAB">
                  <w:pPr>
                    <w:jc w:val="center"/>
                  </w:pPr>
                </w:p>
              </w:tc>
            </w:tr>
            <w:tr w:rsidR="001A4E1E" w:rsidTr="00C62DAB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proofErr w:type="gramStart"/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  <w:proofErr w:type="gramEnd"/>
                </w:p>
              </w:tc>
              <w:tc>
                <w:tcPr>
                  <w:tcW w:w="2678" w:type="dxa"/>
                  <w:vAlign w:val="center"/>
                </w:tcPr>
                <w:p w:rsidR="001A4E1E" w:rsidRDefault="00B15486" w:rsidP="00C62DAB">
                  <w:pPr>
                    <w:jc w:val="center"/>
                  </w:pPr>
                  <w:r>
                    <w:t>1.1 – 1.6</w:t>
                  </w:r>
                </w:p>
              </w:tc>
            </w:tr>
            <w:tr w:rsidR="001A4E1E" w:rsidTr="00C62DAB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678" w:type="dxa"/>
                  <w:vAlign w:val="center"/>
                </w:tcPr>
                <w:p w:rsidR="001A4E1E" w:rsidRDefault="00B15486" w:rsidP="00C62DAB">
                  <w:pPr>
                    <w:jc w:val="center"/>
                  </w:pPr>
                  <w:r>
                    <w:t>2.4 – 2.5</w:t>
                  </w:r>
                </w:p>
              </w:tc>
            </w:tr>
            <w:tr w:rsidR="001A4E1E" w:rsidTr="00C62DAB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proofErr w:type="gramStart"/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  <w:proofErr w:type="gramEnd"/>
                </w:p>
              </w:tc>
              <w:tc>
                <w:tcPr>
                  <w:tcW w:w="2678" w:type="dxa"/>
                  <w:vAlign w:val="center"/>
                </w:tcPr>
                <w:p w:rsidR="001A4E1E" w:rsidRDefault="00C62DAB" w:rsidP="00C62DAB">
                  <w:pPr>
                    <w:jc w:val="center"/>
                  </w:pPr>
                  <w:r>
                    <w:t>0,11 – 0,18</w:t>
                  </w:r>
                </w:p>
              </w:tc>
            </w:tr>
          </w:tbl>
          <w:p w:rsidR="001A4E1E" w:rsidRDefault="001A4E1E" w:rsidP="001826F3">
            <w:pPr>
              <w:rPr>
                <w:b/>
              </w:rPr>
            </w:pPr>
          </w:p>
          <w:p w:rsidR="001A4E1E" w:rsidRDefault="00FF35A4" w:rsidP="00FF35A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86" w:right="176"/>
              <w:rPr>
                <w:b/>
              </w:rPr>
            </w:pPr>
            <w:r>
              <w:rPr>
                <w:b/>
              </w:rPr>
              <w:t>Les valeurs indiquées dans l’encart précédent ont de toute évidence été ajustées pour avoir une si parfaite prédiction du rayon critique : elles sont néanmoins réalistes puisqu’elles sont tout à fait encadrées par les valeurs des sections sur une plage rapide.</w:t>
            </w:r>
          </w:p>
          <w:p w:rsidR="001A4E1E" w:rsidRDefault="001A4E1E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Default="00F737A2" w:rsidP="001826F3">
            <w:pPr>
              <w:pStyle w:val="Titre1"/>
              <w:outlineLvl w:val="0"/>
            </w:pPr>
          </w:p>
          <w:p w:rsidR="00F737A2" w:rsidRDefault="00252F92" w:rsidP="001826F3">
            <w:pPr>
              <w:pStyle w:val="Titre1"/>
              <w:outlineLvl w:val="0"/>
            </w:pPr>
            <w:r>
              <w:t>3</w:t>
            </w:r>
            <w:r w:rsidR="00F737A2">
              <w:t xml:space="preserve">/ Etude du </w:t>
            </w:r>
            <w:r w:rsidR="00812099">
              <w:t>cas Homogène Infini</w:t>
            </w:r>
          </w:p>
          <w:p w:rsidR="00F737A2" w:rsidRPr="00DE58FB" w:rsidRDefault="00F737A2" w:rsidP="001826F3"/>
        </w:tc>
      </w:tr>
      <w:tr w:rsidR="00115ED3" w:rsidRPr="00EF3B4C" w:rsidTr="00BD4BE6">
        <w:trPr>
          <w:jc w:val="center"/>
        </w:trPr>
        <w:tc>
          <w:tcPr>
            <w:tcW w:w="206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F737A2" w:rsidRPr="00DE58FB" w:rsidRDefault="00F737A2" w:rsidP="001826F3"/>
        </w:tc>
        <w:tc>
          <w:tcPr>
            <w:tcW w:w="816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1F6177" w:rsidRDefault="00F737A2" w:rsidP="001826F3"/>
          <w:p w:rsidR="00AD5CE8" w:rsidRDefault="00AD5CE8" w:rsidP="00F737A2">
            <w:r>
              <w:t xml:space="preserve">Par défaut dans Tripoli, la condition limite à la surface de la géométrie est du </w:t>
            </w:r>
            <w:r w:rsidRPr="00AD5CE8">
              <w:rPr>
                <w:b/>
              </w:rPr>
              <w:t>vide</w:t>
            </w:r>
            <w:r>
              <w:t>.</w:t>
            </w:r>
          </w:p>
          <w:p w:rsidR="000F00E2" w:rsidRDefault="00F737A2" w:rsidP="00F737A2">
            <w:r w:rsidRPr="002E5DCF">
              <w:rPr>
                <w:b/>
              </w:rPr>
              <w:t>A l’aide du manuel</w:t>
            </w:r>
            <w:r>
              <w:t xml:space="preserve">, </w:t>
            </w:r>
            <w:r w:rsidR="000F00E2">
              <w:t>introduisez une condition</w:t>
            </w:r>
            <w:r>
              <w:t xml:space="preserve"> limite</w:t>
            </w:r>
            <w:r w:rsidR="000F00E2">
              <w:t xml:space="preserve"> de réflexion</w:t>
            </w:r>
            <w:r w:rsidR="0063087F">
              <w:t xml:space="preserve"> en surface de la sphère dans de nouveaux fichiers (suffixe «</w:t>
            </w:r>
            <w:r w:rsidR="0063087F" w:rsidRPr="0063087F">
              <w:rPr>
                <w:b/>
              </w:rPr>
              <w:t> _</w:t>
            </w:r>
            <w:proofErr w:type="spellStart"/>
            <w:r w:rsidR="0063087F" w:rsidRPr="0063087F">
              <w:rPr>
                <w:b/>
              </w:rPr>
              <w:t>refl</w:t>
            </w:r>
            <w:proofErr w:type="spellEnd"/>
            <w:r w:rsidR="0063087F" w:rsidRPr="0063087F">
              <w:rPr>
                <w:b/>
              </w:rPr>
              <w:t> »</w:t>
            </w:r>
            <w:r w:rsidR="0063087F">
              <w:t>)</w:t>
            </w:r>
          </w:p>
          <w:p w:rsidR="00F737A2" w:rsidRPr="00DE58FB" w:rsidRDefault="00F737A2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F737A2" w:rsidRPr="00DE58FB" w:rsidRDefault="00F737A2" w:rsidP="001826F3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Default="00285280" w:rsidP="00285280">
            <w:r>
              <w:t xml:space="preserve">Quel est le </w:t>
            </w:r>
            <w:proofErr w:type="spellStart"/>
            <w:r>
              <w:t>Kinf</w:t>
            </w:r>
            <w:proofErr w:type="spellEnd"/>
            <w:r>
              <w:t xml:space="preserve"> obtenu pour chaque enrichissement ? </w:t>
            </w:r>
          </w:p>
          <w:p w:rsidR="00285280" w:rsidRPr="00DE58FB" w:rsidRDefault="00285280" w:rsidP="00285280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  <w:p w:rsidR="00285280" w:rsidRDefault="00285280" w:rsidP="0028528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285280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E4316" w:rsidTr="006F58C6">
              <w:trPr>
                <w:jc w:val="center"/>
              </w:trPr>
              <w:tc>
                <w:tcPr>
                  <w:tcW w:w="1681" w:type="dxa"/>
                </w:tcPr>
                <w:p w:rsidR="002E4316" w:rsidRDefault="002E4316" w:rsidP="0063087F">
                  <w:r>
                    <w:t>hmf001.05_refl</w:t>
                  </w:r>
                </w:p>
              </w:tc>
              <w:tc>
                <w:tcPr>
                  <w:tcW w:w="737" w:type="dxa"/>
                </w:tcPr>
                <w:p w:rsidR="002E4316" w:rsidRDefault="002E4316" w:rsidP="001826F3">
                  <w:r>
                    <w:t>5%</w:t>
                  </w:r>
                </w:p>
              </w:tc>
              <w:tc>
                <w:tcPr>
                  <w:tcW w:w="1630" w:type="dxa"/>
                  <w:vAlign w:val="bottom"/>
                </w:tcPr>
                <w:p w:rsidR="002E4316" w:rsidRDefault="002E431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0,96586</w:t>
                  </w:r>
                </w:p>
              </w:tc>
            </w:tr>
            <w:tr w:rsidR="002E4316" w:rsidTr="006F58C6">
              <w:trPr>
                <w:jc w:val="center"/>
              </w:trPr>
              <w:tc>
                <w:tcPr>
                  <w:tcW w:w="1681" w:type="dxa"/>
                </w:tcPr>
                <w:p w:rsidR="002E4316" w:rsidRDefault="002E4316" w:rsidP="001826F3">
                  <w:r>
                    <w:t>hmf001.10_refl</w:t>
                  </w:r>
                </w:p>
              </w:tc>
              <w:tc>
                <w:tcPr>
                  <w:tcW w:w="737" w:type="dxa"/>
                </w:tcPr>
                <w:p w:rsidR="002E4316" w:rsidRDefault="002E4316" w:rsidP="001826F3">
                  <w:r>
                    <w:t>10%</w:t>
                  </w:r>
                </w:p>
              </w:tc>
              <w:tc>
                <w:tcPr>
                  <w:tcW w:w="1630" w:type="dxa"/>
                  <w:vAlign w:val="bottom"/>
                </w:tcPr>
                <w:p w:rsidR="002E4316" w:rsidRDefault="002E431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1,30787</w:t>
                  </w:r>
                </w:p>
              </w:tc>
            </w:tr>
            <w:tr w:rsidR="002E4316" w:rsidTr="006F58C6">
              <w:trPr>
                <w:jc w:val="center"/>
              </w:trPr>
              <w:tc>
                <w:tcPr>
                  <w:tcW w:w="1681" w:type="dxa"/>
                </w:tcPr>
                <w:p w:rsidR="002E4316" w:rsidRDefault="002E4316" w:rsidP="001826F3">
                  <w:r>
                    <w:t>hmf001.20_refl</w:t>
                  </w:r>
                </w:p>
              </w:tc>
              <w:tc>
                <w:tcPr>
                  <w:tcW w:w="737" w:type="dxa"/>
                </w:tcPr>
                <w:p w:rsidR="002E4316" w:rsidRDefault="002E4316" w:rsidP="001826F3">
                  <w:r>
                    <w:t>20%</w:t>
                  </w:r>
                </w:p>
              </w:tc>
              <w:tc>
                <w:tcPr>
                  <w:tcW w:w="1630" w:type="dxa"/>
                  <w:vAlign w:val="bottom"/>
                </w:tcPr>
                <w:p w:rsidR="002E4316" w:rsidRDefault="002E431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1,67398</w:t>
                  </w:r>
                </w:p>
              </w:tc>
            </w:tr>
            <w:tr w:rsidR="002E4316" w:rsidTr="006F58C6">
              <w:trPr>
                <w:jc w:val="center"/>
              </w:trPr>
              <w:tc>
                <w:tcPr>
                  <w:tcW w:w="1681" w:type="dxa"/>
                </w:tcPr>
                <w:p w:rsidR="002E4316" w:rsidRDefault="002E4316" w:rsidP="001826F3">
                  <w:r>
                    <w:t>hmf001.50_refl</w:t>
                  </w:r>
                </w:p>
              </w:tc>
              <w:tc>
                <w:tcPr>
                  <w:tcW w:w="737" w:type="dxa"/>
                </w:tcPr>
                <w:p w:rsidR="002E4316" w:rsidRDefault="002E4316" w:rsidP="001826F3">
                  <w:r>
                    <w:t>50%</w:t>
                  </w:r>
                </w:p>
              </w:tc>
              <w:tc>
                <w:tcPr>
                  <w:tcW w:w="1630" w:type="dxa"/>
                  <w:vAlign w:val="bottom"/>
                </w:tcPr>
                <w:p w:rsidR="002E4316" w:rsidRDefault="002E431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2,06949</w:t>
                  </w:r>
                </w:p>
              </w:tc>
            </w:tr>
            <w:tr w:rsidR="002E4316" w:rsidTr="006F58C6">
              <w:trPr>
                <w:jc w:val="center"/>
              </w:trPr>
              <w:tc>
                <w:tcPr>
                  <w:tcW w:w="1681" w:type="dxa"/>
                </w:tcPr>
                <w:p w:rsidR="002E4316" w:rsidRDefault="002E4316" w:rsidP="001826F3">
                  <w:r>
                    <w:t>hmf001.90_refl</w:t>
                  </w:r>
                </w:p>
              </w:tc>
              <w:tc>
                <w:tcPr>
                  <w:tcW w:w="737" w:type="dxa"/>
                </w:tcPr>
                <w:p w:rsidR="002E4316" w:rsidRDefault="002E4316" w:rsidP="001826F3">
                  <w:r>
                    <w:t>90%</w:t>
                  </w:r>
                </w:p>
              </w:tc>
              <w:tc>
                <w:tcPr>
                  <w:tcW w:w="1630" w:type="dxa"/>
                  <w:vAlign w:val="bottom"/>
                </w:tcPr>
                <w:p w:rsidR="002E4316" w:rsidRDefault="002E431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2,24911</w:t>
                  </w:r>
                </w:p>
              </w:tc>
            </w:tr>
          </w:tbl>
          <w:p w:rsidR="00285280" w:rsidRDefault="00285280" w:rsidP="00285280">
            <w:pPr>
              <w:rPr>
                <w:b/>
              </w:rPr>
            </w:pP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285280">
            <w:r>
              <w:t xml:space="preserve">Recherchez enrichissement massique conduisant à un </w:t>
            </w:r>
            <w:proofErr w:type="spellStart"/>
            <w:r>
              <w:t>Kinf</w:t>
            </w:r>
            <w:proofErr w:type="spellEnd"/>
            <w:r>
              <w:t xml:space="preserve"> égal à 1.</w:t>
            </w:r>
          </w:p>
          <w:p w:rsidR="00BD4BE6" w:rsidRDefault="00BD4BE6" w:rsidP="00285280">
            <w:r>
              <w:t>Quelle est la valeur de l’enrichissement massique ?</w:t>
            </w:r>
          </w:p>
          <w:p w:rsidR="00BD4BE6" w:rsidRDefault="00BD4BE6" w:rsidP="00285280">
            <w:r>
              <w:t xml:space="preserve">Quelle est la valeur du </w:t>
            </w:r>
            <w:proofErr w:type="spellStart"/>
            <w:r>
              <w:t>laplacien</w:t>
            </w:r>
            <w:proofErr w:type="spellEnd"/>
            <w:r>
              <w:t xml:space="preserve"> matière ?</w:t>
            </w:r>
          </w:p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BD4BE6" w:rsidRPr="00B64948" w:rsidRDefault="00BD4BE6" w:rsidP="001C10BD">
            <w:r w:rsidRPr="00B64948">
              <w:t xml:space="preserve">L’enrichissement permettant d’avoir un </w:t>
            </w:r>
            <w:proofErr w:type="spellStart"/>
            <w:r w:rsidRPr="00B64948">
              <w:t>Kinf</w:t>
            </w:r>
            <w:proofErr w:type="spellEnd"/>
            <w:r w:rsidRPr="00B64948">
              <w:t>=1 est :</w:t>
            </w:r>
          </w:p>
          <w:p w:rsidR="00BD4BE6" w:rsidRDefault="00BD4BE6" w:rsidP="001C10BD">
            <w:pPr>
              <w:jc w:val="center"/>
              <w:rPr>
                <w:b/>
                <w:bdr w:val="single" w:sz="4" w:space="0" w:color="auto"/>
                <w:vertAlign w:val="subscript"/>
              </w:rPr>
            </w:pPr>
            <w:proofErr w:type="spellStart"/>
            <w:r w:rsidRPr="00B64948">
              <w:rPr>
                <w:b/>
                <w:bdr w:val="single" w:sz="4" w:space="0" w:color="auto"/>
              </w:rPr>
              <w:t>E</w:t>
            </w:r>
            <w:r w:rsidRPr="00B64948">
              <w:rPr>
                <w:b/>
                <w:bdr w:val="single" w:sz="4" w:space="0" w:color="auto"/>
                <w:vertAlign w:val="subscript"/>
              </w:rPr>
              <w:t>wt</w:t>
            </w:r>
            <w:proofErr w:type="spellEnd"/>
            <w:r w:rsidRPr="00B64948">
              <w:rPr>
                <w:b/>
                <w:bdr w:val="single" w:sz="4" w:space="0" w:color="auto"/>
              </w:rPr>
              <w:t>=5,46%</w:t>
            </w:r>
            <w:r w:rsidRPr="00B64948">
              <w:rPr>
                <w:b/>
                <w:bdr w:val="single" w:sz="4" w:space="0" w:color="auto"/>
                <w:vertAlign w:val="subscript"/>
              </w:rPr>
              <w:t>wt</w:t>
            </w:r>
          </w:p>
          <w:p w:rsidR="00BD4BE6" w:rsidRDefault="00BD4BE6" w:rsidP="00BD4BE6">
            <w:r>
              <w:t xml:space="preserve">Trivialement, dans une configuration critique, le </w:t>
            </w:r>
            <w:proofErr w:type="spellStart"/>
            <w:r>
              <w:t>laplacien</w:t>
            </w:r>
            <w:proofErr w:type="spellEnd"/>
            <w:r>
              <w:t xml:space="preserve"> matière est égal au </w:t>
            </w:r>
            <w:proofErr w:type="spellStart"/>
            <w:r>
              <w:t>laplacien</w:t>
            </w:r>
            <w:proofErr w:type="spellEnd"/>
            <w:r>
              <w:t xml:space="preserve"> géométrie. Or ce dernier est nul dans une configuration infinie :</w:t>
            </w:r>
          </w:p>
          <w:p w:rsidR="00BD4BE6" w:rsidRPr="00BD4BE6" w:rsidRDefault="00BD4BE6" w:rsidP="00BD4BE6">
            <w:pPr>
              <w:jc w:val="center"/>
            </w:pPr>
            <w:r w:rsidRPr="00BD4BE6">
              <w:rPr>
                <w:position w:val="-14"/>
              </w:rPr>
              <w:object w:dxaOrig="2280" w:dyaOrig="400">
                <v:shape id="_x0000_i1051" type="#_x0000_t75" style="width:113.3pt;height:20.05pt" o:ole="" o:bordertopcolor="this" o:borderleftcolor="this" o:borderbottomcolor="this" o:borderrightcolor="this">
                  <v:imagedata r:id="rId6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51" DrawAspect="Content" ObjectID="_1447145530" r:id="rId67"/>
              </w:objec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E13F42">
            <w:r>
              <w:lastRenderedPageBreak/>
              <w:t xml:space="preserve">Exprimez le </w:t>
            </w:r>
            <w:proofErr w:type="spellStart"/>
            <w:r>
              <w:t>Kinf</w:t>
            </w:r>
            <w:proofErr w:type="spellEnd"/>
            <w:r>
              <w:t xml:space="preserve"> en fonction des sections macroscopiques.</w:t>
            </w:r>
          </w:p>
          <w:p w:rsidR="00BD4BE6" w:rsidRDefault="00BD4BE6" w:rsidP="00E13F42"/>
          <w:p w:rsidR="00BD4BE6" w:rsidRDefault="00BD4BE6" w:rsidP="00E13F42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BD4BE6" w:rsidRPr="00DC7237" w:rsidRDefault="00BD4BE6" w:rsidP="001826F3">
            <w:r w:rsidRPr="00DC7237">
              <w:t>On a vu précédemment que </w:t>
            </w:r>
            <w:r w:rsidR="00FC4F24" w:rsidRPr="00DC7237">
              <w:t>l’équation du transport était :</w:t>
            </w:r>
          </w:p>
          <w:p w:rsidR="00FC4F24" w:rsidRPr="00DC7237" w:rsidRDefault="00FC4F24" w:rsidP="00FC4F24">
            <w:pPr>
              <w:jc w:val="center"/>
              <w:rPr>
                <w:position w:val="-32"/>
              </w:rPr>
            </w:pPr>
            <w:r w:rsidRPr="00DC7237">
              <w:rPr>
                <w:position w:val="-34"/>
              </w:rPr>
              <w:object w:dxaOrig="3980" w:dyaOrig="800">
                <v:shape id="_x0000_i1052" type="#_x0000_t75" style="width:185.95pt;height:36.95pt" o:ole="">
                  <v:imagedata r:id="rId40" o:title=""/>
                </v:shape>
                <o:OLEObject Type="Embed" ProgID="Equation.3" ShapeID="_x0000_i1052" DrawAspect="Content" ObjectID="_1447145531" r:id="rId68"/>
              </w:object>
            </w:r>
          </w:p>
          <w:p w:rsidR="00FC4F24" w:rsidRPr="00DC7237" w:rsidRDefault="00FC4F24" w:rsidP="001826F3">
            <w:r w:rsidRPr="00DC7237">
              <w:t xml:space="preserve">Dans un cas homogène infini, le terme de transport est </w:t>
            </w:r>
            <w:proofErr w:type="gramStart"/>
            <w:r w:rsidRPr="00DC7237">
              <w:t>nul</w:t>
            </w:r>
            <w:proofErr w:type="gramEnd"/>
            <w:r w:rsidRPr="00DC7237">
              <w:t> (invariance spatiale du flux). On a donc trivialement :</w:t>
            </w:r>
          </w:p>
          <w:p w:rsidR="00FC4F24" w:rsidRPr="00DC7237" w:rsidRDefault="000C59B4" w:rsidP="006B670B">
            <w:pPr>
              <w:jc w:val="center"/>
            </w:pPr>
            <w:r w:rsidRPr="00DC7237">
              <w:rPr>
                <w:position w:val="-30"/>
              </w:rPr>
              <w:object w:dxaOrig="1180" w:dyaOrig="720">
                <v:shape id="_x0000_i1053" type="#_x0000_t75" style="width:53.85pt;height:33.2pt" o:ole="">
                  <v:imagedata r:id="rId69" o:title=""/>
                </v:shape>
                <o:OLEObject Type="Embed" ProgID="Equation.3" ShapeID="_x0000_i1053" DrawAspect="Content" ObjectID="_1447145532" r:id="rId70"/>
              </w:objec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921876">
            <w:r>
              <w:t xml:space="preserve">En reprenant l’équation du transport, exprimez le lien entre le </w:t>
            </w:r>
            <w:proofErr w:type="spellStart"/>
            <w:r>
              <w:t>Keff</w:t>
            </w:r>
            <w:proofErr w:type="spellEnd"/>
            <w:r>
              <w:t xml:space="preserve"> et le </w:t>
            </w:r>
            <w:proofErr w:type="spellStart"/>
            <w:r>
              <w:t>Kinf</w:t>
            </w:r>
            <w:proofErr w:type="spellEnd"/>
            <w:r>
              <w:t xml:space="preserve"> en faisant apparaitre le </w:t>
            </w:r>
            <w:proofErr w:type="spellStart"/>
            <w:r>
              <w:t>laplacien</w:t>
            </w:r>
            <w:proofErr w:type="spellEnd"/>
            <w:r>
              <w:t xml:space="preserve"> géométrique et l’aire de migration (rapport du coefficient de diffusion sur la section d’absorption)</w:t>
            </w:r>
          </w:p>
          <w:p w:rsidR="00BD4BE6" w:rsidRDefault="00BD4BE6" w:rsidP="00921876"/>
          <w:p w:rsidR="00BD4BE6" w:rsidRDefault="00BD4BE6" w:rsidP="00921876"/>
          <w:p w:rsidR="00BD4BE6" w:rsidRDefault="00BD4BE6" w:rsidP="00921876"/>
          <w:p w:rsidR="00BD4BE6" w:rsidRDefault="00BD4BE6" w:rsidP="00921876"/>
          <w:p w:rsidR="00BD4BE6" w:rsidRDefault="00BD4BE6" w:rsidP="00921876"/>
          <w:p w:rsidR="00BD4BE6" w:rsidRDefault="00BD4BE6" w:rsidP="00921876"/>
          <w:p w:rsidR="00BD4BE6" w:rsidRDefault="00BD4BE6" w:rsidP="00921876"/>
          <w:p w:rsidR="00BD4BE6" w:rsidRDefault="00BD4BE6" w:rsidP="00921876"/>
          <w:p w:rsidR="00BD4BE6" w:rsidRDefault="00BD4BE6" w:rsidP="00921876"/>
          <w:p w:rsidR="00BD4BE6" w:rsidRDefault="00BD4BE6" w:rsidP="00921876"/>
          <w:p w:rsidR="00BD4BE6" w:rsidRDefault="00BD4BE6" w:rsidP="00921876"/>
          <w:p w:rsidR="00BD4BE6" w:rsidRDefault="00BD4BE6" w:rsidP="00921876"/>
        </w:tc>
        <w:tc>
          <w:tcPr>
            <w:tcW w:w="6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144CF4" w:rsidRPr="00DC7237" w:rsidRDefault="00144CF4" w:rsidP="001826F3">
            <w:r w:rsidRPr="00DC7237">
              <w:t>Sachant que l’aire de migration est :</w:t>
            </w:r>
          </w:p>
          <w:p w:rsidR="00144CF4" w:rsidRPr="00DC7237" w:rsidRDefault="004626C7" w:rsidP="00DC7237">
            <w:pPr>
              <w:jc w:val="center"/>
            </w:pPr>
            <w:r w:rsidRPr="00DC7237">
              <w:rPr>
                <w:position w:val="-30"/>
              </w:rPr>
              <w:object w:dxaOrig="820" w:dyaOrig="680">
                <v:shape id="_x0000_i1054" type="#_x0000_t75" style="width:40.7pt;height:33.8pt" o:ole="">
                  <v:imagedata r:id="rId71" o:title=""/>
                </v:shape>
                <o:OLEObject Type="Embed" ProgID="Equation.3" ShapeID="_x0000_i1054" DrawAspect="Content" ObjectID="_1447145533" r:id="rId72"/>
              </w:object>
            </w:r>
          </w:p>
          <w:p w:rsidR="00BD4BE6" w:rsidRPr="00DC7237" w:rsidRDefault="00144CF4" w:rsidP="001826F3">
            <w:r w:rsidRPr="00DC7237">
              <w:t>En reprenant l’équation du transport, on a :</w:t>
            </w:r>
          </w:p>
          <w:p w:rsidR="00144CF4" w:rsidRPr="00DC7237" w:rsidRDefault="000C59B4" w:rsidP="00DC7237">
            <w:pPr>
              <w:jc w:val="center"/>
              <w:rPr>
                <w:position w:val="-32"/>
              </w:rPr>
            </w:pPr>
            <w:r w:rsidRPr="00DC7237">
              <w:rPr>
                <w:position w:val="-32"/>
              </w:rPr>
              <w:object w:dxaOrig="3960" w:dyaOrig="700">
                <v:shape id="_x0000_i1055" type="#_x0000_t75" style="width:185.3pt;height:32.55pt" o:ole="">
                  <v:imagedata r:id="rId73" o:title=""/>
                </v:shape>
                <o:OLEObject Type="Embed" ProgID="Equation.3" ShapeID="_x0000_i1055" DrawAspect="Content" ObjectID="_1447145534" r:id="rId74"/>
              </w:object>
            </w:r>
          </w:p>
          <w:p w:rsidR="009A18DA" w:rsidRPr="00DC7237" w:rsidRDefault="009A18DA" w:rsidP="009A18DA">
            <w:r w:rsidRPr="00DC7237">
              <w:t>On simplifie en éliminant les flux :</w:t>
            </w:r>
          </w:p>
          <w:p w:rsidR="009A18DA" w:rsidRPr="00DC7237" w:rsidRDefault="000C59B4" w:rsidP="00DC7237">
            <w:pPr>
              <w:jc w:val="center"/>
            </w:pPr>
            <w:r w:rsidRPr="00DC7237">
              <w:rPr>
                <w:position w:val="-32"/>
              </w:rPr>
              <w:object w:dxaOrig="2680" w:dyaOrig="700">
                <v:shape id="_x0000_i1056" type="#_x0000_t75" style="width:125.2pt;height:32.55pt" o:ole="">
                  <v:imagedata r:id="rId75" o:title=""/>
                </v:shape>
                <o:OLEObject Type="Embed" ProgID="Equation.3" ShapeID="_x0000_i1056" DrawAspect="Content" ObjectID="_1447145535" r:id="rId76"/>
              </w:object>
            </w:r>
          </w:p>
          <w:p w:rsidR="000C59B4" w:rsidRDefault="000C59B4" w:rsidP="000C59B4">
            <w:pPr>
              <w:rPr>
                <w:position w:val="-32"/>
              </w:rPr>
            </w:pPr>
            <w:r>
              <w:rPr>
                <w:position w:val="-32"/>
              </w:rPr>
              <w:t xml:space="preserve">En introduisant la définition du </w:t>
            </w:r>
            <w:proofErr w:type="spellStart"/>
            <w:r>
              <w:rPr>
                <w:position w:val="-32"/>
              </w:rPr>
              <w:t>Kinf</w:t>
            </w:r>
            <w:proofErr w:type="spellEnd"/>
            <w:r>
              <w:rPr>
                <w:position w:val="-32"/>
              </w:rPr>
              <w:t> :</w:t>
            </w:r>
          </w:p>
          <w:p w:rsidR="00BD4BE6" w:rsidRDefault="000C59B4" w:rsidP="000C59B4">
            <w:pPr>
              <w:jc w:val="center"/>
              <w:rPr>
                <w:position w:val="-32"/>
              </w:rPr>
            </w:pPr>
            <w:r w:rsidRPr="000C59B4">
              <w:rPr>
                <w:position w:val="-32"/>
              </w:rPr>
              <w:object w:dxaOrig="1640" w:dyaOrig="740">
                <v:shape id="_x0000_i1057" type="#_x0000_t75" style="width:76.4pt;height:34.45pt" o:ole="">
                  <v:imagedata r:id="rId77" o:title=""/>
                </v:shape>
                <o:OLEObject Type="Embed" ProgID="Equation.3" ShapeID="_x0000_i1057" DrawAspect="Content" ObjectID="_1447145536" r:id="rId78"/>
              </w:object>
            </w:r>
          </w:p>
          <w:p w:rsidR="000C59B4" w:rsidRDefault="000C59B4" w:rsidP="000C59B4">
            <w:pPr>
              <w:rPr>
                <w:position w:val="-32"/>
              </w:rPr>
            </w:pPr>
            <w:r>
              <w:rPr>
                <w:position w:val="-32"/>
              </w:rPr>
              <w:t>Soit :</w:t>
            </w:r>
          </w:p>
          <w:p w:rsidR="000C59B4" w:rsidRPr="00DC7237" w:rsidRDefault="00EA6D97" w:rsidP="000C59B4">
            <w:pPr>
              <w:jc w:val="center"/>
            </w:pPr>
            <w:r w:rsidRPr="000C59B4">
              <w:rPr>
                <w:position w:val="-32"/>
              </w:rPr>
              <w:object w:dxaOrig="1660" w:dyaOrig="720">
                <v:shape id="_x0000_i1058" type="#_x0000_t75" style="width:77.65pt;height:33.8pt" o:ole="" o:bordertopcolor="red" o:borderleftcolor="red" o:borderbottomcolor="red" o:borderrightcolor="red">
                  <v:imagedata r:id="rId79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  <o:OLEObject Type="Embed" ProgID="Equation.3" ShapeID="_x0000_i1058" DrawAspect="Content" ObjectID="_1447145537" r:id="rId80"/>
              </w:object>
            </w:r>
          </w:p>
        </w:tc>
      </w:tr>
      <w:tr w:rsidR="00115ED3" w:rsidRPr="00EF3B4C" w:rsidTr="00BD4BE6">
        <w:trPr>
          <w:jc w:val="center"/>
        </w:trPr>
        <w:tc>
          <w:tcPr>
            <w:tcW w:w="3942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E13F42">
            <w:r>
              <w:t>Pour chaque enrichissement, calculez l’aire de migration de la sphère critique.</w:t>
            </w:r>
          </w:p>
          <w:p w:rsidR="00BD4BE6" w:rsidRDefault="00BD4BE6" w:rsidP="00E13F42">
            <w:r>
              <w:t>Concluez.</w:t>
            </w:r>
          </w:p>
          <w:p w:rsidR="00BD4BE6" w:rsidRDefault="00BD4BE6" w:rsidP="00E13F42"/>
        </w:tc>
        <w:tc>
          <w:tcPr>
            <w:tcW w:w="6290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D4BE6" w:rsidRDefault="00BD4BE6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BD4BE6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BD4BE6" w:rsidRPr="0030799A" w:rsidRDefault="00BD4BE6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BD4BE6" w:rsidRPr="0030799A" w:rsidRDefault="00BD4BE6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BD4BE6" w:rsidRPr="0030799A" w:rsidRDefault="00BD4BE6" w:rsidP="00F86348">
                  <w:pPr>
                    <w:rPr>
                      <w:b/>
                    </w:rPr>
                  </w:pPr>
                  <w:r>
                    <w:rPr>
                      <w:b/>
                    </w:rPr>
                    <w:t>Aire de migration</w:t>
                  </w:r>
                  <w:r w:rsidR="00F86348">
                    <w:rPr>
                      <w:b/>
                    </w:rPr>
                    <w:t xml:space="preserve"> cm2)</w:t>
                  </w:r>
                </w:p>
              </w:tc>
            </w:tr>
            <w:tr w:rsidR="00BD4BE6" w:rsidTr="001826F3">
              <w:trPr>
                <w:jc w:val="center"/>
              </w:trPr>
              <w:tc>
                <w:tcPr>
                  <w:tcW w:w="1681" w:type="dxa"/>
                </w:tcPr>
                <w:p w:rsidR="00BD4BE6" w:rsidRDefault="00BD4BE6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BD4BE6" w:rsidRDefault="00BD4BE6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BD4BE6" w:rsidRDefault="00F86348" w:rsidP="001826F3">
                  <w:r>
                    <w:t>-</w:t>
                  </w:r>
                </w:p>
              </w:tc>
            </w:tr>
            <w:tr w:rsidR="00F86348" w:rsidTr="00673E72">
              <w:trPr>
                <w:jc w:val="center"/>
              </w:trPr>
              <w:tc>
                <w:tcPr>
                  <w:tcW w:w="1681" w:type="dxa"/>
                </w:tcPr>
                <w:p w:rsidR="00F86348" w:rsidRDefault="00F86348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F86348" w:rsidRDefault="00F86348" w:rsidP="001826F3">
                  <w:r>
                    <w:t>10%</w:t>
                  </w:r>
                </w:p>
              </w:tc>
              <w:tc>
                <w:tcPr>
                  <w:tcW w:w="1630" w:type="dxa"/>
                  <w:vAlign w:val="bottom"/>
                </w:tcPr>
                <w:p w:rsidR="00F86348" w:rsidRDefault="00F8634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41,01</w:t>
                  </w:r>
                </w:p>
              </w:tc>
            </w:tr>
            <w:tr w:rsidR="00F86348" w:rsidTr="00673E72">
              <w:trPr>
                <w:jc w:val="center"/>
              </w:trPr>
              <w:tc>
                <w:tcPr>
                  <w:tcW w:w="1681" w:type="dxa"/>
                </w:tcPr>
                <w:p w:rsidR="00F86348" w:rsidRDefault="00F86348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F86348" w:rsidRDefault="00F86348" w:rsidP="001826F3">
                  <w:r>
                    <w:t>20%</w:t>
                  </w:r>
                </w:p>
              </w:tc>
              <w:tc>
                <w:tcPr>
                  <w:tcW w:w="1630" w:type="dxa"/>
                  <w:vAlign w:val="bottom"/>
                </w:tcPr>
                <w:p w:rsidR="00F86348" w:rsidRDefault="00F8634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31,41</w:t>
                  </w:r>
                </w:p>
              </w:tc>
            </w:tr>
            <w:tr w:rsidR="00F86348" w:rsidTr="00673E72">
              <w:trPr>
                <w:jc w:val="center"/>
              </w:trPr>
              <w:tc>
                <w:tcPr>
                  <w:tcW w:w="1681" w:type="dxa"/>
                </w:tcPr>
                <w:p w:rsidR="00F86348" w:rsidRDefault="00F86348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F86348" w:rsidRDefault="00F86348" w:rsidP="001826F3">
                  <w:r>
                    <w:t>50%</w:t>
                  </w:r>
                </w:p>
              </w:tc>
              <w:tc>
                <w:tcPr>
                  <w:tcW w:w="1630" w:type="dxa"/>
                  <w:vAlign w:val="bottom"/>
                </w:tcPr>
                <w:p w:rsidR="00F86348" w:rsidRDefault="00F8634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16,99</w:t>
                  </w:r>
                </w:p>
              </w:tc>
            </w:tr>
            <w:tr w:rsidR="00F86348" w:rsidTr="00673E72">
              <w:trPr>
                <w:jc w:val="center"/>
              </w:trPr>
              <w:tc>
                <w:tcPr>
                  <w:tcW w:w="1681" w:type="dxa"/>
                </w:tcPr>
                <w:p w:rsidR="00F86348" w:rsidRDefault="00F86348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F86348" w:rsidRDefault="00F86348" w:rsidP="001826F3">
                  <w:r>
                    <w:t>90%</w:t>
                  </w:r>
                </w:p>
              </w:tc>
              <w:tc>
                <w:tcPr>
                  <w:tcW w:w="1630" w:type="dxa"/>
                  <w:vAlign w:val="bottom"/>
                </w:tcPr>
                <w:p w:rsidR="00F86348" w:rsidRDefault="00F8634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10,15</w:t>
                  </w:r>
                </w:p>
              </w:tc>
            </w:tr>
          </w:tbl>
          <w:p w:rsidR="00BD4BE6" w:rsidRPr="00FA567A" w:rsidRDefault="00BD4BE6" w:rsidP="001826F3">
            <w:pPr>
              <w:rPr>
                <w:b/>
                <w:sz w:val="4"/>
                <w:szCs w:val="4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8"/>
              <w:gridCol w:w="2936"/>
            </w:tblGrid>
            <w:tr w:rsidR="004279D7" w:rsidTr="00491320">
              <w:tc>
                <w:tcPr>
                  <w:tcW w:w="3029" w:type="dxa"/>
                </w:tcPr>
                <w:p w:rsidR="004279D7" w:rsidRDefault="004279D7" w:rsidP="001826F3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 wp14:anchorId="16AC7322" wp14:editId="70C99D17">
                        <wp:extent cx="1855710" cy="1242204"/>
                        <wp:effectExtent l="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3191" cy="12472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30" w:type="dxa"/>
                </w:tcPr>
                <w:p w:rsidR="004279D7" w:rsidRDefault="004279D7" w:rsidP="001826F3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 wp14:anchorId="019C6EF9" wp14:editId="695A046C">
                        <wp:extent cx="1621766" cy="1241598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2651" cy="1242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91320" w:rsidRPr="00FA567A" w:rsidRDefault="00491320" w:rsidP="001826F3">
            <w:r w:rsidRPr="00FA567A">
              <w:t xml:space="preserve">On peut conclure que l’aire de migration est une grandeur physique qui est difficilement prédictible, mais elle est déterminante pour la réactivité. </w:t>
            </w:r>
          </w:p>
          <w:p w:rsidR="00BD4BE6" w:rsidRDefault="00491320" w:rsidP="001826F3">
            <w:pPr>
              <w:rPr>
                <w:b/>
              </w:rPr>
            </w:pPr>
            <w:r w:rsidRPr="00FA567A">
              <w:t>Elle est particulièrement sensible au spectre neutronique : plus la sphère est petite, plus les fuites sont importante et conduisent à un durcissement du spectre. Ceci se traduit par une nette diminution de l’aire de migration.</w:t>
            </w:r>
          </w:p>
        </w:tc>
      </w:tr>
      <w:tr w:rsidR="00BD4BE6" w:rsidRPr="00EF3B4C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1826F3"/>
          <w:p w:rsidR="00BD4BE6" w:rsidRPr="00812099" w:rsidRDefault="00BD4BE6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>
              <w:rPr>
                <w:u w:val="single"/>
              </w:rPr>
              <w:t xml:space="preserve"> </w:t>
            </w:r>
          </w:p>
          <w:p w:rsidR="00BD4BE6" w:rsidRDefault="00BD4BE6" w:rsidP="001826F3">
            <w:r>
              <w:t>Document de référence : Manuel Utilisateur DRAGON-VERSION4</w:t>
            </w:r>
          </w:p>
          <w:p w:rsidR="00BD4BE6" w:rsidRDefault="00BD4BE6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BD4BE6" w:rsidRPr="0063087F" w:rsidRDefault="00BD4BE6" w:rsidP="001826F3">
            <w:pPr>
              <w:rPr>
                <w:u w:val="single"/>
              </w:rPr>
            </w:pPr>
          </w:p>
        </w:tc>
      </w:tr>
      <w:tr w:rsidR="00BD4BE6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1826F3">
            <w:pPr>
              <w:pStyle w:val="Titre1"/>
              <w:outlineLvl w:val="0"/>
            </w:pPr>
          </w:p>
          <w:p w:rsidR="00BD4BE6" w:rsidRDefault="00BD4BE6" w:rsidP="001826F3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 – expérience GODIVA (boule critique – 94%</w:t>
            </w:r>
            <w:r w:rsidRPr="00812099">
              <w:rPr>
                <w:vertAlign w:val="subscript"/>
              </w:rPr>
              <w:t>wt</w:t>
            </w:r>
            <w:r>
              <w:t>U235</w:t>
            </w:r>
            <w:r w:rsidR="00BF1E96">
              <w:t>)</w:t>
            </w:r>
          </w:p>
          <w:p w:rsidR="00BD4BE6" w:rsidRPr="00DE58FB" w:rsidRDefault="00BD4BE6" w:rsidP="001826F3"/>
        </w:tc>
      </w:tr>
      <w:tr w:rsidR="00115ED3" w:rsidRPr="00EF3B4C" w:rsidTr="00BD4BE6">
        <w:trPr>
          <w:jc w:val="center"/>
        </w:trPr>
        <w:tc>
          <w:tcPr>
            <w:tcW w:w="206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Pr="00DE58FB" w:rsidRDefault="00BD4BE6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BD4BE6" w:rsidRPr="00DE58FB" w:rsidRDefault="00BD4BE6" w:rsidP="001826F3"/>
        </w:tc>
        <w:tc>
          <w:tcPr>
            <w:tcW w:w="816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BD4BE6" w:rsidRPr="00EF3B4C" w:rsidRDefault="00BD4BE6" w:rsidP="001826F3">
            <w:pPr>
              <w:rPr>
                <w:b/>
              </w:rPr>
            </w:pPr>
          </w:p>
        </w:tc>
      </w:tr>
      <w:tr w:rsidR="00BD4BE6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1826F3">
            <w:pPr>
              <w:rPr>
                <w:b/>
              </w:rPr>
            </w:pPr>
          </w:p>
          <w:p w:rsidR="00BD4BE6" w:rsidRPr="00812099" w:rsidRDefault="00BD4BE6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./dragon.sh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BD4BE6" w:rsidRDefault="00BD4BE6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</w:p>
          <w:p w:rsidR="00BD4BE6" w:rsidRPr="00003866" w:rsidRDefault="00BD4BE6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623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Pr="00DE58FB" w:rsidRDefault="00BD4BE6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BD4BE6" w:rsidRPr="00DE58FB" w:rsidRDefault="00BD4BE6" w:rsidP="001826F3"/>
        </w:tc>
        <w:tc>
          <w:tcPr>
            <w:tcW w:w="6609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BD4BE6" w:rsidRPr="00DE58FB" w:rsidRDefault="00BD4BE6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BD4BE6" w:rsidRPr="00EF3B4C" w:rsidRDefault="00BD4BE6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623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BD4BE6" w:rsidRDefault="00BD4BE6" w:rsidP="001826F3">
            <w:r>
              <w:t xml:space="preserve">Comparez-le au </w:t>
            </w:r>
            <w:proofErr w:type="spellStart"/>
            <w:r>
              <w:t>Keff</w:t>
            </w:r>
            <w:proofErr w:type="spellEnd"/>
            <w:r>
              <w:t xml:space="preserve"> obtenu avec TRIPOLI.</w:t>
            </w:r>
          </w:p>
          <w:p w:rsidR="00BD4BE6" w:rsidRDefault="00BD4BE6" w:rsidP="001826F3"/>
          <w:p w:rsidR="00BD4BE6" w:rsidRPr="00DE58FB" w:rsidRDefault="00BD4BE6" w:rsidP="001826F3"/>
        </w:tc>
        <w:tc>
          <w:tcPr>
            <w:tcW w:w="6609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5C424C" w:rsidRDefault="005C424C" w:rsidP="005C424C">
            <w:pPr>
              <w:rPr>
                <w:b/>
              </w:rPr>
            </w:pPr>
            <w:r>
              <w:rPr>
                <w:b/>
              </w:rPr>
              <w:t>Les résultats sont con</w:t>
            </w:r>
            <w:r w:rsidR="001734CB">
              <w:rPr>
                <w:b/>
              </w:rPr>
              <w:t>servés dans le fichier hmf001.result</w:t>
            </w:r>
          </w:p>
          <w:p w:rsidR="005C424C" w:rsidRPr="00297EC7" w:rsidRDefault="005B38C0" w:rsidP="005C424C">
            <w:r>
              <w:t xml:space="preserve">Le </w:t>
            </w:r>
            <w:proofErr w:type="spellStart"/>
            <w:r>
              <w:t>Keff</w:t>
            </w:r>
            <w:proofErr w:type="spellEnd"/>
            <w:r>
              <w:t xml:space="preserve"> obtenu </w:t>
            </w:r>
            <w:r w:rsidR="005C424C" w:rsidRPr="00297EC7">
              <w:t>est :</w:t>
            </w:r>
          </w:p>
          <w:p w:rsidR="005C424C" w:rsidRPr="00297EC7" w:rsidRDefault="00CD0E92" w:rsidP="005C424C">
            <w:pPr>
              <w:jc w:val="center"/>
            </w:pPr>
            <w:r>
              <w:rPr>
                <w:bdr w:val="single" w:sz="4" w:space="0" w:color="auto"/>
              </w:rPr>
              <w:t>0,98987</w:t>
            </w:r>
          </w:p>
          <w:p w:rsidR="008416F9" w:rsidRPr="008416F9" w:rsidRDefault="00532412" w:rsidP="008416F9">
            <w:r w:rsidRPr="008416F9">
              <w:t xml:space="preserve">La différence de réactivité avec TRIPOLI est </w:t>
            </w:r>
            <w:r w:rsidR="008416F9" w:rsidRPr="008416F9">
              <w:t xml:space="preserve">d’environ 350 </w:t>
            </w:r>
            <w:proofErr w:type="spellStart"/>
            <w:r w:rsidR="008416F9" w:rsidRPr="008416F9">
              <w:t>pcm</w:t>
            </w:r>
            <w:proofErr w:type="spellEnd"/>
            <w:r w:rsidR="008416F9" w:rsidRPr="008416F9">
              <w:t xml:space="preserve">, proche de quelques écarts statistiques. Cette différence s’explique principalement par les différences de format de bibliothèques nucléaires, beaucoup plus détaillées pour TRIPOLI (sections ponctuelles) que pour DRAGON (bibliothèques à </w:t>
            </w:r>
            <w:r w:rsidR="008416F9">
              <w:t>361</w:t>
            </w:r>
            <w:r w:rsidR="008416F9" w:rsidRPr="008416F9">
              <w:t xml:space="preserve"> groupes)</w:t>
            </w:r>
          </w:p>
        </w:tc>
      </w:tr>
      <w:tr w:rsidR="00115ED3" w:rsidRPr="00EF3B4C" w:rsidTr="00BD4BE6">
        <w:trPr>
          <w:jc w:val="center"/>
        </w:trPr>
        <w:tc>
          <w:tcPr>
            <w:tcW w:w="2066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Pr="00DE58FB" w:rsidRDefault="00BD4BE6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BD4BE6" w:rsidRPr="00DE58FB" w:rsidRDefault="00BD4BE6" w:rsidP="001826F3"/>
        </w:tc>
        <w:tc>
          <w:tcPr>
            <w:tcW w:w="816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BD4BE6" w:rsidRPr="00EF3B4C" w:rsidRDefault="00BD4BE6" w:rsidP="001826F3">
            <w:pPr>
              <w:rPr>
                <w:b/>
              </w:rPr>
            </w:pPr>
          </w:p>
        </w:tc>
      </w:tr>
      <w:tr w:rsidR="00BD4BE6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1826F3">
            <w:pPr>
              <w:rPr>
                <w:b/>
              </w:rPr>
            </w:pPr>
          </w:p>
          <w:p w:rsidR="00BD4BE6" w:rsidRDefault="00BD4BE6" w:rsidP="001826F3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avec la condition de </w:t>
            </w:r>
            <w:r w:rsidRPr="002E5DCF">
              <w:rPr>
                <w:b/>
                <w:u w:val="single"/>
              </w:rPr>
              <w:t>VIDE</w:t>
            </w:r>
            <w:r>
              <w:rPr>
                <w:b/>
              </w:rPr>
              <w:t xml:space="preserve"> (même géométrie et même composition).</w:t>
            </w:r>
          </w:p>
          <w:p w:rsidR="00BD4BE6" w:rsidRPr="00003866" w:rsidRDefault="00BD4BE6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623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Pr="00DE58FB" w:rsidRDefault="00BD4BE6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BD4BE6" w:rsidRPr="00DE58FB" w:rsidRDefault="00BD4BE6" w:rsidP="001826F3"/>
        </w:tc>
        <w:tc>
          <w:tcPr>
            <w:tcW w:w="6609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BD4BE6" w:rsidRPr="00DE58FB" w:rsidRDefault="00BD4BE6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BD4BE6" w:rsidRPr="00EF3B4C" w:rsidRDefault="00BD4BE6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623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BD4BE6" w:rsidRDefault="00BD4BE6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BD4BE6" w:rsidRDefault="00BD4BE6" w:rsidP="001826F3">
            <w:r>
              <w:t>Comment interprétez-vous les écarts obtenus avec TRIPOLI ?</w:t>
            </w:r>
          </w:p>
          <w:p w:rsidR="00BD4BE6" w:rsidRDefault="00BD4BE6" w:rsidP="001826F3"/>
          <w:p w:rsidR="00BD4BE6" w:rsidRPr="00DE58FB" w:rsidRDefault="00BD4BE6" w:rsidP="001826F3"/>
        </w:tc>
        <w:tc>
          <w:tcPr>
            <w:tcW w:w="6609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BD4BE6" w:rsidRDefault="00BD4BE6" w:rsidP="001826F3">
            <w:pPr>
              <w:rPr>
                <w:b/>
              </w:rPr>
            </w:pPr>
          </w:p>
          <w:p w:rsidR="00BD4BE6" w:rsidRPr="00FF4636" w:rsidRDefault="00BD4BE6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BD4BE6" w:rsidRPr="0030799A" w:rsidTr="0058546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BD4BE6" w:rsidRPr="0030799A" w:rsidRDefault="00BD4BE6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BD4BE6" w:rsidRPr="0030799A" w:rsidRDefault="00BD4BE6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BD4BE6" w:rsidRPr="0030799A" w:rsidRDefault="00BD4BE6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BD4BE6" w:rsidRPr="0030799A" w:rsidTr="0058546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BD4BE6" w:rsidRPr="0030799A" w:rsidRDefault="00BD4BE6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BD4BE6" w:rsidRPr="0030799A" w:rsidRDefault="00BD4BE6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BD4BE6" w:rsidRDefault="00BD4BE6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BD4BE6" w:rsidRDefault="00BD4BE6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4D2DB4" w:rsidTr="009D3BDF">
              <w:trPr>
                <w:jc w:val="center"/>
              </w:trPr>
              <w:tc>
                <w:tcPr>
                  <w:tcW w:w="1681" w:type="dxa"/>
                </w:tcPr>
                <w:p w:rsidR="004D2DB4" w:rsidRDefault="004D2DB4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4D2DB4" w:rsidRDefault="004D2DB4" w:rsidP="001826F3">
                  <w:r>
                    <w:t>10%</w:t>
                  </w:r>
                </w:p>
              </w:tc>
              <w:tc>
                <w:tcPr>
                  <w:tcW w:w="1253" w:type="dxa"/>
                  <w:vAlign w:val="bottom"/>
                </w:tcPr>
                <w:p w:rsidR="004D2DB4" w:rsidRDefault="004D2DB4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1,01068</w:t>
                  </w:r>
                </w:p>
              </w:tc>
              <w:tc>
                <w:tcPr>
                  <w:tcW w:w="1346" w:type="dxa"/>
                  <w:vAlign w:val="bottom"/>
                </w:tcPr>
                <w:p w:rsidR="004D2DB4" w:rsidRDefault="004D2DB4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1,01705</w:t>
                  </w:r>
                </w:p>
              </w:tc>
            </w:tr>
            <w:tr w:rsidR="004D2DB4" w:rsidTr="009D3BDF">
              <w:trPr>
                <w:jc w:val="center"/>
              </w:trPr>
              <w:tc>
                <w:tcPr>
                  <w:tcW w:w="1681" w:type="dxa"/>
                </w:tcPr>
                <w:p w:rsidR="004D2DB4" w:rsidRDefault="004D2DB4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4D2DB4" w:rsidRDefault="004D2DB4" w:rsidP="001826F3">
                  <w:r>
                    <w:t>20%</w:t>
                  </w:r>
                </w:p>
              </w:tc>
              <w:tc>
                <w:tcPr>
                  <w:tcW w:w="1253" w:type="dxa"/>
                  <w:vAlign w:val="bottom"/>
                </w:tcPr>
                <w:p w:rsidR="004D2DB4" w:rsidRDefault="004D2DB4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1,00387</w:t>
                  </w:r>
                </w:p>
              </w:tc>
              <w:tc>
                <w:tcPr>
                  <w:tcW w:w="1346" w:type="dxa"/>
                  <w:vAlign w:val="bottom"/>
                </w:tcPr>
                <w:p w:rsidR="004D2DB4" w:rsidRDefault="004D2DB4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1,00385</w:t>
                  </w:r>
                </w:p>
              </w:tc>
            </w:tr>
            <w:tr w:rsidR="004D2DB4" w:rsidTr="009D3BDF">
              <w:trPr>
                <w:jc w:val="center"/>
              </w:trPr>
              <w:tc>
                <w:tcPr>
                  <w:tcW w:w="1681" w:type="dxa"/>
                </w:tcPr>
                <w:p w:rsidR="004D2DB4" w:rsidRDefault="004D2DB4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4D2DB4" w:rsidRDefault="004D2DB4" w:rsidP="001826F3">
                  <w:r>
                    <w:t>50%</w:t>
                  </w:r>
                </w:p>
              </w:tc>
              <w:tc>
                <w:tcPr>
                  <w:tcW w:w="1253" w:type="dxa"/>
                  <w:vAlign w:val="bottom"/>
                </w:tcPr>
                <w:p w:rsidR="004D2DB4" w:rsidRDefault="004D2DB4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1,01457</w:t>
                  </w:r>
                </w:p>
              </w:tc>
              <w:tc>
                <w:tcPr>
                  <w:tcW w:w="1346" w:type="dxa"/>
                  <w:vAlign w:val="bottom"/>
                </w:tcPr>
                <w:p w:rsidR="004D2DB4" w:rsidRDefault="004D2DB4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1,00329</w:t>
                  </w:r>
                </w:p>
              </w:tc>
            </w:tr>
            <w:tr w:rsidR="004D2DB4" w:rsidTr="009D3BDF">
              <w:trPr>
                <w:jc w:val="center"/>
              </w:trPr>
              <w:tc>
                <w:tcPr>
                  <w:tcW w:w="1681" w:type="dxa"/>
                </w:tcPr>
                <w:p w:rsidR="004D2DB4" w:rsidRDefault="004D2DB4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4D2DB4" w:rsidRDefault="004D2DB4" w:rsidP="001826F3">
                  <w:r>
                    <w:t>90%</w:t>
                  </w:r>
                </w:p>
              </w:tc>
              <w:tc>
                <w:tcPr>
                  <w:tcW w:w="1253" w:type="dxa"/>
                  <w:vAlign w:val="bottom"/>
                </w:tcPr>
                <w:p w:rsidR="004D2DB4" w:rsidRDefault="004D2DB4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1,01793</w:t>
                  </w:r>
                </w:p>
              </w:tc>
              <w:tc>
                <w:tcPr>
                  <w:tcW w:w="1346" w:type="dxa"/>
                  <w:vAlign w:val="bottom"/>
                </w:tcPr>
                <w:p w:rsidR="004D2DB4" w:rsidRDefault="004D2DB4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1,00376</w:t>
                  </w:r>
                </w:p>
              </w:tc>
            </w:tr>
          </w:tbl>
          <w:p w:rsidR="00BD4BE6" w:rsidRPr="00FF4636" w:rsidRDefault="00BD4BE6" w:rsidP="001826F3">
            <w:pPr>
              <w:rPr>
                <w:b/>
                <w:sz w:val="8"/>
                <w:szCs w:val="8"/>
              </w:rPr>
            </w:pPr>
          </w:p>
          <w:p w:rsidR="00BD4BE6" w:rsidRDefault="004D2DB4" w:rsidP="001826F3">
            <w:pPr>
              <w:rPr>
                <w:b/>
              </w:rPr>
            </w:pPr>
            <w:r>
              <w:rPr>
                <w:b/>
              </w:rPr>
              <w:t xml:space="preserve">L’écart varie de +650 </w:t>
            </w:r>
            <w:proofErr w:type="spellStart"/>
            <w:r>
              <w:rPr>
                <w:b/>
              </w:rPr>
              <w:t>pcm</w:t>
            </w:r>
            <w:proofErr w:type="spellEnd"/>
            <w:r>
              <w:rPr>
                <w:b/>
              </w:rPr>
              <w:t xml:space="preserve"> à -1500 </w:t>
            </w:r>
            <w:proofErr w:type="spellStart"/>
            <w:r>
              <w:rPr>
                <w:b/>
              </w:rPr>
              <w:t>pcm</w:t>
            </w:r>
            <w:proofErr w:type="spellEnd"/>
            <w:r w:rsidR="002E440B">
              <w:rPr>
                <w:b/>
              </w:rPr>
              <w:t>, tout à fait explicable par les écarts de données nucléaires et les écarts statistiques.</w:t>
            </w:r>
          </w:p>
          <w:p w:rsidR="00AB4186" w:rsidRDefault="00AB4186" w:rsidP="001826F3">
            <w:pPr>
              <w:rPr>
                <w:b/>
              </w:rPr>
            </w:pPr>
          </w:p>
          <w:p w:rsidR="00AB4186" w:rsidRDefault="00AB4186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BD4BE6" w:rsidRPr="0030799A" w:rsidTr="001826F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BD4BE6" w:rsidRPr="0030799A" w:rsidRDefault="00BD4BE6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BD4BE6" w:rsidRPr="0030799A" w:rsidRDefault="00BD4BE6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BD4BE6" w:rsidRPr="0030799A" w:rsidRDefault="00BD4BE6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BD4BE6" w:rsidRPr="0030799A" w:rsidTr="001826F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BD4BE6" w:rsidRPr="0030799A" w:rsidRDefault="00BD4BE6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BD4BE6" w:rsidRPr="0030799A" w:rsidRDefault="00BD4BE6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BD4BE6" w:rsidRDefault="00BD4BE6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BD4BE6" w:rsidRDefault="00BD4BE6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AB4186" w:rsidTr="00B659B9">
              <w:trPr>
                <w:jc w:val="center"/>
              </w:trPr>
              <w:tc>
                <w:tcPr>
                  <w:tcW w:w="1681" w:type="dxa"/>
                </w:tcPr>
                <w:p w:rsidR="00AB4186" w:rsidRDefault="00AB4186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AB4186" w:rsidRDefault="00AB4186" w:rsidP="001826F3">
                  <w:r>
                    <w:t>10%</w:t>
                  </w:r>
                </w:p>
              </w:tc>
              <w:tc>
                <w:tcPr>
                  <w:tcW w:w="1253" w:type="dxa"/>
                  <w:vAlign w:val="bottom"/>
                </w:tcPr>
                <w:p w:rsidR="00AB4186" w:rsidRDefault="00AB4186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1,30787</w:t>
                  </w:r>
                </w:p>
              </w:tc>
              <w:tc>
                <w:tcPr>
                  <w:tcW w:w="1346" w:type="dxa"/>
                  <w:vAlign w:val="bottom"/>
                </w:tcPr>
                <w:p w:rsidR="00AB4186" w:rsidRDefault="00AB418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1,41581</w:t>
                  </w:r>
                </w:p>
              </w:tc>
            </w:tr>
            <w:tr w:rsidR="00AB4186" w:rsidTr="00B659B9">
              <w:trPr>
                <w:jc w:val="center"/>
              </w:trPr>
              <w:tc>
                <w:tcPr>
                  <w:tcW w:w="1681" w:type="dxa"/>
                </w:tcPr>
                <w:p w:rsidR="00AB4186" w:rsidRDefault="00AB4186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AB4186" w:rsidRDefault="00AB4186" w:rsidP="001826F3">
                  <w:r>
                    <w:t>20%</w:t>
                  </w:r>
                </w:p>
              </w:tc>
              <w:tc>
                <w:tcPr>
                  <w:tcW w:w="1253" w:type="dxa"/>
                  <w:vAlign w:val="bottom"/>
                </w:tcPr>
                <w:p w:rsidR="00AB4186" w:rsidRDefault="00AB4186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1,67398</w:t>
                  </w:r>
                </w:p>
              </w:tc>
              <w:tc>
                <w:tcPr>
                  <w:tcW w:w="1346" w:type="dxa"/>
                  <w:vAlign w:val="bottom"/>
                </w:tcPr>
                <w:p w:rsidR="00AB4186" w:rsidRDefault="00AB418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1,80609</w:t>
                  </w:r>
                </w:p>
              </w:tc>
            </w:tr>
            <w:tr w:rsidR="00AB4186" w:rsidTr="00B659B9">
              <w:trPr>
                <w:jc w:val="center"/>
              </w:trPr>
              <w:tc>
                <w:tcPr>
                  <w:tcW w:w="1681" w:type="dxa"/>
                </w:tcPr>
                <w:p w:rsidR="00AB4186" w:rsidRDefault="00AB4186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AB4186" w:rsidRDefault="00AB4186" w:rsidP="001826F3">
                  <w:r>
                    <w:t>50%</w:t>
                  </w:r>
                </w:p>
              </w:tc>
              <w:tc>
                <w:tcPr>
                  <w:tcW w:w="1253" w:type="dxa"/>
                  <w:vAlign w:val="bottom"/>
                </w:tcPr>
                <w:p w:rsidR="00AB4186" w:rsidRDefault="00AB4186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2,06949</w:t>
                  </w:r>
                </w:p>
              </w:tc>
              <w:tc>
                <w:tcPr>
                  <w:tcW w:w="1346" w:type="dxa"/>
                  <w:vAlign w:val="bottom"/>
                </w:tcPr>
                <w:p w:rsidR="00AB4186" w:rsidRDefault="00AB418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2,16777</w:t>
                  </w:r>
                </w:p>
              </w:tc>
            </w:tr>
            <w:tr w:rsidR="00AB4186" w:rsidTr="00B659B9">
              <w:trPr>
                <w:jc w:val="center"/>
              </w:trPr>
              <w:tc>
                <w:tcPr>
                  <w:tcW w:w="1681" w:type="dxa"/>
                </w:tcPr>
                <w:p w:rsidR="00AB4186" w:rsidRDefault="00AB4186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AB4186" w:rsidRDefault="00AB4186" w:rsidP="001826F3">
                  <w:r>
                    <w:t>90%</w:t>
                  </w:r>
                </w:p>
              </w:tc>
              <w:tc>
                <w:tcPr>
                  <w:tcW w:w="1253" w:type="dxa"/>
                  <w:vAlign w:val="bottom"/>
                </w:tcPr>
                <w:p w:rsidR="00AB4186" w:rsidRDefault="00AB4186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2,24911</w:t>
                  </w:r>
                </w:p>
              </w:tc>
              <w:tc>
                <w:tcPr>
                  <w:tcW w:w="1346" w:type="dxa"/>
                  <w:vAlign w:val="bottom"/>
                </w:tcPr>
                <w:p w:rsidR="00AB4186" w:rsidRDefault="00AB418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2,31910</w:t>
                  </w:r>
                </w:p>
              </w:tc>
            </w:tr>
          </w:tbl>
          <w:p w:rsidR="00BD4BE6" w:rsidRDefault="00BD4BE6" w:rsidP="001826F3">
            <w:pPr>
              <w:rPr>
                <w:b/>
              </w:rPr>
            </w:pPr>
          </w:p>
          <w:p w:rsidR="00BD4BE6" w:rsidRDefault="00AB4186" w:rsidP="001826F3">
            <w:pPr>
              <w:rPr>
                <w:b/>
              </w:rPr>
            </w:pPr>
            <w:r>
              <w:rPr>
                <w:b/>
              </w:rPr>
              <w:t>Le « </w:t>
            </w:r>
            <w:proofErr w:type="spellStart"/>
            <w:r>
              <w:rPr>
                <w:b/>
              </w:rPr>
              <w:t>Kinf</w:t>
            </w:r>
            <w:proofErr w:type="spellEnd"/>
            <w:r>
              <w:rPr>
                <w:b/>
              </w:rPr>
              <w:t> » indiqué par Dragon avec une condition de vide n’est pas du tout comparable avec le « </w:t>
            </w:r>
            <w:proofErr w:type="spellStart"/>
            <w:r>
              <w:rPr>
                <w:b/>
              </w:rPr>
              <w:t>Kinf</w:t>
            </w:r>
            <w:proofErr w:type="spellEnd"/>
            <w:r>
              <w:rPr>
                <w:b/>
              </w:rPr>
              <w:t> » indiqué par TRIPOLI avec une condition de réflexion</w:t>
            </w:r>
            <w:r w:rsidR="002E440B">
              <w:rPr>
                <w:b/>
              </w:rPr>
              <w:t xml:space="preserve"> : on observe des écarts de plus de 10000 </w:t>
            </w:r>
            <w:proofErr w:type="spellStart"/>
            <w:r w:rsidR="002E440B">
              <w:rPr>
                <w:b/>
              </w:rPr>
              <w:t>pcm</w:t>
            </w:r>
            <w:proofErr w:type="spellEnd"/>
            <w:r w:rsidR="002E440B">
              <w:rPr>
                <w:b/>
              </w:rPr>
              <w:t xml:space="preserve"> qui ne s’expliquent pas par des écarts de données nucléaires.</w:t>
            </w:r>
          </w:p>
          <w:p w:rsidR="00BD4BE6" w:rsidRPr="00EF3B4C" w:rsidRDefault="00BD4BE6" w:rsidP="001826F3">
            <w:pPr>
              <w:rPr>
                <w:b/>
              </w:rPr>
            </w:pPr>
          </w:p>
        </w:tc>
      </w:tr>
      <w:tr w:rsidR="00BD4BE6" w:rsidRPr="00003866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1826F3">
            <w:pPr>
              <w:rPr>
                <w:b/>
              </w:rPr>
            </w:pPr>
          </w:p>
          <w:p w:rsidR="00BD4BE6" w:rsidRDefault="00BD4BE6" w:rsidP="002E5DCF">
            <w:r w:rsidRPr="002E5DCF">
              <w:rPr>
                <w:b/>
              </w:rPr>
              <w:t>A l’aide du manuel</w:t>
            </w:r>
            <w:r>
              <w:t xml:space="preserve">, introduisez une condition limite de réflexion en surface de la sphère. </w:t>
            </w:r>
          </w:p>
          <w:p w:rsidR="00BD4BE6" w:rsidRDefault="00BD4BE6" w:rsidP="002E5DCF"/>
          <w:p w:rsidR="00BD4BE6" w:rsidRDefault="00BD4BE6" w:rsidP="002E5DCF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avec la condition de </w:t>
            </w:r>
            <w:r w:rsidRPr="002E5DCF">
              <w:rPr>
                <w:b/>
                <w:u w:val="single"/>
              </w:rPr>
              <w:t>REFLEXION</w:t>
            </w:r>
            <w:r>
              <w:rPr>
                <w:b/>
              </w:rPr>
              <w:t xml:space="preserve"> (même géométrie et même composition).</w:t>
            </w:r>
          </w:p>
          <w:p w:rsidR="00BD4BE6" w:rsidRDefault="00BD4BE6" w:rsidP="002E5DCF"/>
          <w:p w:rsidR="00BD4BE6" w:rsidRPr="00003866" w:rsidRDefault="00BD4BE6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623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Pr="00DE58FB" w:rsidRDefault="00BD4BE6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BD4BE6" w:rsidRPr="00DE58FB" w:rsidRDefault="00BD4BE6" w:rsidP="001826F3"/>
        </w:tc>
        <w:tc>
          <w:tcPr>
            <w:tcW w:w="6609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BD4BE6" w:rsidRPr="00DE58FB" w:rsidRDefault="00BD4BE6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BD4BE6" w:rsidRPr="00EF3B4C" w:rsidRDefault="00BD4BE6" w:rsidP="001826F3">
            <w:pPr>
              <w:rPr>
                <w:b/>
              </w:rPr>
            </w:pPr>
          </w:p>
        </w:tc>
      </w:tr>
      <w:tr w:rsidR="00115ED3" w:rsidRPr="00EF3B4C" w:rsidTr="00BD4BE6">
        <w:trPr>
          <w:jc w:val="center"/>
        </w:trPr>
        <w:tc>
          <w:tcPr>
            <w:tcW w:w="3623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BD4BE6" w:rsidRDefault="00BD4BE6" w:rsidP="001826F3">
            <w:r>
              <w:t>Comment interprétez-vous les écarts obtenus avec TRIPOLI ?</w:t>
            </w:r>
          </w:p>
          <w:p w:rsidR="00BD4BE6" w:rsidRDefault="00BD4BE6" w:rsidP="001826F3"/>
          <w:p w:rsidR="00BD4BE6" w:rsidRPr="00DE58FB" w:rsidRDefault="00BD4BE6" w:rsidP="00024709"/>
        </w:tc>
        <w:tc>
          <w:tcPr>
            <w:tcW w:w="6609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BD4BE6" w:rsidRDefault="00BD4BE6" w:rsidP="001826F3">
            <w:pPr>
              <w:rPr>
                <w:b/>
              </w:rPr>
            </w:pPr>
          </w:p>
          <w:p w:rsidR="00BD4BE6" w:rsidRPr="00FF4636" w:rsidRDefault="00BD4BE6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046"/>
              <w:gridCol w:w="1187"/>
            </w:tblGrid>
            <w:tr w:rsidR="00BD4BE6" w:rsidRPr="0030799A" w:rsidTr="002E440B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BD4BE6" w:rsidRPr="0030799A" w:rsidRDefault="00BD4BE6" w:rsidP="001826F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BD4BE6" w:rsidRPr="0030799A" w:rsidRDefault="00BD4BE6" w:rsidP="001826F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3486" w:type="dxa"/>
                  <w:gridSpan w:val="3"/>
                  <w:shd w:val="clear" w:color="auto" w:fill="A6A6A6" w:themeFill="background1" w:themeFillShade="A6"/>
                </w:tcPr>
                <w:p w:rsidR="00BD4BE6" w:rsidRPr="0030799A" w:rsidRDefault="00BD4BE6" w:rsidP="001826F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BD4BE6" w:rsidRPr="0030799A" w:rsidTr="002E440B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BD4BE6" w:rsidRPr="0030799A" w:rsidRDefault="00BD4BE6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BD4BE6" w:rsidRPr="0030799A" w:rsidRDefault="00BD4BE6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BD4BE6" w:rsidRDefault="00BD4BE6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  <w:p w:rsidR="00BD4BE6" w:rsidRDefault="00BD4BE6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  <w:tc>
                <w:tcPr>
                  <w:tcW w:w="1046" w:type="dxa"/>
                  <w:shd w:val="clear" w:color="auto" w:fill="A6A6A6" w:themeFill="background1" w:themeFillShade="A6"/>
                </w:tcPr>
                <w:p w:rsidR="00BD4BE6" w:rsidRDefault="00BD4BE6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BD4BE6" w:rsidRDefault="00BD4BE6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VIDE</w:t>
                  </w:r>
                </w:p>
              </w:tc>
              <w:tc>
                <w:tcPr>
                  <w:tcW w:w="1187" w:type="dxa"/>
                  <w:shd w:val="clear" w:color="auto" w:fill="A6A6A6" w:themeFill="background1" w:themeFillShade="A6"/>
                </w:tcPr>
                <w:p w:rsidR="00BD4BE6" w:rsidRDefault="00BD4BE6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BD4BE6" w:rsidRDefault="00BD4BE6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</w:tr>
            <w:tr w:rsidR="002E440B" w:rsidTr="002E440B">
              <w:trPr>
                <w:jc w:val="center"/>
              </w:trPr>
              <w:tc>
                <w:tcPr>
                  <w:tcW w:w="1681" w:type="dxa"/>
                </w:tcPr>
                <w:p w:rsidR="002E440B" w:rsidRDefault="002E440B" w:rsidP="001826F3">
                  <w:r>
                    <w:t>hmf001.05_refl</w:t>
                  </w:r>
                </w:p>
              </w:tc>
              <w:tc>
                <w:tcPr>
                  <w:tcW w:w="737" w:type="dxa"/>
                </w:tcPr>
                <w:p w:rsidR="002E440B" w:rsidRDefault="002E440B" w:rsidP="001826F3">
                  <w:r>
                    <w:t>5%</w:t>
                  </w:r>
                </w:p>
              </w:tc>
              <w:tc>
                <w:tcPr>
                  <w:tcW w:w="1253" w:type="dxa"/>
                  <w:vAlign w:val="bottom"/>
                </w:tcPr>
                <w:p w:rsidR="002E440B" w:rsidRDefault="000D3EF2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0,96586</w:t>
                  </w:r>
                </w:p>
              </w:tc>
              <w:tc>
                <w:tcPr>
                  <w:tcW w:w="1046" w:type="dxa"/>
                  <w:vAlign w:val="bottom"/>
                </w:tcPr>
                <w:p w:rsidR="002E440B" w:rsidRDefault="002E440B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187" w:type="dxa"/>
                </w:tcPr>
                <w:p w:rsidR="002E440B" w:rsidRDefault="002D20B7" w:rsidP="002D20B7">
                  <w:pPr>
                    <w:jc w:val="right"/>
                  </w:pPr>
                  <w:r>
                    <w:t>0,</w:t>
                  </w:r>
                  <w:r w:rsidRPr="002D20B7">
                    <w:t>9946</w:t>
                  </w:r>
                  <w:r>
                    <w:t>6</w:t>
                  </w:r>
                </w:p>
              </w:tc>
            </w:tr>
            <w:tr w:rsidR="002E440B" w:rsidTr="004A573A">
              <w:trPr>
                <w:jc w:val="center"/>
              </w:trPr>
              <w:tc>
                <w:tcPr>
                  <w:tcW w:w="1681" w:type="dxa"/>
                </w:tcPr>
                <w:p w:rsidR="002E440B" w:rsidRDefault="002E440B" w:rsidP="001826F3">
                  <w:r>
                    <w:t>hmf001.10_refl</w:t>
                  </w:r>
                </w:p>
              </w:tc>
              <w:tc>
                <w:tcPr>
                  <w:tcW w:w="737" w:type="dxa"/>
                </w:tcPr>
                <w:p w:rsidR="002E440B" w:rsidRDefault="002E440B" w:rsidP="001826F3">
                  <w:r>
                    <w:t>10%</w:t>
                  </w:r>
                </w:p>
              </w:tc>
              <w:tc>
                <w:tcPr>
                  <w:tcW w:w="1253" w:type="dxa"/>
                  <w:vAlign w:val="bottom"/>
                </w:tcPr>
                <w:p w:rsidR="002E440B" w:rsidRDefault="002E440B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1,30787</w:t>
                  </w:r>
                </w:p>
              </w:tc>
              <w:tc>
                <w:tcPr>
                  <w:tcW w:w="1046" w:type="dxa"/>
                  <w:vAlign w:val="bottom"/>
                </w:tcPr>
                <w:p w:rsidR="002E440B" w:rsidRDefault="002E440B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1,41581</w:t>
                  </w:r>
                </w:p>
              </w:tc>
              <w:tc>
                <w:tcPr>
                  <w:tcW w:w="1187" w:type="dxa"/>
                  <w:vAlign w:val="bottom"/>
                </w:tcPr>
                <w:p w:rsidR="002E440B" w:rsidRDefault="002E440B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1,33565</w:t>
                  </w:r>
                </w:p>
              </w:tc>
            </w:tr>
            <w:tr w:rsidR="002E440B" w:rsidTr="004A573A">
              <w:trPr>
                <w:jc w:val="center"/>
              </w:trPr>
              <w:tc>
                <w:tcPr>
                  <w:tcW w:w="1681" w:type="dxa"/>
                </w:tcPr>
                <w:p w:rsidR="002E440B" w:rsidRDefault="002E440B" w:rsidP="001826F3">
                  <w:r>
                    <w:t>hmf001.20_refl</w:t>
                  </w:r>
                </w:p>
              </w:tc>
              <w:tc>
                <w:tcPr>
                  <w:tcW w:w="737" w:type="dxa"/>
                </w:tcPr>
                <w:p w:rsidR="002E440B" w:rsidRDefault="002E440B" w:rsidP="001826F3">
                  <w:r>
                    <w:t>20%</w:t>
                  </w:r>
                </w:p>
              </w:tc>
              <w:tc>
                <w:tcPr>
                  <w:tcW w:w="1253" w:type="dxa"/>
                  <w:vAlign w:val="bottom"/>
                </w:tcPr>
                <w:p w:rsidR="002E440B" w:rsidRDefault="002E440B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1,67398</w:t>
                  </w:r>
                </w:p>
              </w:tc>
              <w:tc>
                <w:tcPr>
                  <w:tcW w:w="1046" w:type="dxa"/>
                  <w:vAlign w:val="bottom"/>
                </w:tcPr>
                <w:p w:rsidR="002E440B" w:rsidRDefault="002E440B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1,80609</w:t>
                  </w:r>
                </w:p>
              </w:tc>
              <w:tc>
                <w:tcPr>
                  <w:tcW w:w="1187" w:type="dxa"/>
                  <w:vAlign w:val="bottom"/>
                </w:tcPr>
                <w:p w:rsidR="002E440B" w:rsidRDefault="002E440B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1,69028</w:t>
                  </w:r>
                </w:p>
              </w:tc>
            </w:tr>
            <w:tr w:rsidR="002E440B" w:rsidTr="004A573A">
              <w:trPr>
                <w:jc w:val="center"/>
              </w:trPr>
              <w:tc>
                <w:tcPr>
                  <w:tcW w:w="1681" w:type="dxa"/>
                </w:tcPr>
                <w:p w:rsidR="002E440B" w:rsidRDefault="002E440B" w:rsidP="001826F3">
                  <w:r>
                    <w:t>hmf001.50_refl</w:t>
                  </w:r>
                </w:p>
              </w:tc>
              <w:tc>
                <w:tcPr>
                  <w:tcW w:w="737" w:type="dxa"/>
                </w:tcPr>
                <w:p w:rsidR="002E440B" w:rsidRDefault="002E440B" w:rsidP="001826F3">
                  <w:r>
                    <w:t>50%</w:t>
                  </w:r>
                </w:p>
              </w:tc>
              <w:tc>
                <w:tcPr>
                  <w:tcW w:w="1253" w:type="dxa"/>
                  <w:vAlign w:val="bottom"/>
                </w:tcPr>
                <w:p w:rsidR="002E440B" w:rsidRDefault="002E440B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2,06949</w:t>
                  </w:r>
                </w:p>
              </w:tc>
              <w:tc>
                <w:tcPr>
                  <w:tcW w:w="1046" w:type="dxa"/>
                  <w:vAlign w:val="bottom"/>
                </w:tcPr>
                <w:p w:rsidR="002E440B" w:rsidRDefault="002E440B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2,16777</w:t>
                  </w:r>
                </w:p>
              </w:tc>
              <w:tc>
                <w:tcPr>
                  <w:tcW w:w="1187" w:type="dxa"/>
                  <w:vAlign w:val="bottom"/>
                </w:tcPr>
                <w:p w:rsidR="002E440B" w:rsidRDefault="002E440B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2,06749</w:t>
                  </w:r>
                </w:p>
              </w:tc>
            </w:tr>
            <w:tr w:rsidR="002E440B" w:rsidTr="004A573A">
              <w:trPr>
                <w:jc w:val="center"/>
              </w:trPr>
              <w:tc>
                <w:tcPr>
                  <w:tcW w:w="1681" w:type="dxa"/>
                </w:tcPr>
                <w:p w:rsidR="002E440B" w:rsidRDefault="002E440B" w:rsidP="001826F3">
                  <w:r>
                    <w:t>hmf001.90_refl</w:t>
                  </w:r>
                </w:p>
              </w:tc>
              <w:tc>
                <w:tcPr>
                  <w:tcW w:w="737" w:type="dxa"/>
                </w:tcPr>
                <w:p w:rsidR="002E440B" w:rsidRDefault="002E440B" w:rsidP="001826F3">
                  <w:r>
                    <w:t>90%</w:t>
                  </w:r>
                </w:p>
              </w:tc>
              <w:tc>
                <w:tcPr>
                  <w:tcW w:w="1253" w:type="dxa"/>
                  <w:vAlign w:val="bottom"/>
                </w:tcPr>
                <w:p w:rsidR="002E440B" w:rsidRDefault="002E440B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2,24911</w:t>
                  </w:r>
                </w:p>
              </w:tc>
              <w:tc>
                <w:tcPr>
                  <w:tcW w:w="1046" w:type="dxa"/>
                  <w:vAlign w:val="bottom"/>
                </w:tcPr>
                <w:p w:rsidR="002E440B" w:rsidRDefault="002E440B" w:rsidP="001C10BD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2,31910</w:t>
                  </w:r>
                </w:p>
              </w:tc>
              <w:tc>
                <w:tcPr>
                  <w:tcW w:w="1187" w:type="dxa"/>
                  <w:vAlign w:val="bottom"/>
                </w:tcPr>
                <w:p w:rsidR="002E440B" w:rsidRDefault="002E440B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2,24304</w:t>
                  </w:r>
                </w:p>
              </w:tc>
            </w:tr>
          </w:tbl>
          <w:p w:rsidR="00BD4BE6" w:rsidRPr="00FF4636" w:rsidRDefault="00BD4BE6" w:rsidP="001826F3">
            <w:pPr>
              <w:rPr>
                <w:b/>
                <w:sz w:val="8"/>
                <w:szCs w:val="8"/>
              </w:rPr>
            </w:pPr>
          </w:p>
          <w:p w:rsidR="00BD4BE6" w:rsidRDefault="00BD4BE6" w:rsidP="001826F3">
            <w:pPr>
              <w:rPr>
                <w:b/>
              </w:rPr>
            </w:pPr>
          </w:p>
          <w:p w:rsidR="00BD4BE6" w:rsidRDefault="002D20B7" w:rsidP="002D20B7">
            <w:pPr>
              <w:rPr>
                <w:b/>
              </w:rPr>
            </w:pPr>
            <w:r>
              <w:rPr>
                <w:b/>
              </w:rPr>
              <w:t xml:space="preserve">La modélisation homogène infinie de DRAGON conduit à des écarts de moins de 3000 </w:t>
            </w:r>
            <w:proofErr w:type="spellStart"/>
            <w:r>
              <w:rPr>
                <w:b/>
              </w:rPr>
              <w:t>pcm</w:t>
            </w:r>
            <w:proofErr w:type="spellEnd"/>
            <w:r>
              <w:rPr>
                <w:b/>
              </w:rPr>
              <w:t xml:space="preserve"> </w:t>
            </w:r>
            <w:r w:rsidR="000B64DA">
              <w:rPr>
                <w:b/>
              </w:rPr>
              <w:t>la</w:t>
            </w:r>
            <w:r>
              <w:rPr>
                <w:b/>
              </w:rPr>
              <w:t xml:space="preserve"> modélisation homogène infinie de TRIPOLI.</w:t>
            </w:r>
          </w:p>
          <w:p w:rsidR="00110D0A" w:rsidRDefault="00110D0A" w:rsidP="002D20B7">
            <w:pPr>
              <w:rPr>
                <w:b/>
              </w:rPr>
            </w:pPr>
            <w:r>
              <w:rPr>
                <w:b/>
              </w:rPr>
              <w:t xml:space="preserve">Le </w:t>
            </w:r>
            <w:proofErr w:type="spellStart"/>
            <w:r>
              <w:rPr>
                <w:b/>
              </w:rPr>
              <w:t>Kinf</w:t>
            </w:r>
            <w:proofErr w:type="spellEnd"/>
            <w:r>
              <w:rPr>
                <w:b/>
              </w:rPr>
              <w:t xml:space="preserve"> indiqué par DRAGON dans la configuration </w:t>
            </w:r>
            <w:r w:rsidR="0078660E">
              <w:rPr>
                <w:b/>
              </w:rPr>
              <w:t xml:space="preserve">avec VIDE est nettement plus important que le </w:t>
            </w:r>
            <w:proofErr w:type="spellStart"/>
            <w:r w:rsidR="0078660E">
              <w:rPr>
                <w:b/>
              </w:rPr>
              <w:t>Kinf</w:t>
            </w:r>
            <w:proofErr w:type="spellEnd"/>
            <w:r w:rsidR="0078660E">
              <w:rPr>
                <w:b/>
              </w:rPr>
              <w:t xml:space="preserve"> dans la configuration avec REFLEXION.</w:t>
            </w:r>
          </w:p>
          <w:p w:rsidR="000B64DA" w:rsidRPr="00EF3B4C" w:rsidRDefault="000B64DA" w:rsidP="002D20B7">
            <w:pPr>
              <w:rPr>
                <w:b/>
              </w:rPr>
            </w:pPr>
          </w:p>
        </w:tc>
      </w:tr>
      <w:tr w:rsidR="00115ED3" w:rsidTr="00BD4BE6">
        <w:trPr>
          <w:jc w:val="center"/>
        </w:trPr>
        <w:tc>
          <w:tcPr>
            <w:tcW w:w="362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BD4BE6" w:rsidRDefault="00BD4BE6" w:rsidP="001826F3"/>
          <w:p w:rsidR="00BD4BE6" w:rsidRPr="00024709" w:rsidRDefault="00BD4BE6" w:rsidP="00024709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BD4BE6" w:rsidRDefault="00BD4BE6" w:rsidP="00024709">
            <w:r>
              <w:t>Expliquez quel est l’impact des fuites neutroniques sur l’énergie moyenne des neutrons dans la boule ?</w:t>
            </w:r>
          </w:p>
          <w:p w:rsidR="00BD4BE6" w:rsidRDefault="00BD4BE6" w:rsidP="00024709"/>
          <w:p w:rsidR="00BD4BE6" w:rsidRDefault="00BD4BE6" w:rsidP="00024709">
            <w:r>
              <w:lastRenderedPageBreak/>
              <w:t>Avec l’aide de l’outil JANIS, commentez l’évolution du nombre de neutrons émis par fission de l’U235 avec l’énergie moyenne des neutrons dans le spectre rapide ?</w:t>
            </w:r>
          </w:p>
          <w:p w:rsidR="00BD4BE6" w:rsidRDefault="00BD4BE6" w:rsidP="00024709"/>
          <w:p w:rsidR="00BD4BE6" w:rsidRDefault="00A01867" w:rsidP="00A01867">
            <w:r>
              <w:t>Concluez.</w:t>
            </w:r>
          </w:p>
        </w:tc>
        <w:tc>
          <w:tcPr>
            <w:tcW w:w="6609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D4BE6" w:rsidRDefault="00BD4BE6" w:rsidP="001826F3">
            <w:pPr>
              <w:rPr>
                <w:b/>
              </w:rPr>
            </w:pPr>
          </w:p>
          <w:p w:rsidR="00BD4BE6" w:rsidRDefault="009D4E46" w:rsidP="001826F3">
            <w:pPr>
              <w:rPr>
                <w:b/>
              </w:rPr>
            </w:pPr>
            <w:r>
              <w:rPr>
                <w:b/>
              </w:rPr>
              <w:t xml:space="preserve">On a vu auparavant que les fuites </w:t>
            </w:r>
            <w:r w:rsidR="00115ED3">
              <w:rPr>
                <w:b/>
              </w:rPr>
              <w:t>ont</w:t>
            </w:r>
            <w:r>
              <w:rPr>
                <w:b/>
              </w:rPr>
              <w:t xml:space="preserve"> un impact sur les sections efficaces : elles conduisent à un durcissement du spectre.</w:t>
            </w:r>
          </w:p>
          <w:p w:rsidR="009D4E46" w:rsidRDefault="00115ED3" w:rsidP="001826F3">
            <w:pPr>
              <w:rPr>
                <w:b/>
              </w:rPr>
            </w:pPr>
            <w:r>
              <w:rPr>
                <w:b/>
              </w:rPr>
              <w:t>Or, dans  un spectre rapide, ce durcissement induit une augmentation du nombre de neutron émis à fission, ce qui a un impact direct sur la réactivité.</w:t>
            </w:r>
          </w:p>
          <w:p w:rsidR="00115ED3" w:rsidRDefault="00115ED3" w:rsidP="001826F3">
            <w:pPr>
              <w:rPr>
                <w:b/>
              </w:rPr>
            </w:pPr>
          </w:p>
          <w:p w:rsidR="00115ED3" w:rsidRDefault="00115ED3" w:rsidP="001826F3">
            <w:pPr>
              <w:rPr>
                <w:b/>
              </w:rPr>
            </w:pPr>
            <w:r w:rsidRPr="00115ED3">
              <w:rPr>
                <w:b/>
                <w:noProof/>
                <w:lang w:eastAsia="fr-FR"/>
              </w:rPr>
              <w:lastRenderedPageBreak/>
              <w:drawing>
                <wp:inline distT="0" distB="0" distL="0" distR="0" wp14:anchorId="066B8E5E" wp14:editId="67414E3D">
                  <wp:extent cx="4015409" cy="1600118"/>
                  <wp:effectExtent l="0" t="0" r="4445" b="635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8" t="17248" r="33278" b="35275"/>
                          <a:stretch/>
                        </pic:blipFill>
                        <pic:spPr bwMode="auto">
                          <a:xfrm>
                            <a:off x="0" y="0"/>
                            <a:ext cx="4018752" cy="160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DCF" w:rsidRDefault="002E5DCF" w:rsidP="0022620E">
      <w:pPr>
        <w:spacing w:after="0" w:line="240" w:lineRule="auto"/>
      </w:pPr>
    </w:p>
    <w:sectPr w:rsidR="002E5DCF" w:rsidSect="006B5F5B">
      <w:footerReference w:type="default" r:id="rId8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F48" w:rsidRDefault="00D72F48" w:rsidP="0063087F">
      <w:pPr>
        <w:spacing w:after="0" w:line="240" w:lineRule="auto"/>
      </w:pPr>
      <w:r>
        <w:separator/>
      </w:r>
    </w:p>
  </w:endnote>
  <w:endnote w:type="continuationSeparator" w:id="0">
    <w:p w:rsidR="00D72F48" w:rsidRDefault="00D72F48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B13" w:rsidRPr="0063087F" w:rsidRDefault="00941B13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 w:rsidRPr="0022620E">
      <w:rPr>
        <w:i/>
        <w:sz w:val="14"/>
        <w:szCs w:val="14"/>
      </w:rPr>
      <w:fldChar w:fldCharType="begin"/>
    </w:r>
    <w:r w:rsidRPr="0022620E">
      <w:rPr>
        <w:i/>
        <w:sz w:val="14"/>
        <w:szCs w:val="14"/>
      </w:rPr>
      <w:instrText>PAGE   \* MERGEFORMAT</w:instrText>
    </w:r>
    <w:r w:rsidRPr="0022620E">
      <w:rPr>
        <w:i/>
        <w:sz w:val="14"/>
        <w:szCs w:val="14"/>
      </w:rPr>
      <w:fldChar w:fldCharType="separate"/>
    </w:r>
    <w:r w:rsidR="00452A91">
      <w:rPr>
        <w:i/>
        <w:noProof/>
        <w:sz w:val="14"/>
        <w:szCs w:val="14"/>
      </w:rPr>
      <w:t>1</w:t>
    </w:r>
    <w:r w:rsidRPr="0022620E">
      <w:rPr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F48" w:rsidRDefault="00D72F48" w:rsidP="0063087F">
      <w:pPr>
        <w:spacing w:after="0" w:line="240" w:lineRule="auto"/>
      </w:pPr>
      <w:r>
        <w:separator/>
      </w:r>
    </w:p>
  </w:footnote>
  <w:footnote w:type="continuationSeparator" w:id="0">
    <w:p w:rsidR="00D72F48" w:rsidRDefault="00D72F48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55B1"/>
    <w:multiLevelType w:val="hybridMultilevel"/>
    <w:tmpl w:val="6F28D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B0592"/>
    <w:rsid w:val="000B64DA"/>
    <w:rsid w:val="000C59B4"/>
    <w:rsid w:val="000D3EF2"/>
    <w:rsid w:val="000F00E2"/>
    <w:rsid w:val="00110D0A"/>
    <w:rsid w:val="00115ED3"/>
    <w:rsid w:val="00144CF4"/>
    <w:rsid w:val="0016706F"/>
    <w:rsid w:val="001734CB"/>
    <w:rsid w:val="00182491"/>
    <w:rsid w:val="001826F3"/>
    <w:rsid w:val="001A4E1E"/>
    <w:rsid w:val="001F6177"/>
    <w:rsid w:val="00217B0A"/>
    <w:rsid w:val="00224A5B"/>
    <w:rsid w:val="0022620E"/>
    <w:rsid w:val="00252F92"/>
    <w:rsid w:val="00285280"/>
    <w:rsid w:val="00297EC7"/>
    <w:rsid w:val="002D20B7"/>
    <w:rsid w:val="002E4316"/>
    <w:rsid w:val="002E440B"/>
    <w:rsid w:val="002E4F3A"/>
    <w:rsid w:val="002E5DCF"/>
    <w:rsid w:val="0030799A"/>
    <w:rsid w:val="00330C66"/>
    <w:rsid w:val="00355BC3"/>
    <w:rsid w:val="003D0DB7"/>
    <w:rsid w:val="004279D7"/>
    <w:rsid w:val="00452A91"/>
    <w:rsid w:val="004626C7"/>
    <w:rsid w:val="0047380A"/>
    <w:rsid w:val="00491320"/>
    <w:rsid w:val="004D2DB4"/>
    <w:rsid w:val="004E69CC"/>
    <w:rsid w:val="004F6EFE"/>
    <w:rsid w:val="00511587"/>
    <w:rsid w:val="0051787B"/>
    <w:rsid w:val="00532412"/>
    <w:rsid w:val="00546471"/>
    <w:rsid w:val="005562F8"/>
    <w:rsid w:val="00585463"/>
    <w:rsid w:val="00594582"/>
    <w:rsid w:val="005B38C0"/>
    <w:rsid w:val="005C424C"/>
    <w:rsid w:val="005C5B78"/>
    <w:rsid w:val="005D0A8D"/>
    <w:rsid w:val="005D67BE"/>
    <w:rsid w:val="005E3A74"/>
    <w:rsid w:val="005E6938"/>
    <w:rsid w:val="005F5882"/>
    <w:rsid w:val="006068FC"/>
    <w:rsid w:val="0063087F"/>
    <w:rsid w:val="00632322"/>
    <w:rsid w:val="0068626D"/>
    <w:rsid w:val="006A1785"/>
    <w:rsid w:val="006B5F5B"/>
    <w:rsid w:val="006B670B"/>
    <w:rsid w:val="00735F6F"/>
    <w:rsid w:val="007462F1"/>
    <w:rsid w:val="0078660E"/>
    <w:rsid w:val="00794E11"/>
    <w:rsid w:val="007D2070"/>
    <w:rsid w:val="007D7232"/>
    <w:rsid w:val="007E059F"/>
    <w:rsid w:val="007E09E5"/>
    <w:rsid w:val="007E0AC1"/>
    <w:rsid w:val="008015C2"/>
    <w:rsid w:val="008076E4"/>
    <w:rsid w:val="00812099"/>
    <w:rsid w:val="008163BF"/>
    <w:rsid w:val="00831D3A"/>
    <w:rsid w:val="008416F9"/>
    <w:rsid w:val="00855EFE"/>
    <w:rsid w:val="008955A1"/>
    <w:rsid w:val="008971FB"/>
    <w:rsid w:val="00914105"/>
    <w:rsid w:val="00921876"/>
    <w:rsid w:val="009402EE"/>
    <w:rsid w:val="00941B13"/>
    <w:rsid w:val="0098239B"/>
    <w:rsid w:val="00983100"/>
    <w:rsid w:val="009A18DA"/>
    <w:rsid w:val="009C14EE"/>
    <w:rsid w:val="009C2CF2"/>
    <w:rsid w:val="009D1A4B"/>
    <w:rsid w:val="009D4E46"/>
    <w:rsid w:val="00A01867"/>
    <w:rsid w:val="00A03541"/>
    <w:rsid w:val="00A127AC"/>
    <w:rsid w:val="00A12EFC"/>
    <w:rsid w:val="00A23BA5"/>
    <w:rsid w:val="00A518CA"/>
    <w:rsid w:val="00A57BF7"/>
    <w:rsid w:val="00A66B43"/>
    <w:rsid w:val="00A72B0F"/>
    <w:rsid w:val="00AB0C81"/>
    <w:rsid w:val="00AB4186"/>
    <w:rsid w:val="00AC4E39"/>
    <w:rsid w:val="00AD5CE8"/>
    <w:rsid w:val="00B11553"/>
    <w:rsid w:val="00B15486"/>
    <w:rsid w:val="00B37810"/>
    <w:rsid w:val="00B64948"/>
    <w:rsid w:val="00B71F91"/>
    <w:rsid w:val="00B867EA"/>
    <w:rsid w:val="00BA7741"/>
    <w:rsid w:val="00BB2CE2"/>
    <w:rsid w:val="00BC1F29"/>
    <w:rsid w:val="00BC31E6"/>
    <w:rsid w:val="00BD4BE6"/>
    <w:rsid w:val="00BE6A0E"/>
    <w:rsid w:val="00BE7BAA"/>
    <w:rsid w:val="00BF07F3"/>
    <w:rsid w:val="00BF1E96"/>
    <w:rsid w:val="00C40E6A"/>
    <w:rsid w:val="00C62DAB"/>
    <w:rsid w:val="00C96436"/>
    <w:rsid w:val="00CC1693"/>
    <w:rsid w:val="00CC2B12"/>
    <w:rsid w:val="00CC64E1"/>
    <w:rsid w:val="00CD0E92"/>
    <w:rsid w:val="00CD2603"/>
    <w:rsid w:val="00D15B23"/>
    <w:rsid w:val="00D20AE2"/>
    <w:rsid w:val="00D4208B"/>
    <w:rsid w:val="00D72F48"/>
    <w:rsid w:val="00D75CD9"/>
    <w:rsid w:val="00DB1F3A"/>
    <w:rsid w:val="00DC0F21"/>
    <w:rsid w:val="00DC4650"/>
    <w:rsid w:val="00DC7237"/>
    <w:rsid w:val="00DE58FB"/>
    <w:rsid w:val="00DE64F0"/>
    <w:rsid w:val="00DF2CD3"/>
    <w:rsid w:val="00E13F42"/>
    <w:rsid w:val="00E14AA3"/>
    <w:rsid w:val="00E3094C"/>
    <w:rsid w:val="00E3149F"/>
    <w:rsid w:val="00E43930"/>
    <w:rsid w:val="00E80BB1"/>
    <w:rsid w:val="00EA6D97"/>
    <w:rsid w:val="00ED5451"/>
    <w:rsid w:val="00EF3B4C"/>
    <w:rsid w:val="00EF6CC6"/>
    <w:rsid w:val="00F63D1A"/>
    <w:rsid w:val="00F6470A"/>
    <w:rsid w:val="00F737A2"/>
    <w:rsid w:val="00F73983"/>
    <w:rsid w:val="00F73C6A"/>
    <w:rsid w:val="00F86348"/>
    <w:rsid w:val="00F9481E"/>
    <w:rsid w:val="00FA567A"/>
    <w:rsid w:val="00FB6F9D"/>
    <w:rsid w:val="00FC027D"/>
    <w:rsid w:val="00FC1A50"/>
    <w:rsid w:val="00FC4F24"/>
    <w:rsid w:val="00FF35A4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21" Type="http://schemas.openxmlformats.org/officeDocument/2006/relationships/image" Target="media/image6.e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20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84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9.bin"/><Relationship Id="rId11" Type="http://schemas.openxmlformats.org/officeDocument/2006/relationships/image" Target="media/image1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3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6.wmf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image" Target="media/image38.emf"/><Relationship Id="rId19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oleObject" Target="embeddings/oleObject2.bin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oleObject" Target="embeddings/oleObject17.bin"/><Relationship Id="rId59" Type="http://schemas.openxmlformats.org/officeDocument/2006/relationships/image" Target="media/image26.wmf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4.wmf"/><Relationship Id="rId83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chart" Target="charts/chart2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e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9.emf"/><Relationship Id="rId73" Type="http://schemas.openxmlformats.org/officeDocument/2006/relationships/image" Target="media/image33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7.emf"/><Relationship Id="rId86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342286693430285"/>
          <c:y val="0.111470180810732"/>
          <c:w val="0.7465637863330159"/>
          <c:h val="0.68445808976453215"/>
        </c:manualLayout>
      </c:layout>
      <c:scatterChart>
        <c:scatterStyle val="lineMarker"/>
        <c:varyColors val="0"/>
        <c:ser>
          <c:idx val="0"/>
          <c:order val="0"/>
          <c:tx>
            <c:strRef>
              <c:f>tripoli!$B$5</c:f>
              <c:strCache>
                <c:ptCount val="1"/>
                <c:pt idx="0">
                  <c:v>durée "user" (s)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tripoli!$A$6:$A$8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4000</c:v>
                </c:pt>
              </c:numCache>
            </c:numRef>
          </c:xVal>
          <c:yVal>
            <c:numRef>
              <c:f>tripoli!$B$6:$B$8</c:f>
              <c:numCache>
                <c:formatCode>General</c:formatCode>
                <c:ptCount val="3"/>
                <c:pt idx="0">
                  <c:v>3.1</c:v>
                </c:pt>
                <c:pt idx="1">
                  <c:v>24</c:v>
                </c:pt>
                <c:pt idx="2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975936"/>
        <c:axId val="170510208"/>
      </c:scatterChart>
      <c:valAx>
        <c:axId val="167975936"/>
        <c:scaling>
          <c:orientation val="minMax"/>
        </c:scaling>
        <c:delete val="0"/>
        <c:axPos val="b"/>
        <c:title>
          <c:tx>
            <c:strRef>
              <c:f>tripoli!$A$5</c:f>
              <c:strCache>
                <c:ptCount val="1"/>
                <c:pt idx="0">
                  <c:v>Nb. Histoires (K)</c:v>
                </c:pt>
              </c:strCache>
            </c:strRef>
          </c:tx>
          <c:overlay val="0"/>
        </c:title>
        <c:numFmt formatCode="General" sourceLinked="1"/>
        <c:majorTickMark val="out"/>
        <c:minorTickMark val="none"/>
        <c:tickLblPos val="nextTo"/>
        <c:crossAx val="170510208"/>
        <c:crosses val="autoZero"/>
        <c:crossBetween val="midCat"/>
      </c:valAx>
      <c:valAx>
        <c:axId val="170510208"/>
        <c:scaling>
          <c:orientation val="minMax"/>
        </c:scaling>
        <c:delete val="0"/>
        <c:axPos val="l"/>
        <c:majorGridlines/>
        <c:title>
          <c:tx>
            <c:strRef>
              <c:f>tripoli!$B$5</c:f>
              <c:strCache>
                <c:ptCount val="1"/>
                <c:pt idx="0">
                  <c:v>durée "user" (s)</c:v>
                </c:pt>
              </c:strCache>
            </c:strRef>
          </c:tx>
          <c:overlay val="0"/>
          <c:txPr>
            <a:bodyPr rot="-5400000" vert="horz"/>
            <a:lstStyle/>
            <a:p>
              <a:pPr>
                <a:defRPr/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crossAx val="1679759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329396325459317"/>
          <c:y val="0.111470180810732"/>
          <c:w val="0.69669269466316697"/>
          <c:h val="0.64754994167395741"/>
        </c:manualLayout>
      </c:layout>
      <c:scatterChart>
        <c:scatterStyle val="lineMarker"/>
        <c:varyColors val="0"/>
        <c:ser>
          <c:idx val="0"/>
          <c:order val="0"/>
          <c:tx>
            <c:strRef>
              <c:f>tripoli!$D$5</c:f>
              <c:strCache>
                <c:ptCount val="1"/>
                <c:pt idx="0">
                  <c:v>sigma</c:v>
                </c:pt>
              </c:strCache>
            </c:strRef>
          </c:tx>
          <c:spPr>
            <a:ln w="28575">
              <a:noFill/>
            </a:ln>
          </c:spPr>
          <c:trendline>
            <c:trendlineType val="power"/>
            <c:dispRSqr val="1"/>
            <c:dispEq val="1"/>
            <c:trendlineLbl>
              <c:layout>
                <c:manualLayout>
                  <c:x val="3.4421259842519682E-2"/>
                  <c:y val="-9.480169145523476E-2"/>
                </c:manualLayout>
              </c:layout>
              <c:numFmt formatCode="General" sourceLinked="0"/>
            </c:trendlineLbl>
          </c:trendline>
          <c:xVal>
            <c:numRef>
              <c:f>tripoli!$A$6:$A$8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4000</c:v>
                </c:pt>
              </c:numCache>
            </c:numRef>
          </c:xVal>
          <c:yVal>
            <c:numRef>
              <c:f>tripoli!$D$6:$D$8</c:f>
              <c:numCache>
                <c:formatCode>0.00000</c:formatCode>
                <c:ptCount val="3"/>
                <c:pt idx="0">
                  <c:v>4.0000000000000001E-3</c:v>
                </c:pt>
                <c:pt idx="1">
                  <c:v>1.25E-3</c:v>
                </c:pt>
                <c:pt idx="2">
                  <c:v>6.0999999999999997E-4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136192"/>
        <c:axId val="198138112"/>
      </c:scatterChart>
      <c:valAx>
        <c:axId val="198136192"/>
        <c:scaling>
          <c:orientation val="minMax"/>
        </c:scaling>
        <c:delete val="0"/>
        <c:axPos val="b"/>
        <c:title>
          <c:tx>
            <c:strRef>
              <c:f>tripoli!$A$5</c:f>
              <c:strCache>
                <c:ptCount val="1"/>
                <c:pt idx="0">
                  <c:v>Nb. Histoires (K)</c:v>
                </c:pt>
              </c:strCache>
            </c:strRef>
          </c:tx>
          <c:overlay val="0"/>
        </c:title>
        <c:numFmt formatCode="General" sourceLinked="1"/>
        <c:majorTickMark val="out"/>
        <c:minorTickMark val="none"/>
        <c:tickLblPos val="nextTo"/>
        <c:crossAx val="198138112"/>
        <c:crosses val="autoZero"/>
        <c:crossBetween val="midCat"/>
      </c:valAx>
      <c:valAx>
        <c:axId val="198138112"/>
        <c:scaling>
          <c:orientation val="minMax"/>
        </c:scaling>
        <c:delete val="0"/>
        <c:axPos val="l"/>
        <c:majorGridlines/>
        <c:title>
          <c:tx>
            <c:strRef>
              <c:f>tripoli!$B$5</c:f>
              <c:strCache>
                <c:ptCount val="1"/>
                <c:pt idx="0">
                  <c:v>durée "user" (s)</c:v>
                </c:pt>
              </c:strCache>
            </c:strRef>
          </c:tx>
          <c:overlay val="0"/>
          <c:txPr>
            <a:bodyPr rot="-5400000" vert="horz"/>
            <a:lstStyle/>
            <a:p>
              <a:pPr>
                <a:defRPr/>
              </a:pPr>
              <a:endParaRPr lang="fr-FR"/>
            </a:p>
          </c:txPr>
        </c:title>
        <c:numFmt formatCode="0.00000" sourceLinked="1"/>
        <c:majorTickMark val="out"/>
        <c:minorTickMark val="none"/>
        <c:tickLblPos val="nextTo"/>
        <c:crossAx val="1981361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4392E-BFC6-459C-A037-50268D4E5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2226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3</cp:revision>
  <cp:lastPrinted>2013-11-28T11:04:00Z</cp:lastPrinted>
  <dcterms:created xsi:type="dcterms:W3CDTF">2013-11-28T11:03:00Z</dcterms:created>
  <dcterms:modified xsi:type="dcterms:W3CDTF">2013-11-28T11:04:00Z</dcterms:modified>
</cp:coreProperties>
</file>