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1957"/>
        <w:gridCol w:w="329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simulée : de la naissance par une fission à la mort par une absorption. Le nombre d’histoires est spécifié dans </w:t>
            </w:r>
            <w:r>
              <w:lastRenderedPageBreak/>
              <w:t>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732B0C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732B0C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732B0C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2.55pt" o:ole="">
                  <v:imagedata r:id="rId9" o:title=""/>
                </v:shape>
                <o:OLEObject Type="Embed" ProgID="Equation.3" ShapeID="_x0000_i1025" DrawAspect="Content" ObjectID="_1447145573" r:id="rId10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5pt;height:32.55pt" o:ole="">
                  <v:imagedata r:id="rId11" o:title=""/>
                </v:shape>
                <o:OLEObject Type="Embed" ProgID="Equation.3" ShapeID="_x0000_i1026" DrawAspect="Content" ObjectID="_1447145574" r:id="rId12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45pt;height:33.8pt" o:ole="">
                  <v:imagedata r:id="rId13" o:title=""/>
                </v:shape>
                <o:OLEObject Type="Embed" ProgID="Equation.3" ShapeID="_x0000_i1027" DrawAspect="Content" ObjectID="_1447145575" r:id="rId14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5.05pt;height:17.55pt" o:ole="">
                  <v:imagedata r:id="rId15" o:title=""/>
                </v:shape>
                <o:OLEObject Type="Embed" ProgID="Equation.3" ShapeID="_x0000_i1028" DrawAspect="Content" ObjectID="_1447145576" r:id="rId16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5pt;height:17.55pt" o:ole="">
                  <v:imagedata r:id="rId17" o:title=""/>
                </v:shape>
                <o:OLEObject Type="Embed" ProgID="Equation.3" ShapeID="_x0000_i1029" DrawAspect="Content" ObjectID="_1447145577" r:id="rId18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732B0C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6pt;height:33.8pt" o:ole="">
                  <v:imagedata r:id="rId19" o:title=""/>
                </v:shape>
                <o:OLEObject Type="Embed" ProgID="Equation.3" ShapeID="_x0000_i1030" DrawAspect="Content" ObjectID="_1447145578" r:id="rId20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0"/>
            <w:bookmarkEnd w:id="1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r>
              <w:t>pensez vous</w:t>
            </w:r>
            <w:proofErr w:type="spell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14"/>
              <w:gridCol w:w="2678"/>
            </w:tblGrid>
            <w:tr w:rsidR="001A4E1E" w:rsidRPr="0030799A" w:rsidTr="005D67BE">
              <w:trPr>
                <w:jc w:val="center"/>
              </w:trPr>
              <w:tc>
                <w:tcPr>
                  <w:tcW w:w="1214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267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63087F">
                  <w:r>
                    <w:t>hmf001.05</w:t>
                  </w:r>
                  <w:r w:rsidR="0063087F"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  <w:r w:rsidR="0024294B">
              <w:t>)</w:t>
            </w:r>
            <w:bookmarkStart w:id="2" w:name="_GoBack"/>
            <w:bookmarkEnd w:id="2"/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AC4E39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A12EFC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8"/>
              <w:gridCol w:w="644"/>
              <w:gridCol w:w="1034"/>
              <w:gridCol w:w="1046"/>
              <w:gridCol w:w="1093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676" w:type="dxa"/>
                  <w:gridSpan w:val="3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2E5DCF" w:rsidRDefault="002E5DCF" w:rsidP="001826F3"/>
        </w:tc>
        <w:tc>
          <w:tcPr>
            <w:tcW w:w="567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22620E">
      <w:pPr>
        <w:spacing w:after="0" w:line="240" w:lineRule="auto"/>
      </w:pPr>
    </w:p>
    <w:sectPr w:rsidR="002E5DCF" w:rsidSect="006B5F5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0C" w:rsidRDefault="00732B0C" w:rsidP="0063087F">
      <w:pPr>
        <w:spacing w:after="0" w:line="240" w:lineRule="auto"/>
      </w:pPr>
      <w:r>
        <w:separator/>
      </w:r>
    </w:p>
  </w:endnote>
  <w:endnote w:type="continuationSeparator" w:id="0">
    <w:p w:rsidR="00732B0C" w:rsidRDefault="00732B0C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  <w:r w:rsidR="0022620E">
      <w:rPr>
        <w:i/>
        <w:sz w:val="14"/>
        <w:szCs w:val="14"/>
      </w:rPr>
      <w:tab/>
    </w:r>
    <w:r w:rsidR="0022620E">
      <w:rPr>
        <w:i/>
        <w:sz w:val="14"/>
        <w:szCs w:val="14"/>
      </w:rPr>
      <w:tab/>
    </w:r>
    <w:r w:rsidR="0022620E" w:rsidRPr="0022620E">
      <w:rPr>
        <w:i/>
        <w:sz w:val="14"/>
        <w:szCs w:val="14"/>
      </w:rPr>
      <w:fldChar w:fldCharType="begin"/>
    </w:r>
    <w:r w:rsidR="0022620E" w:rsidRPr="0022620E">
      <w:rPr>
        <w:i/>
        <w:sz w:val="14"/>
        <w:szCs w:val="14"/>
      </w:rPr>
      <w:instrText>PAGE   \* MERGEFORMAT</w:instrText>
    </w:r>
    <w:r w:rsidR="0022620E" w:rsidRPr="0022620E">
      <w:rPr>
        <w:i/>
        <w:sz w:val="14"/>
        <w:szCs w:val="14"/>
      </w:rPr>
      <w:fldChar w:fldCharType="separate"/>
    </w:r>
    <w:r w:rsidR="0024294B">
      <w:rPr>
        <w:i/>
        <w:noProof/>
        <w:sz w:val="14"/>
        <w:szCs w:val="14"/>
      </w:rPr>
      <w:t>7</w:t>
    </w:r>
    <w:r w:rsidR="0022620E" w:rsidRPr="0022620E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0C" w:rsidRDefault="00732B0C" w:rsidP="0063087F">
      <w:pPr>
        <w:spacing w:after="0" w:line="240" w:lineRule="auto"/>
      </w:pPr>
      <w:r>
        <w:separator/>
      </w:r>
    </w:p>
  </w:footnote>
  <w:footnote w:type="continuationSeparator" w:id="0">
    <w:p w:rsidR="00732B0C" w:rsidRDefault="00732B0C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491"/>
    <w:rsid w:val="001826F3"/>
    <w:rsid w:val="001A4E1E"/>
    <w:rsid w:val="001F6177"/>
    <w:rsid w:val="00217B0A"/>
    <w:rsid w:val="00224A5B"/>
    <w:rsid w:val="0022620E"/>
    <w:rsid w:val="0024294B"/>
    <w:rsid w:val="00252F92"/>
    <w:rsid w:val="00285280"/>
    <w:rsid w:val="002E5DCF"/>
    <w:rsid w:val="0030799A"/>
    <w:rsid w:val="00330C66"/>
    <w:rsid w:val="00355BC3"/>
    <w:rsid w:val="0047380A"/>
    <w:rsid w:val="00511587"/>
    <w:rsid w:val="005562F8"/>
    <w:rsid w:val="00585463"/>
    <w:rsid w:val="00594582"/>
    <w:rsid w:val="005C5B78"/>
    <w:rsid w:val="005D67BE"/>
    <w:rsid w:val="005E3A74"/>
    <w:rsid w:val="005E6938"/>
    <w:rsid w:val="0063087F"/>
    <w:rsid w:val="00632322"/>
    <w:rsid w:val="006B5F5B"/>
    <w:rsid w:val="00732B0C"/>
    <w:rsid w:val="00735F6F"/>
    <w:rsid w:val="007462F1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127AC"/>
    <w:rsid w:val="00A12EFC"/>
    <w:rsid w:val="00A23BA5"/>
    <w:rsid w:val="00A57BF7"/>
    <w:rsid w:val="00A72B0F"/>
    <w:rsid w:val="00AC4E39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D5451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EA624-AF08-4566-B548-6AAB4649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9</Pages>
  <Words>1409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50</cp:revision>
  <cp:lastPrinted>2013-11-28T11:04:00Z</cp:lastPrinted>
  <dcterms:created xsi:type="dcterms:W3CDTF">2013-10-18T09:47:00Z</dcterms:created>
  <dcterms:modified xsi:type="dcterms:W3CDTF">2013-11-28T11:04:00Z</dcterms:modified>
</cp:coreProperties>
</file>