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5351" w14:textId="74505F41" w:rsidR="006E3955" w:rsidRPr="00C2492D" w:rsidRDefault="00C2492D">
      <w:pPr>
        <w:rPr>
          <w:b/>
          <w:bCs/>
          <w:sz w:val="32"/>
          <w:szCs w:val="32"/>
        </w:rPr>
      </w:pPr>
      <w:r w:rsidRPr="00C2492D">
        <w:rPr>
          <w:b/>
          <w:bCs/>
          <w:sz w:val="32"/>
          <w:szCs w:val="32"/>
        </w:rPr>
        <w:t>Istio Custom Authorization</w:t>
      </w:r>
    </w:p>
    <w:p w14:paraId="51FB08C4" w14:textId="77777777" w:rsidR="00C2492D" w:rsidRPr="00C2492D" w:rsidRDefault="00C2492D" w:rsidP="00C2492D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Barlow" w:eastAsia="Times New Roman" w:hAnsi="Barlow" w:cs="Times New Roman"/>
          <w:b/>
          <w:bCs/>
          <w:color w:val="293655"/>
          <w:sz w:val="27"/>
          <w:szCs w:val="27"/>
        </w:rPr>
      </w:pPr>
      <w:r w:rsidRPr="00C2492D">
        <w:rPr>
          <w:rFonts w:ascii="Barlow" w:eastAsia="Times New Roman" w:hAnsi="Barlow" w:cs="Times New Roman"/>
          <w:b/>
          <w:bCs/>
          <w:color w:val="293655"/>
          <w:sz w:val="27"/>
          <w:szCs w:val="27"/>
        </w:rPr>
        <w:t>Authorization architecture</w:t>
      </w:r>
    </w:p>
    <w:p w14:paraId="15E4DF13" w14:textId="77777777" w:rsidR="00C2492D" w:rsidRDefault="00C2492D" w:rsidP="00C2492D">
      <w:pPr>
        <w:shd w:val="clear" w:color="auto" w:fill="FFFFFF"/>
        <w:spacing w:after="0" w:line="240" w:lineRule="auto"/>
        <w:textAlignment w:val="baseline"/>
        <w:rPr>
          <w:rFonts w:ascii="Barlow" w:eastAsia="Times New Roman" w:hAnsi="Barlow" w:cs="Times New Roman"/>
          <w:color w:val="293655"/>
          <w:sz w:val="27"/>
          <w:szCs w:val="27"/>
        </w:rPr>
      </w:pPr>
      <w:r w:rsidRPr="00C2492D">
        <w:rPr>
          <w:rFonts w:ascii="Barlow" w:eastAsia="Times New Roman" w:hAnsi="Barlow" w:cs="Times New Roman"/>
          <w:color w:val="293655"/>
          <w:sz w:val="27"/>
          <w:szCs w:val="27"/>
        </w:rPr>
        <w:t xml:space="preserve">The authorization policy enforces access control to the inbound traffic in the server side Envoy proxy. </w:t>
      </w:r>
    </w:p>
    <w:p w14:paraId="48BCCF76" w14:textId="77777777" w:rsidR="00C2492D" w:rsidRDefault="00C2492D" w:rsidP="00C2492D">
      <w:pPr>
        <w:shd w:val="clear" w:color="auto" w:fill="FFFFFF"/>
        <w:spacing w:after="0" w:line="240" w:lineRule="auto"/>
        <w:textAlignment w:val="baseline"/>
        <w:rPr>
          <w:rFonts w:ascii="Barlow" w:eastAsia="Times New Roman" w:hAnsi="Barlow" w:cs="Times New Roman"/>
          <w:color w:val="293655"/>
          <w:sz w:val="27"/>
          <w:szCs w:val="27"/>
        </w:rPr>
      </w:pPr>
    </w:p>
    <w:p w14:paraId="71190E0F" w14:textId="77777777" w:rsidR="00C2492D" w:rsidRDefault="00C2492D" w:rsidP="00C2492D">
      <w:pPr>
        <w:shd w:val="clear" w:color="auto" w:fill="FFFFFF"/>
        <w:spacing w:after="0" w:line="240" w:lineRule="auto"/>
        <w:textAlignment w:val="baseline"/>
        <w:rPr>
          <w:rFonts w:ascii="Barlow" w:eastAsia="Times New Roman" w:hAnsi="Barlow" w:cs="Times New Roman"/>
          <w:color w:val="293655"/>
          <w:sz w:val="27"/>
          <w:szCs w:val="27"/>
        </w:rPr>
      </w:pPr>
      <w:r w:rsidRPr="00C2492D">
        <w:rPr>
          <w:rFonts w:ascii="Barlow" w:eastAsia="Times New Roman" w:hAnsi="Barlow" w:cs="Times New Roman"/>
          <w:color w:val="293655"/>
          <w:sz w:val="27"/>
          <w:szCs w:val="27"/>
        </w:rPr>
        <w:t>Each Envoy proxy runs an authorization engine that authorizes requests at runtime. When a request comes to the proxy, the authorization engine evaluates the request context against the current authorization policies, and returns the authorization result, either </w:t>
      </w:r>
      <w:r w:rsidRPr="00C2492D">
        <w:rPr>
          <w:rFonts w:ascii="Consolas" w:eastAsia="Times New Roman" w:hAnsi="Consolas" w:cs="Courier New"/>
          <w:color w:val="293655"/>
          <w:sz w:val="19"/>
          <w:szCs w:val="19"/>
          <w:bdr w:val="none" w:sz="0" w:space="0" w:color="auto" w:frame="1"/>
        </w:rPr>
        <w:t>ALLOW</w:t>
      </w:r>
      <w:r w:rsidRPr="00C2492D">
        <w:rPr>
          <w:rFonts w:ascii="Barlow" w:eastAsia="Times New Roman" w:hAnsi="Barlow" w:cs="Times New Roman"/>
          <w:color w:val="293655"/>
          <w:sz w:val="27"/>
          <w:szCs w:val="27"/>
        </w:rPr>
        <w:t> or </w:t>
      </w:r>
      <w:r w:rsidRPr="00C2492D">
        <w:rPr>
          <w:rFonts w:ascii="Consolas" w:eastAsia="Times New Roman" w:hAnsi="Consolas" w:cs="Courier New"/>
          <w:color w:val="293655"/>
          <w:sz w:val="19"/>
          <w:szCs w:val="19"/>
          <w:bdr w:val="none" w:sz="0" w:space="0" w:color="auto" w:frame="1"/>
        </w:rPr>
        <w:t>DENY</w:t>
      </w:r>
      <w:r w:rsidRPr="00C2492D">
        <w:rPr>
          <w:rFonts w:ascii="Barlow" w:eastAsia="Times New Roman" w:hAnsi="Barlow" w:cs="Times New Roman"/>
          <w:color w:val="293655"/>
          <w:sz w:val="27"/>
          <w:szCs w:val="27"/>
        </w:rPr>
        <w:t xml:space="preserve">. </w:t>
      </w:r>
    </w:p>
    <w:p w14:paraId="6F84CB00" w14:textId="77777777" w:rsidR="00C2492D" w:rsidRDefault="00C2492D" w:rsidP="00C2492D">
      <w:pPr>
        <w:shd w:val="clear" w:color="auto" w:fill="FFFFFF"/>
        <w:spacing w:after="0" w:line="240" w:lineRule="auto"/>
        <w:textAlignment w:val="baseline"/>
        <w:rPr>
          <w:rFonts w:ascii="Barlow" w:eastAsia="Times New Roman" w:hAnsi="Barlow" w:cs="Times New Roman"/>
          <w:color w:val="293655"/>
          <w:sz w:val="27"/>
          <w:szCs w:val="27"/>
        </w:rPr>
      </w:pPr>
    </w:p>
    <w:p w14:paraId="268C2B4F" w14:textId="546CB6BC" w:rsidR="00C2492D" w:rsidRDefault="00C2492D" w:rsidP="00C2492D">
      <w:pPr>
        <w:shd w:val="clear" w:color="auto" w:fill="FFFFFF"/>
        <w:spacing w:after="0" w:line="240" w:lineRule="auto"/>
        <w:textAlignment w:val="baseline"/>
        <w:rPr>
          <w:rFonts w:ascii="Barlow" w:eastAsia="Times New Roman" w:hAnsi="Barlow" w:cs="Times New Roman"/>
          <w:color w:val="293655"/>
          <w:sz w:val="27"/>
          <w:szCs w:val="27"/>
        </w:rPr>
      </w:pPr>
      <w:r w:rsidRPr="00C2492D">
        <w:rPr>
          <w:rFonts w:ascii="Barlow" w:eastAsia="Times New Roman" w:hAnsi="Barlow" w:cs="Times New Roman"/>
          <w:color w:val="293655"/>
          <w:sz w:val="27"/>
          <w:szCs w:val="27"/>
        </w:rPr>
        <w:t>Operators specify Istio authorization policies using </w:t>
      </w:r>
      <w:r w:rsidRPr="00C2492D">
        <w:rPr>
          <w:rFonts w:ascii="Consolas" w:eastAsia="Times New Roman" w:hAnsi="Consolas" w:cs="Courier New"/>
          <w:color w:val="293655"/>
          <w:sz w:val="19"/>
          <w:szCs w:val="19"/>
          <w:bdr w:val="none" w:sz="0" w:space="0" w:color="auto" w:frame="1"/>
        </w:rPr>
        <w:t>.yaml</w:t>
      </w:r>
      <w:r w:rsidRPr="00C2492D">
        <w:rPr>
          <w:rFonts w:ascii="Barlow" w:eastAsia="Times New Roman" w:hAnsi="Barlow" w:cs="Times New Roman"/>
          <w:color w:val="293655"/>
          <w:sz w:val="27"/>
          <w:szCs w:val="27"/>
        </w:rPr>
        <w:t> files.</w:t>
      </w:r>
    </w:p>
    <w:p w14:paraId="78E7FF63" w14:textId="77777777" w:rsidR="00595000" w:rsidRDefault="00595000" w:rsidP="00595000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Barlow" w:hAnsi="Barlow"/>
          <w:color w:val="293655"/>
          <w:sz w:val="27"/>
          <w:szCs w:val="27"/>
        </w:rPr>
      </w:pPr>
      <w:r>
        <w:rPr>
          <w:rFonts w:ascii="Barlow" w:hAnsi="Barlow"/>
          <w:color w:val="293655"/>
          <w:sz w:val="27"/>
          <w:szCs w:val="27"/>
        </w:rPr>
        <w:t>You don’t need to explicitly enable Istio’s authorization features; they are available after installation. To enforce access control to your workloads, you apply an authorization policy.</w:t>
      </w:r>
    </w:p>
    <w:p w14:paraId="773D77D1" w14:textId="77777777" w:rsidR="00595000" w:rsidRDefault="00595000" w:rsidP="00595000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Barlow" w:hAnsi="Barlow"/>
          <w:color w:val="293655"/>
          <w:sz w:val="27"/>
          <w:szCs w:val="27"/>
        </w:rPr>
      </w:pPr>
      <w:r>
        <w:rPr>
          <w:rFonts w:ascii="Barlow" w:hAnsi="Barlow"/>
          <w:color w:val="293655"/>
          <w:sz w:val="27"/>
          <w:szCs w:val="27"/>
        </w:rPr>
        <w:t>For workloads without authorization policies applied, Istio allows all requests.</w:t>
      </w:r>
    </w:p>
    <w:p w14:paraId="2CB1E413" w14:textId="77777777" w:rsidR="000E562A" w:rsidRDefault="000E562A" w:rsidP="000E562A">
      <w:pPr>
        <w:pStyle w:val="Heading3"/>
        <w:shd w:val="clear" w:color="auto" w:fill="FFFFFF"/>
        <w:spacing w:before="0" w:after="0"/>
        <w:textAlignment w:val="baseline"/>
        <w:rPr>
          <w:rFonts w:ascii="Barlow" w:hAnsi="Barlow"/>
          <w:color w:val="293655"/>
        </w:rPr>
      </w:pPr>
      <w:r>
        <w:rPr>
          <w:rFonts w:ascii="Barlow" w:hAnsi="Barlow"/>
          <w:color w:val="293655"/>
        </w:rPr>
        <w:t>Authorization policies</w:t>
      </w:r>
    </w:p>
    <w:p w14:paraId="3F876B2B" w14:textId="77777777" w:rsidR="000E562A" w:rsidRDefault="000E562A" w:rsidP="000E56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rlow" w:hAnsi="Barlow"/>
          <w:color w:val="293655"/>
          <w:sz w:val="27"/>
          <w:szCs w:val="27"/>
        </w:rPr>
      </w:pPr>
      <w:r>
        <w:rPr>
          <w:rFonts w:ascii="Barlow" w:hAnsi="Barlow"/>
          <w:color w:val="293655"/>
          <w:sz w:val="27"/>
          <w:szCs w:val="27"/>
        </w:rPr>
        <w:t>To configure an authorization policy, you create an </w:t>
      </w:r>
      <w:proofErr w:type="spellStart"/>
      <w:r>
        <w:rPr>
          <w:rFonts w:ascii="Barlow" w:hAnsi="Barlow"/>
          <w:color w:val="293655"/>
          <w:sz w:val="27"/>
          <w:szCs w:val="27"/>
        </w:rPr>
        <w:fldChar w:fldCharType="begin"/>
      </w:r>
      <w:r>
        <w:rPr>
          <w:rFonts w:ascii="Barlow" w:hAnsi="Barlow"/>
          <w:color w:val="293655"/>
          <w:sz w:val="27"/>
          <w:szCs w:val="27"/>
        </w:rPr>
        <w:instrText xml:space="preserve"> HYPERLINK "https://istio.io/latest/docs/reference/config/security/authorization-policy/" </w:instrText>
      </w:r>
      <w:r>
        <w:rPr>
          <w:rFonts w:ascii="Barlow" w:hAnsi="Barlow"/>
          <w:color w:val="293655"/>
          <w:sz w:val="27"/>
          <w:szCs w:val="27"/>
        </w:rPr>
        <w:fldChar w:fldCharType="separate"/>
      </w:r>
      <w:r>
        <w:rPr>
          <w:rStyle w:val="HTMLCode"/>
          <w:rFonts w:ascii="Consolas" w:hAnsi="Consolas"/>
          <w:color w:val="0000FF"/>
          <w:sz w:val="19"/>
          <w:szCs w:val="19"/>
          <w:bdr w:val="none" w:sz="0" w:space="0" w:color="auto" w:frame="1"/>
        </w:rPr>
        <w:t>AuthorizationPolicy</w:t>
      </w:r>
      <w:proofErr w:type="spellEnd"/>
      <w:r>
        <w:rPr>
          <w:rStyle w:val="Hyperlink"/>
          <w:rFonts w:ascii="Barlow" w:hAnsi="Barlow"/>
          <w:sz w:val="27"/>
          <w:szCs w:val="27"/>
          <w:bdr w:val="none" w:sz="0" w:space="0" w:color="auto" w:frame="1"/>
        </w:rPr>
        <w:t> custom resource</w:t>
      </w:r>
      <w:r>
        <w:rPr>
          <w:rFonts w:ascii="Barlow" w:hAnsi="Barlow"/>
          <w:color w:val="293655"/>
          <w:sz w:val="27"/>
          <w:szCs w:val="27"/>
        </w:rPr>
        <w:fldChar w:fldCharType="end"/>
      </w:r>
      <w:r>
        <w:rPr>
          <w:rFonts w:ascii="Barlow" w:hAnsi="Barlow"/>
          <w:color w:val="293655"/>
          <w:sz w:val="27"/>
          <w:szCs w:val="27"/>
        </w:rPr>
        <w:t>. An authorization policy includes a selector, an action, and a list of rules:</w:t>
      </w:r>
    </w:p>
    <w:p w14:paraId="49272849" w14:textId="77777777" w:rsidR="000E562A" w:rsidRDefault="000E562A" w:rsidP="000E562A">
      <w:pPr>
        <w:numPr>
          <w:ilvl w:val="0"/>
          <w:numId w:val="1"/>
        </w:numPr>
        <w:shd w:val="clear" w:color="auto" w:fill="FFFFFF"/>
        <w:spacing w:after="0" w:line="240" w:lineRule="auto"/>
        <w:ind w:left="1140" w:right="60"/>
        <w:textAlignment w:val="baseline"/>
        <w:rPr>
          <w:rFonts w:ascii="inherit" w:hAnsi="inherit"/>
          <w:color w:val="293655"/>
          <w:sz w:val="27"/>
          <w:szCs w:val="27"/>
        </w:rPr>
      </w:pPr>
      <w:r>
        <w:rPr>
          <w:rFonts w:ascii="inherit" w:hAnsi="inherit"/>
          <w:color w:val="293655"/>
          <w:sz w:val="27"/>
          <w:szCs w:val="27"/>
        </w:rPr>
        <w:t>The </w:t>
      </w:r>
      <w:r>
        <w:rPr>
          <w:rStyle w:val="HTMLCode"/>
          <w:rFonts w:ascii="Consolas" w:eastAsiaTheme="minorHAnsi" w:hAnsi="Consolas"/>
          <w:color w:val="293655"/>
          <w:sz w:val="19"/>
          <w:szCs w:val="19"/>
          <w:bdr w:val="none" w:sz="0" w:space="0" w:color="auto" w:frame="1"/>
        </w:rPr>
        <w:t>selector</w:t>
      </w:r>
      <w:r>
        <w:rPr>
          <w:rFonts w:ascii="inherit" w:hAnsi="inherit"/>
          <w:color w:val="293655"/>
          <w:sz w:val="27"/>
          <w:szCs w:val="27"/>
        </w:rPr>
        <w:t> field specifies the target of the policy</w:t>
      </w:r>
    </w:p>
    <w:p w14:paraId="7E416649" w14:textId="77777777" w:rsidR="000E562A" w:rsidRDefault="000E562A" w:rsidP="000E562A">
      <w:pPr>
        <w:numPr>
          <w:ilvl w:val="0"/>
          <w:numId w:val="1"/>
        </w:numPr>
        <w:shd w:val="clear" w:color="auto" w:fill="FFFFFF"/>
        <w:spacing w:after="0" w:line="240" w:lineRule="auto"/>
        <w:ind w:left="1140" w:right="60"/>
        <w:textAlignment w:val="baseline"/>
        <w:rPr>
          <w:rFonts w:ascii="inherit" w:hAnsi="inherit"/>
          <w:color w:val="293655"/>
          <w:sz w:val="27"/>
          <w:szCs w:val="27"/>
        </w:rPr>
      </w:pPr>
      <w:r>
        <w:rPr>
          <w:rFonts w:ascii="inherit" w:hAnsi="inherit"/>
          <w:color w:val="293655"/>
          <w:sz w:val="27"/>
          <w:szCs w:val="27"/>
        </w:rPr>
        <w:t>The </w:t>
      </w:r>
      <w:r>
        <w:rPr>
          <w:rStyle w:val="HTMLCode"/>
          <w:rFonts w:ascii="Consolas" w:eastAsiaTheme="minorHAnsi" w:hAnsi="Consolas"/>
          <w:color w:val="293655"/>
          <w:sz w:val="19"/>
          <w:szCs w:val="19"/>
          <w:bdr w:val="none" w:sz="0" w:space="0" w:color="auto" w:frame="1"/>
        </w:rPr>
        <w:t>action</w:t>
      </w:r>
      <w:r>
        <w:rPr>
          <w:rFonts w:ascii="inherit" w:hAnsi="inherit"/>
          <w:color w:val="293655"/>
          <w:sz w:val="27"/>
          <w:szCs w:val="27"/>
        </w:rPr>
        <w:t> field specifies whether to allow or deny the request</w:t>
      </w:r>
    </w:p>
    <w:p w14:paraId="2DFE02B2" w14:textId="77777777" w:rsidR="000E562A" w:rsidRDefault="000E562A" w:rsidP="000E562A">
      <w:pPr>
        <w:numPr>
          <w:ilvl w:val="0"/>
          <w:numId w:val="1"/>
        </w:numPr>
        <w:shd w:val="clear" w:color="auto" w:fill="FFFFFF"/>
        <w:spacing w:after="0" w:line="240" w:lineRule="auto"/>
        <w:ind w:left="1140" w:right="60"/>
        <w:textAlignment w:val="baseline"/>
        <w:rPr>
          <w:rFonts w:ascii="inherit" w:hAnsi="inherit"/>
          <w:color w:val="293655"/>
          <w:sz w:val="27"/>
          <w:szCs w:val="27"/>
        </w:rPr>
      </w:pPr>
      <w:r>
        <w:rPr>
          <w:rFonts w:ascii="inherit" w:hAnsi="inherit"/>
          <w:color w:val="293655"/>
          <w:sz w:val="27"/>
          <w:szCs w:val="27"/>
        </w:rPr>
        <w:t>The </w:t>
      </w:r>
      <w:r>
        <w:rPr>
          <w:rStyle w:val="HTMLCode"/>
          <w:rFonts w:ascii="Consolas" w:eastAsiaTheme="minorHAnsi" w:hAnsi="Consolas"/>
          <w:color w:val="293655"/>
          <w:sz w:val="19"/>
          <w:szCs w:val="19"/>
          <w:bdr w:val="none" w:sz="0" w:space="0" w:color="auto" w:frame="1"/>
        </w:rPr>
        <w:t>rules</w:t>
      </w:r>
      <w:r>
        <w:rPr>
          <w:rFonts w:ascii="inherit" w:hAnsi="inherit"/>
          <w:color w:val="293655"/>
          <w:sz w:val="27"/>
          <w:szCs w:val="27"/>
        </w:rPr>
        <w:t> specify when to trigger the action</w:t>
      </w:r>
    </w:p>
    <w:p w14:paraId="04BA2A07" w14:textId="77777777" w:rsidR="000E562A" w:rsidRDefault="000E562A" w:rsidP="000E562A">
      <w:pPr>
        <w:numPr>
          <w:ilvl w:val="1"/>
          <w:numId w:val="1"/>
        </w:numPr>
        <w:shd w:val="clear" w:color="auto" w:fill="FFFFFF"/>
        <w:spacing w:after="0" w:line="240" w:lineRule="auto"/>
        <w:ind w:left="2280" w:right="120"/>
        <w:textAlignment w:val="baseline"/>
        <w:rPr>
          <w:rFonts w:ascii="inherit" w:hAnsi="inherit"/>
          <w:color w:val="293655"/>
          <w:sz w:val="27"/>
          <w:szCs w:val="27"/>
        </w:rPr>
      </w:pPr>
      <w:r>
        <w:rPr>
          <w:rFonts w:ascii="inherit" w:hAnsi="inherit"/>
          <w:color w:val="293655"/>
          <w:sz w:val="27"/>
          <w:szCs w:val="27"/>
        </w:rPr>
        <w:t>The </w:t>
      </w:r>
      <w:r>
        <w:rPr>
          <w:rStyle w:val="HTMLCode"/>
          <w:rFonts w:ascii="Consolas" w:eastAsiaTheme="minorHAnsi" w:hAnsi="Consolas"/>
          <w:color w:val="293655"/>
          <w:sz w:val="19"/>
          <w:szCs w:val="19"/>
          <w:bdr w:val="none" w:sz="0" w:space="0" w:color="auto" w:frame="1"/>
        </w:rPr>
        <w:t>from</w:t>
      </w:r>
      <w:r>
        <w:rPr>
          <w:rFonts w:ascii="inherit" w:hAnsi="inherit"/>
          <w:color w:val="293655"/>
          <w:sz w:val="27"/>
          <w:szCs w:val="27"/>
        </w:rPr>
        <w:t> field in the </w:t>
      </w:r>
      <w:r>
        <w:rPr>
          <w:rStyle w:val="HTMLCode"/>
          <w:rFonts w:ascii="Consolas" w:eastAsiaTheme="minorHAnsi" w:hAnsi="Consolas"/>
          <w:color w:val="293655"/>
          <w:sz w:val="19"/>
          <w:szCs w:val="19"/>
          <w:bdr w:val="none" w:sz="0" w:space="0" w:color="auto" w:frame="1"/>
        </w:rPr>
        <w:t>rules</w:t>
      </w:r>
      <w:r>
        <w:rPr>
          <w:rFonts w:ascii="inherit" w:hAnsi="inherit"/>
          <w:color w:val="293655"/>
          <w:sz w:val="27"/>
          <w:szCs w:val="27"/>
        </w:rPr>
        <w:t> specifies the sources of the request</w:t>
      </w:r>
    </w:p>
    <w:p w14:paraId="74EB0D54" w14:textId="77777777" w:rsidR="000E562A" w:rsidRDefault="000E562A" w:rsidP="000E562A">
      <w:pPr>
        <w:numPr>
          <w:ilvl w:val="1"/>
          <w:numId w:val="1"/>
        </w:numPr>
        <w:shd w:val="clear" w:color="auto" w:fill="FFFFFF"/>
        <w:spacing w:after="0" w:line="240" w:lineRule="auto"/>
        <w:ind w:left="2280" w:right="120"/>
        <w:textAlignment w:val="baseline"/>
        <w:rPr>
          <w:rFonts w:ascii="inherit" w:hAnsi="inherit"/>
          <w:color w:val="293655"/>
          <w:sz w:val="27"/>
          <w:szCs w:val="27"/>
        </w:rPr>
      </w:pPr>
      <w:r>
        <w:rPr>
          <w:rFonts w:ascii="inherit" w:hAnsi="inherit"/>
          <w:color w:val="293655"/>
          <w:sz w:val="27"/>
          <w:szCs w:val="27"/>
        </w:rPr>
        <w:t>The </w:t>
      </w:r>
      <w:r>
        <w:rPr>
          <w:rStyle w:val="HTMLCode"/>
          <w:rFonts w:ascii="Consolas" w:eastAsiaTheme="minorHAnsi" w:hAnsi="Consolas"/>
          <w:color w:val="293655"/>
          <w:sz w:val="19"/>
          <w:szCs w:val="19"/>
          <w:bdr w:val="none" w:sz="0" w:space="0" w:color="auto" w:frame="1"/>
        </w:rPr>
        <w:t>to</w:t>
      </w:r>
      <w:r>
        <w:rPr>
          <w:rFonts w:ascii="inherit" w:hAnsi="inherit"/>
          <w:color w:val="293655"/>
          <w:sz w:val="27"/>
          <w:szCs w:val="27"/>
        </w:rPr>
        <w:t> field in the </w:t>
      </w:r>
      <w:r>
        <w:rPr>
          <w:rStyle w:val="HTMLCode"/>
          <w:rFonts w:ascii="Consolas" w:eastAsiaTheme="minorHAnsi" w:hAnsi="Consolas"/>
          <w:color w:val="293655"/>
          <w:sz w:val="19"/>
          <w:szCs w:val="19"/>
          <w:bdr w:val="none" w:sz="0" w:space="0" w:color="auto" w:frame="1"/>
        </w:rPr>
        <w:t>rules</w:t>
      </w:r>
      <w:r>
        <w:rPr>
          <w:rFonts w:ascii="inherit" w:hAnsi="inherit"/>
          <w:color w:val="293655"/>
          <w:sz w:val="27"/>
          <w:szCs w:val="27"/>
        </w:rPr>
        <w:t> specifies the operations of the request</w:t>
      </w:r>
    </w:p>
    <w:p w14:paraId="786B57F5" w14:textId="77777777" w:rsidR="000E562A" w:rsidRDefault="000E562A" w:rsidP="000E562A">
      <w:pPr>
        <w:numPr>
          <w:ilvl w:val="1"/>
          <w:numId w:val="1"/>
        </w:numPr>
        <w:shd w:val="clear" w:color="auto" w:fill="FFFFFF"/>
        <w:spacing w:after="0" w:line="240" w:lineRule="auto"/>
        <w:ind w:left="2280" w:right="120"/>
        <w:textAlignment w:val="baseline"/>
        <w:rPr>
          <w:rFonts w:ascii="inherit" w:hAnsi="inherit"/>
          <w:color w:val="293655"/>
          <w:sz w:val="27"/>
          <w:szCs w:val="27"/>
        </w:rPr>
      </w:pPr>
      <w:proofErr w:type="gramStart"/>
      <w:r>
        <w:rPr>
          <w:rFonts w:ascii="inherit" w:hAnsi="inherit"/>
          <w:color w:val="293655"/>
          <w:sz w:val="27"/>
          <w:szCs w:val="27"/>
        </w:rPr>
        <w:t>The </w:t>
      </w:r>
      <w:r>
        <w:rPr>
          <w:rStyle w:val="HTMLCode"/>
          <w:rFonts w:ascii="Consolas" w:eastAsiaTheme="minorHAnsi" w:hAnsi="Consolas"/>
          <w:color w:val="293655"/>
          <w:sz w:val="19"/>
          <w:szCs w:val="19"/>
          <w:bdr w:val="none" w:sz="0" w:space="0" w:color="auto" w:frame="1"/>
        </w:rPr>
        <w:t>when</w:t>
      </w:r>
      <w:proofErr w:type="gramEnd"/>
      <w:r>
        <w:rPr>
          <w:rFonts w:ascii="inherit" w:hAnsi="inherit"/>
          <w:color w:val="293655"/>
          <w:sz w:val="27"/>
          <w:szCs w:val="27"/>
        </w:rPr>
        <w:t> field specifies the conditions needed to apply the rule</w:t>
      </w:r>
    </w:p>
    <w:p w14:paraId="491A495D" w14:textId="17AB4F26" w:rsidR="000E562A" w:rsidRDefault="000E562A" w:rsidP="000E56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rlow" w:hAnsi="Barlow"/>
          <w:color w:val="293655"/>
          <w:sz w:val="27"/>
          <w:szCs w:val="27"/>
        </w:rPr>
      </w:pPr>
      <w:r>
        <w:rPr>
          <w:rFonts w:ascii="Barlow" w:hAnsi="Barlow"/>
          <w:color w:val="293655"/>
          <w:sz w:val="27"/>
          <w:szCs w:val="27"/>
        </w:rPr>
        <w:t>The following example shows an authorization policy that allows two sources, the </w:t>
      </w:r>
      <w:proofErr w:type="spellStart"/>
      <w:r>
        <w:rPr>
          <w:rStyle w:val="HTMLCode"/>
          <w:rFonts w:ascii="Consolas" w:hAnsi="Consolas"/>
          <w:color w:val="293655"/>
          <w:sz w:val="19"/>
          <w:szCs w:val="19"/>
          <w:bdr w:val="none" w:sz="0" w:space="0" w:color="auto" w:frame="1"/>
        </w:rPr>
        <w:t>cluster.local</w:t>
      </w:r>
      <w:proofErr w:type="spellEnd"/>
      <w:r>
        <w:rPr>
          <w:rStyle w:val="HTMLCode"/>
          <w:rFonts w:ascii="Consolas" w:hAnsi="Consolas"/>
          <w:color w:val="293655"/>
          <w:sz w:val="19"/>
          <w:szCs w:val="19"/>
          <w:bdr w:val="none" w:sz="0" w:space="0" w:color="auto" w:frame="1"/>
        </w:rPr>
        <w:t>/ns/default/</w:t>
      </w:r>
      <w:proofErr w:type="spellStart"/>
      <w:r>
        <w:rPr>
          <w:rStyle w:val="HTMLCode"/>
          <w:rFonts w:ascii="Consolas" w:hAnsi="Consolas"/>
          <w:color w:val="293655"/>
          <w:sz w:val="19"/>
          <w:szCs w:val="19"/>
          <w:bdr w:val="none" w:sz="0" w:space="0" w:color="auto" w:frame="1"/>
        </w:rPr>
        <w:t>sa</w:t>
      </w:r>
      <w:proofErr w:type="spellEnd"/>
      <w:r>
        <w:rPr>
          <w:rStyle w:val="HTMLCode"/>
          <w:rFonts w:ascii="Consolas" w:hAnsi="Consolas"/>
          <w:color w:val="293655"/>
          <w:sz w:val="19"/>
          <w:szCs w:val="19"/>
          <w:bdr w:val="none" w:sz="0" w:space="0" w:color="auto" w:frame="1"/>
        </w:rPr>
        <w:t>/sleep</w:t>
      </w:r>
      <w:r>
        <w:rPr>
          <w:rFonts w:ascii="Barlow" w:hAnsi="Barlow"/>
          <w:color w:val="293655"/>
          <w:sz w:val="27"/>
          <w:szCs w:val="27"/>
        </w:rPr>
        <w:t> service account and the </w:t>
      </w:r>
      <w:r>
        <w:rPr>
          <w:rStyle w:val="HTMLCode"/>
          <w:rFonts w:ascii="Consolas" w:hAnsi="Consolas"/>
          <w:color w:val="293655"/>
          <w:sz w:val="19"/>
          <w:szCs w:val="19"/>
          <w:bdr w:val="none" w:sz="0" w:space="0" w:color="auto" w:frame="1"/>
        </w:rPr>
        <w:t>dev</w:t>
      </w:r>
      <w:r>
        <w:rPr>
          <w:rFonts w:ascii="Barlow" w:hAnsi="Barlow"/>
          <w:color w:val="293655"/>
          <w:sz w:val="27"/>
          <w:szCs w:val="27"/>
        </w:rPr>
        <w:t> namespace, to access the workloads with the </w:t>
      </w:r>
      <w:r>
        <w:rPr>
          <w:rStyle w:val="HTMLCode"/>
          <w:rFonts w:ascii="Consolas" w:hAnsi="Consolas"/>
          <w:color w:val="293655"/>
          <w:sz w:val="19"/>
          <w:szCs w:val="19"/>
          <w:bdr w:val="none" w:sz="0" w:space="0" w:color="auto" w:frame="1"/>
        </w:rPr>
        <w:t xml:space="preserve">app: </w:t>
      </w:r>
      <w:proofErr w:type="spellStart"/>
      <w:r>
        <w:rPr>
          <w:rStyle w:val="HTMLCode"/>
          <w:rFonts w:ascii="Consolas" w:hAnsi="Consolas"/>
          <w:color w:val="293655"/>
          <w:sz w:val="19"/>
          <w:szCs w:val="19"/>
          <w:bdr w:val="none" w:sz="0" w:space="0" w:color="auto" w:frame="1"/>
        </w:rPr>
        <w:t>httpbin</w:t>
      </w:r>
      <w:proofErr w:type="spellEnd"/>
      <w:r>
        <w:rPr>
          <w:rFonts w:ascii="Barlow" w:hAnsi="Barlow"/>
          <w:color w:val="293655"/>
          <w:sz w:val="27"/>
          <w:szCs w:val="27"/>
        </w:rPr>
        <w:t> and </w:t>
      </w:r>
      <w:r>
        <w:rPr>
          <w:rStyle w:val="HTMLCode"/>
          <w:rFonts w:ascii="Consolas" w:hAnsi="Consolas"/>
          <w:color w:val="293655"/>
          <w:sz w:val="19"/>
          <w:szCs w:val="19"/>
          <w:bdr w:val="none" w:sz="0" w:space="0" w:color="auto" w:frame="1"/>
        </w:rPr>
        <w:t>version: v1</w:t>
      </w:r>
      <w:r>
        <w:rPr>
          <w:rFonts w:ascii="Barlow" w:hAnsi="Barlow"/>
          <w:color w:val="293655"/>
          <w:sz w:val="27"/>
          <w:szCs w:val="27"/>
        </w:rPr>
        <w:t> labels in the </w:t>
      </w:r>
      <w:r>
        <w:rPr>
          <w:rStyle w:val="HTMLCode"/>
          <w:rFonts w:ascii="Consolas" w:hAnsi="Consolas"/>
          <w:color w:val="293655"/>
          <w:sz w:val="19"/>
          <w:szCs w:val="19"/>
          <w:bdr w:val="none" w:sz="0" w:space="0" w:color="auto" w:frame="1"/>
        </w:rPr>
        <w:t>foo</w:t>
      </w:r>
      <w:r>
        <w:rPr>
          <w:rFonts w:ascii="Barlow" w:hAnsi="Barlow"/>
          <w:color w:val="293655"/>
          <w:sz w:val="27"/>
          <w:szCs w:val="27"/>
        </w:rPr>
        <w:t> namespace when requests sent have a valid JWT token.</w:t>
      </w:r>
    </w:p>
    <w:p w14:paraId="2208343B" w14:textId="2FC88397" w:rsidR="00EE276F" w:rsidRDefault="00EE276F" w:rsidP="000E56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rlow" w:hAnsi="Barlow"/>
          <w:color w:val="293655"/>
          <w:sz w:val="27"/>
          <w:szCs w:val="27"/>
        </w:rPr>
      </w:pPr>
    </w:p>
    <w:p w14:paraId="3A6D0EA0" w14:textId="04D6D0A4" w:rsidR="00EE276F" w:rsidRDefault="00EE276F" w:rsidP="000E56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rlow" w:hAnsi="Barlow"/>
          <w:color w:val="293655"/>
          <w:sz w:val="27"/>
          <w:szCs w:val="27"/>
        </w:rPr>
      </w:pPr>
    </w:p>
    <w:p w14:paraId="400EE61D" w14:textId="77777777" w:rsidR="00EE276F" w:rsidRDefault="00EE276F" w:rsidP="000E56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rlow" w:hAnsi="Barlow"/>
          <w:color w:val="293655"/>
          <w:sz w:val="27"/>
          <w:szCs w:val="27"/>
        </w:rPr>
      </w:pPr>
    </w:p>
    <w:p w14:paraId="107D5C44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apiVersion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security.istio.io/v1beta1</w:t>
      </w:r>
    </w:p>
    <w:p w14:paraId="34494A43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kind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>AuthorizationPolicy</w:t>
      </w:r>
      <w:proofErr w:type="spellEnd"/>
    </w:p>
    <w:p w14:paraId="7AB2B099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metadata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342DC9A1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>httpbin</w:t>
      </w:r>
      <w:proofErr w:type="spellEnd"/>
    </w:p>
    <w:p w14:paraId="5B9CFCA1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namespace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foo</w:t>
      </w:r>
    </w:p>
    <w:p w14:paraId="30948FD8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spec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4E5F25C3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selector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333890F1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</w:t>
      </w:r>
      <w:proofErr w:type="spellStart"/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matchLabels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1C1D44FF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app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>httpbin</w:t>
      </w:r>
      <w:proofErr w:type="spellEnd"/>
    </w:p>
    <w:p w14:paraId="29EC9D24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version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v1</w:t>
      </w:r>
    </w:p>
    <w:p w14:paraId="755531E3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ALLOW</w:t>
      </w:r>
    </w:p>
    <w:p w14:paraId="6067BA10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rules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0659E789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from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42141F94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source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190C3C12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principals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</w:rPr>
        <w:t>cluster.local</w:t>
      </w:r>
      <w:proofErr w:type="spellEnd"/>
      <w:r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</w:rPr>
        <w:t>/ns/default/</w:t>
      </w:r>
      <w:proofErr w:type="spellStart"/>
      <w:r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</w:rPr>
        <w:t>sa</w:t>
      </w:r>
      <w:proofErr w:type="spellEnd"/>
      <w:r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</w:rPr>
        <w:t>/sleep"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]</w:t>
      </w:r>
    </w:p>
    <w:p w14:paraId="05694713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source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32D850C9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namespaces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</w:rPr>
        <w:t>"dev"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]</w:t>
      </w:r>
    </w:p>
    <w:p w14:paraId="2FA0014B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to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285E5EA8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operation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476226A7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methods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</w:rPr>
        <w:t>"GET"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]</w:t>
      </w:r>
    </w:p>
    <w:p w14:paraId="1B71A36C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when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71971609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key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>request.auth.claims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>iss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]</w:t>
      </w:r>
    </w:p>
    <w:p w14:paraId="4C355320" w14:textId="169ECBC4" w:rsidR="000E562A" w:rsidRDefault="000E562A" w:rsidP="000E562A">
      <w:pPr>
        <w:pStyle w:val="HTMLPreformatted"/>
        <w:shd w:val="clear" w:color="auto" w:fill="FFFFFF"/>
        <w:textAlignment w:val="baseline"/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values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</w:rPr>
        <w:t>"https://accounts.google.com"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]</w:t>
      </w:r>
    </w:p>
    <w:p w14:paraId="64FBE0E3" w14:textId="77777777" w:rsidR="00EE276F" w:rsidRDefault="00EE276F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</w:p>
    <w:p w14:paraId="34C2D635" w14:textId="2DEF57A2" w:rsidR="000E562A" w:rsidRDefault="000E562A" w:rsidP="000E56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rlow" w:hAnsi="Barlow"/>
          <w:color w:val="293655"/>
          <w:sz w:val="27"/>
          <w:szCs w:val="27"/>
        </w:rPr>
      </w:pPr>
      <w:r>
        <w:rPr>
          <w:rFonts w:ascii="Barlow" w:hAnsi="Barlow"/>
          <w:color w:val="293655"/>
          <w:sz w:val="27"/>
          <w:szCs w:val="27"/>
        </w:rPr>
        <w:t>The following example shows an authorization policy that denies requests if the source is not the </w:t>
      </w:r>
      <w:r>
        <w:rPr>
          <w:rStyle w:val="HTMLCode"/>
          <w:rFonts w:ascii="Consolas" w:hAnsi="Consolas"/>
          <w:color w:val="293655"/>
          <w:sz w:val="19"/>
          <w:szCs w:val="19"/>
          <w:bdr w:val="none" w:sz="0" w:space="0" w:color="auto" w:frame="1"/>
        </w:rPr>
        <w:t>foo</w:t>
      </w:r>
      <w:r>
        <w:rPr>
          <w:rFonts w:ascii="Barlow" w:hAnsi="Barlow"/>
          <w:color w:val="293655"/>
          <w:sz w:val="27"/>
          <w:szCs w:val="27"/>
        </w:rPr>
        <w:t> namespace:</w:t>
      </w:r>
    </w:p>
    <w:p w14:paraId="52019C4B" w14:textId="77777777" w:rsidR="00EE276F" w:rsidRDefault="00EE276F" w:rsidP="000E56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rlow" w:hAnsi="Barlow"/>
          <w:color w:val="293655"/>
          <w:sz w:val="27"/>
          <w:szCs w:val="27"/>
        </w:rPr>
      </w:pPr>
    </w:p>
    <w:p w14:paraId="31A07217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apiVersion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security.istio.io/v1beta1</w:t>
      </w:r>
    </w:p>
    <w:p w14:paraId="7345B717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kind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>AuthorizationPolicy</w:t>
      </w:r>
      <w:proofErr w:type="spellEnd"/>
    </w:p>
    <w:p w14:paraId="548DEC48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metadata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63AE7AF8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>httpbin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>deny</w:t>
      </w:r>
    </w:p>
    <w:p w14:paraId="37B05CC1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namespace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foo</w:t>
      </w:r>
    </w:p>
    <w:p w14:paraId="03E317BB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spec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3A121C94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selector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63DF23B8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</w:t>
      </w:r>
      <w:proofErr w:type="spellStart"/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matchLabels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026A2E67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app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>httpbin</w:t>
      </w:r>
      <w:proofErr w:type="spellEnd"/>
    </w:p>
    <w:p w14:paraId="3E82CFC1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version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v1</w:t>
      </w:r>
    </w:p>
    <w:p w14:paraId="3B68EAA5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DENY</w:t>
      </w:r>
    </w:p>
    <w:p w14:paraId="42FE8A04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rules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3A019FA2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from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6B55DE12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source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</w:p>
    <w:p w14:paraId="583538AC" w14:textId="77777777" w:rsidR="000E562A" w:rsidRDefault="000E562A" w:rsidP="000E562A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      </w:t>
      </w:r>
      <w:proofErr w:type="spellStart"/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notNamespaces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936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</w:rPr>
        <w:t>"foo"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]</w:t>
      </w:r>
    </w:p>
    <w:p w14:paraId="0CCBFA20" w14:textId="77777777" w:rsidR="000E562A" w:rsidRDefault="000E562A" w:rsidP="000E562A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Barlow" w:hAnsi="Barlow"/>
          <w:color w:val="293655"/>
          <w:sz w:val="27"/>
          <w:szCs w:val="27"/>
        </w:rPr>
      </w:pPr>
      <w:r>
        <w:rPr>
          <w:rFonts w:ascii="Barlow" w:hAnsi="Barlow"/>
          <w:color w:val="293655"/>
          <w:sz w:val="27"/>
          <w:szCs w:val="27"/>
        </w:rPr>
        <w:t>The deny policy takes precedence over the allow policy. Requests matching allow policies can be denied if they match a deny policy. Istio evaluates deny policies first to ensure that an allow policy can’t bypass a deny policy.</w:t>
      </w:r>
    </w:p>
    <w:p w14:paraId="6167047C" w14:textId="77777777" w:rsidR="00C2492D" w:rsidRPr="00C2492D" w:rsidRDefault="00C2492D" w:rsidP="00C2492D">
      <w:pPr>
        <w:shd w:val="clear" w:color="auto" w:fill="FFFFFF"/>
        <w:spacing w:after="0" w:line="240" w:lineRule="auto"/>
        <w:textAlignment w:val="baseline"/>
        <w:rPr>
          <w:rFonts w:ascii="Barlow" w:eastAsia="Times New Roman" w:hAnsi="Barlow" w:cs="Times New Roman"/>
          <w:color w:val="293655"/>
          <w:sz w:val="27"/>
          <w:szCs w:val="27"/>
        </w:rPr>
      </w:pPr>
    </w:p>
    <w:p w14:paraId="5A4FB38B" w14:textId="77777777" w:rsidR="00C2492D" w:rsidRDefault="00C2492D"/>
    <w:sectPr w:rsidR="00C2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206A0" w14:textId="77777777" w:rsidR="00BB3434" w:rsidRDefault="00BB3434" w:rsidP="00C2492D">
      <w:pPr>
        <w:spacing w:after="0" w:line="240" w:lineRule="auto"/>
      </w:pPr>
      <w:r>
        <w:separator/>
      </w:r>
    </w:p>
  </w:endnote>
  <w:endnote w:type="continuationSeparator" w:id="0">
    <w:p w14:paraId="6BD62B58" w14:textId="77777777" w:rsidR="00BB3434" w:rsidRDefault="00BB3434" w:rsidP="00C2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D746A" w14:textId="77777777" w:rsidR="00BB3434" w:rsidRDefault="00BB3434" w:rsidP="00C2492D">
      <w:pPr>
        <w:spacing w:after="0" w:line="240" w:lineRule="auto"/>
      </w:pPr>
      <w:r>
        <w:separator/>
      </w:r>
    </w:p>
  </w:footnote>
  <w:footnote w:type="continuationSeparator" w:id="0">
    <w:p w14:paraId="44241E5C" w14:textId="77777777" w:rsidR="00BB3434" w:rsidRDefault="00BB3434" w:rsidP="00C2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055F6"/>
    <w:multiLevelType w:val="multilevel"/>
    <w:tmpl w:val="3146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2D"/>
    <w:rsid w:val="000E562A"/>
    <w:rsid w:val="00595000"/>
    <w:rsid w:val="006E3955"/>
    <w:rsid w:val="00BB3434"/>
    <w:rsid w:val="00C2492D"/>
    <w:rsid w:val="00EE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8536A"/>
  <w15:chartTrackingRefBased/>
  <w15:docId w15:val="{3EAD4CD9-A58A-4651-9AEF-ADDD9EF4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4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49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49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562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6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E5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3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Leven, Phil</dc:creator>
  <cp:keywords/>
  <dc:description/>
  <cp:lastModifiedBy>Leven, Phil</cp:lastModifiedBy>
  <cp:revision>4</cp:revision>
  <dcterms:created xsi:type="dcterms:W3CDTF">2023-01-19T15:50:00Z</dcterms:created>
  <dcterms:modified xsi:type="dcterms:W3CDTF">2023-01-19T17:51:00Z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2023-01-19T15:51:01Z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b254d53a-b3c6-4ba4-b424-a8b432923caa</vt:lpwstr>
  </property>
  <property fmtid="{D5CDD505-2E9C-101B-9397-08002B2CF9AE}" pid="8" name="MSIP_Label_ea60d57e-af5b-4752-ac57-3e4f28ca11dc_ContentBits">
    <vt:lpwstr>0</vt:lpwstr>
  </property>
</Properties>
</file>