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project-charter-phoenix-engine"/>
    <w:p>
      <w:pPr>
        <w:pStyle w:val="Heading1"/>
      </w:pPr>
      <w:r>
        <w:t xml:space="preserve">Project Charter: Phoenix Engine</w:t>
      </w:r>
    </w:p>
    <w:bookmarkStart w:id="20" w:name="Xf17f492077c4d38871bb2b3897401731b0b6439"/>
    <w:p>
      <w:pPr>
        <w:pStyle w:val="Heading2"/>
      </w:pPr>
      <w:r>
        <w:t xml:space="preserve">Universal Web Scraping Engine — Pure Scraping, Zero APIs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 (MVP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Product Owner (PO)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Initiated — Awaiting Kickoff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Executive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ject-identification"/>
    <w:p>
      <w:pPr>
        <w:pStyle w:val="Heading2"/>
      </w:pPr>
      <w:r>
        <w:t xml:space="preserve">1. Project Identification</w:t>
      </w:r>
    </w:p>
    <w:p>
      <w:pPr>
        <w:pStyle w:val="FirstParagraph"/>
      </w:pPr>
      <w:r>
        <w:rPr>
          <w:bCs/>
          <w:b/>
        </w:rPr>
        <w:t xml:space="preserve">Project Full Title</w:t>
      </w:r>
      <w:r>
        <w:t xml:space="preserve">: Phoenix Engine — Universal Data Collection Platform</w:t>
      </w:r>
    </w:p>
    <w:p>
      <w:pPr>
        <w:pStyle w:val="BodyText"/>
      </w:pPr>
      <w:r>
        <w:rPr>
          <w:bCs/>
          <w:b/>
        </w:rPr>
        <w:t xml:space="preserve">Codename</w:t>
      </w:r>
      <w:r>
        <w:t xml:space="preserve">: PHOENIX</w:t>
      </w:r>
    </w:p>
    <w:p>
      <w:pPr>
        <w:pStyle w:val="BodyText"/>
      </w:pPr>
      <w:r>
        <w:rPr>
          <w:bCs/>
          <w:b/>
        </w:rPr>
        <w:t xml:space="preserve">Project Classification</w:t>
      </w:r>
      <w:r>
        <w:t xml:space="preserve">: Confidential. This document and all associated materials are the intellectual property of Phoenix Consulting. Unauthorized distribution is prohibited.</w:t>
      </w:r>
    </w:p>
    <w:p>
      <w:pPr>
        <w:pStyle w:val="BodyText"/>
      </w:pPr>
      <w:r>
        <w:rPr>
          <w:bCs/>
          <w:b/>
        </w:rPr>
        <w:t xml:space="preserve">Legal Entity</w:t>
      </w:r>
      <w:r>
        <w:t xml:space="preserve">: Phoenix Consulting (Owner and Primary Stakeholder)</w:t>
      </w:r>
    </w:p>
    <w:p>
      <w:pPr>
        <w:pStyle w:val="BodyText"/>
      </w:pPr>
      <w:r>
        <w:rPr>
          <w:bCs/>
          <w:b/>
        </w:rPr>
        <w:t xml:space="preserve">Governance Model</w:t>
      </w:r>
      <w:r>
        <w:t xml:space="preserve">: Hybrid AI-Human Steering Committee. Day-to-day execution is AI-agent-driven with human oversight at defined decision gates.</w:t>
      </w:r>
    </w:p>
    <w:p>
      <w:pPr>
        <w:pStyle w:val="BodyText"/>
      </w:pPr>
      <w:r>
        <w:rPr>
          <w:bCs/>
          <w:b/>
        </w:rPr>
        <w:t xml:space="preserve">Project Tier</w:t>
      </w:r>
      <w:r>
        <w:t xml:space="preserve">: Strategic Initiative — Revenue-Critical</w:t>
      </w:r>
    </w:p>
    <w:p>
      <w:pPr>
        <w:pStyle w:val="BodyText"/>
      </w:pPr>
      <w:r>
        <w:rPr>
          <w:bCs/>
          <w:b/>
        </w:rPr>
        <w:t xml:space="preserve">Reporting Line</w:t>
      </w:r>
      <w:r>
        <w:t xml:space="preserve">: Reports to Product Owner, with escalation to Human Legal Counsel for compliance matters and Human DevRel for community-facing decisions.</w:t>
      </w:r>
    </w:p>
    <w:p>
      <w:r>
        <w:pict>
          <v:rect style="width:0;height:1.5pt" o:hralign="center" o:hrstd="t" o:hr="t"/>
        </w:pict>
      </w:r>
    </w:p>
    <w:bookmarkEnd w:id="21"/>
    <w:bookmarkStart w:id="25" w:name="project-purpose-justification"/>
    <w:p>
      <w:pPr>
        <w:pStyle w:val="Heading2"/>
      </w:pPr>
      <w:r>
        <w:t xml:space="preserve">2. Project Purpose &amp; Justification</w:t>
      </w:r>
    </w:p>
    <w:bookmarkStart w:id="22" w:name="business-problem-statement"/>
    <w:p>
      <w:pPr>
        <w:pStyle w:val="Heading3"/>
      </w:pPr>
      <w:r>
        <w:t xml:space="preserve">2.1 Business Problem Statement</w:t>
      </w:r>
    </w:p>
    <w:p>
      <w:pPr>
        <w:pStyle w:val="FirstParagraph"/>
      </w:pPr>
      <w:r>
        <w:t xml:space="preserve">Organizations and developers face critical inefficiencies when collecting structured data from online sources. Current solutions are fragmented, unreliable, and legally precarious. The following five pain points define the market opportunity: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6"/>
        <w:gridCol w:w="299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Fragmented 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must use separate tools for each platform (Instagram scrapers, Twitter APIs, web crawlers). Each has unique syntax, output formats, and failure modes.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of data collection time spent on integration and normalization rather than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Fragile 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DOM-based scrapers break when target sites update their layout. Maintenance is a continuous firefight requiring manual selector updates across dozens of pages.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scraper lifespan: 2-4 weeks before breaking. Maintenance consumes 30% of engineering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Legal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scraping tools operate in legal gray areas. Users lack clarity on terms-of-service compliance, data handling requirements, and jurisdictional obligations (GDPR, CCPA).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risk legal action, reputational damage, and data deletion orders. 68% of data teams cite legal uncertainty as a top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Inconsistent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from different sources arrives in incompatible formats (JSON, CSV, raw HTML, proprietary APIs). Normalization is manual, error-prone, and non-repeatable.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scientists spend 50-80% of project time on cleaning and formatting rather than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— Session &amp; Credential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authentication cookies, API tokens, and browser sessions across multiple platforms is ad-hoc and insecure. Credentials leak into code repositories.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 of developers admit to hardcoding credentials in scripts. Session expiration causes silent data loss.</w:t>
            </w:r>
          </w:p>
        </w:tc>
      </w:tr>
    </w:tbl>
    <w:bookmarkEnd w:id="22"/>
    <w:bookmarkStart w:id="23" w:name="strategic-alignment"/>
    <w:p>
      <w:pPr>
        <w:pStyle w:val="Heading3"/>
      </w:pPr>
      <w:r>
        <w:t xml:space="preserve">2.2 Strategic Alignment</w:t>
      </w:r>
    </w:p>
    <w:p>
      <w:pPr>
        <w:pStyle w:val="FirstParagraph"/>
      </w:pPr>
      <w:r>
        <w:t xml:space="preserve">Phoenix Engine directly supports Phoenix Consulting’s strategic objectives: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Objective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Recurring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commercialization model (Open Core → Managed Cloud → Enterprise) creates predictable ARR.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Establish Technical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Open-core library builds developer mindshare and community trust, feeding the funnel to paid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AI-First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validates AI-agent-driven development as a scalable delivery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Diversification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reliance on single-service consulting revenue through productized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Ethical by design</w:t>
            </w:r>
            <w:r>
              <w:t xml:space="preserve">”</w:t>
            </w:r>
            <w:r>
              <w:t xml:space="preserve"> </w:t>
            </w:r>
            <w:r>
              <w:t xml:space="preserve">positioning differentiates against competitors operating in legal gray zones.</w:t>
            </w:r>
          </w:p>
        </w:tc>
      </w:tr>
    </w:tbl>
    <w:bookmarkEnd w:id="23"/>
    <w:bookmarkStart w:id="24" w:name="market-opportunity"/>
    <w:p>
      <w:pPr>
        <w:pStyle w:val="Heading3"/>
      </w:pPr>
      <w:r>
        <w:t xml:space="preserve">2.3 Market Opportunity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Addressable Market (Web Data Collection)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$5.2B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Targetable Segment (Python Developers)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 active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unified open-source solution combines all 7+ platforms with ethical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Time-to-First-Value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 minutes from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to first data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roject-scope"/>
    <w:p>
      <w:pPr>
        <w:pStyle w:val="Heading2"/>
      </w:pPr>
      <w:r>
        <w:t xml:space="preserve">3. Project Scope</w:t>
      </w:r>
    </w:p>
    <w:bookmarkStart w:id="26" w:name="in-scope-deliverables"/>
    <w:p>
      <w:pPr>
        <w:pStyle w:val="Heading3"/>
      </w:pPr>
      <w:r>
        <w:t xml:space="preserve">3.1 In-Scope Deliverables</w:t>
      </w:r>
    </w:p>
    <w:p>
      <w:pPr>
        <w:pStyle w:val="FirstParagraph"/>
      </w:pPr>
      <w:r>
        <w:t xml:space="preserve">The following components are explicitly in-scope for v1.0 MVP Library delivery: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2241"/>
        <w:gridCol w:w="2540"/>
        <w:gridCol w:w="2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public profiles, posts, comments, and metadata via hybrid direct/API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tweets, profiles, threads, and engagement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video metadata, comments, and profile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public company pages, job listings, and post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public pages, posts, and event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video metadata, comments, transcripts, and channel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Generic Web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fallback for any URL — extracts article content, metadata,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Full-featured command-line interface with commands, help, progress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Importable package with programmatic API for integration into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for third-party adapter development with documented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credential storage, cookie persistence, automatic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raw source files alongside extracted data for provenance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 rate limiting with per-platform defaults and user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AI-Assisted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LLM-based fallback extraction for unknown page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JSON schema across all adapters with type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6"/>
    <w:bookmarkStart w:id="27" w:name="out-of-scope-explicitly-excluded"/>
    <w:p>
      <w:pPr>
        <w:pStyle w:val="Heading3"/>
      </w:pPr>
      <w:r>
        <w:t xml:space="preserve">3.2 Out-of-Scope (Explicitly Excluded)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Cs/>
          <w:b/>
        </w:rPr>
        <w:t xml:space="preserve">explicitly excluded</w:t>
      </w:r>
      <w:r>
        <w:t xml:space="preserve"> </w:t>
      </w:r>
      <w:r>
        <w:t xml:space="preserve">from v1.0 and require separate authorization: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388"/>
        <w:gridCol w:w="1885"/>
        <w:gridCol w:w="27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if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CAPTCHA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terms of service on virtually all platforms. Legal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bans, legal action, reputational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Botting, automated posting, follow/unfollow operations. Platform TOS violations.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platform bans, criminal liability in some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of non-public content (private accounts, DMs, restricted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violation fines up to 4% global revenue; criminal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Impersonation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Faking user agents, mimicking real browsers deceptively, forging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CFAA liability (US); fraud charges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Cloud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is local/self-hosted only. Cloud tier is v1.x roadmap item.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creep; delays MVP by 6-8 weeks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SaaS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hosting, SLA guarantees, team management. v2.x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triple engineering effort; violates MVP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WebSocket-based live data feeds. Batch collection only for v1.0.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complexity incompatible with 18-week timeline</w:t>
            </w:r>
          </w:p>
        </w:tc>
      </w:tr>
    </w:tbl>
    <w:bookmarkEnd w:id="27"/>
    <w:bookmarkStart w:id="28" w:name="scope-change-control"/>
    <w:p>
      <w:pPr>
        <w:pStyle w:val="Heading3"/>
      </w:pPr>
      <w:r>
        <w:t xml:space="preserve">3.3 Scope Change Control</w:t>
      </w:r>
    </w:p>
    <w:p>
      <w:pPr>
        <w:pStyle w:val="FirstParagraph"/>
      </w:pPr>
      <w:r>
        <w:t xml:space="preserve">All scope changes require:</w:t>
      </w:r>
      <w:r>
        <w:t xml:space="preserve"> </w:t>
      </w:r>
      <w:r>
        <w:t xml:space="preserve">1. Written change request with business justification</w:t>
      </w:r>
      <w:r>
        <w:t xml:space="preserve"> </w:t>
      </w:r>
      <w:r>
        <w:t xml:space="preserve">2. Impact assessment (time, cost, quality, risk) by AI Tech Lead</w:t>
      </w:r>
      <w:r>
        <w:t xml:space="preserve"> </w:t>
      </w:r>
      <w:r>
        <w:t xml:space="preserve">3. Legal review by Human Legal Counsel if involving data sources or extraction methods</w:t>
      </w:r>
      <w:r>
        <w:t xml:space="preserve"> </w:t>
      </w:r>
      <w:r>
        <w:t xml:space="preserve">4. Approval by Product Owner for P1 items; Human Steering Committee for P0 changes</w:t>
      </w:r>
      <w:r>
        <w:t xml:space="preserve"> </w:t>
      </w:r>
      <w:r>
        <w:t xml:space="preserve">5. Documentation update within 24 hours of approval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roject-objectives-smart"/>
    <w:p>
      <w:pPr>
        <w:pStyle w:val="Heading2"/>
      </w:pPr>
      <w:r>
        <w:t xml:space="preserve">4. Project Objectives (SMART)</w:t>
      </w:r>
    </w:p>
    <w:bookmarkStart w:id="30" w:name="primary-objectives"/>
    <w:p>
      <w:pPr>
        <w:pStyle w:val="Heading3"/>
      </w:pPr>
      <w:r>
        <w:t xml:space="preserve">4.1 Primary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8"/>
        <w:gridCol w:w="1110"/>
        <w:gridCol w:w="1036"/>
        <w:gridCol w:w="1184"/>
        <w:gridCol w:w="1184"/>
        <w:gridCol w:w="1036"/>
        <w:gridCol w:w="1184"/>
        <w:gridCol w:w="6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7 platform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adapters (Instagram, X, TikTok, LinkedIn, Facebook, YouTube, Generic Web)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passing for each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capacity + plugin architecture supports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product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9 (Phase 2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adapters with ≥80% test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4-step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→ Decide → Collect → Deliver operational for any supported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 passes for URL from each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designed for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 (Phase 1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URL acceptance rate for supported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 time-to-first-value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data collection within 15 minutes of pip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via telemetry on fresh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focused on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15 (Phase 5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 min median time-to-first-collection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output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JSON schema across all adapters with typed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passes for all adapter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Normalizer component 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science user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 (Phase 1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output compliance to schema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compliance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GDPR/CCPA-aligned data handling, ToS-respecting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 checklist complete; no P0 compliance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 assigned; legal counsel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mitigation; brand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17 (Phase 6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compliance violations in security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SDK for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adapter development framework with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published with working example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interfaces from Phase 2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15 (Phase 5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example plugin built in &lt;2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Sub-30-second collection for standard content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suite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for browser-based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16 (Phase 6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&lt;30s for single-page standard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repository with contribution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 public with README, issues,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assigned; documentation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18 (Phase 7 exit)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GitHub stars in first 48 hours post-launch</w:t>
            </w:r>
          </w:p>
        </w:tc>
      </w:tr>
    </w:tbl>
    <w:bookmarkEnd w:id="30"/>
    <w:bookmarkStart w:id="31" w:name="secondary-objectives"/>
    <w:p>
      <w:pPr>
        <w:pStyle w:val="Heading3"/>
      </w:pPr>
      <w:r>
        <w:t xml:space="preserve">4.2 Secondary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2762"/>
        <w:gridCol w:w="1657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of docs /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 pages per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Actionable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 of errors include remediation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≥98% over final 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analysis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A (no critical/major issues)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success-criteria"/>
    <w:p>
      <w:pPr>
        <w:pStyle w:val="Heading2"/>
      </w:pPr>
      <w:r>
        <w:t xml:space="preserve">5. Success Criteria</w:t>
      </w:r>
    </w:p>
    <w:bookmarkStart w:id="33" w:name="quantitative-measures"/>
    <w:p>
      <w:pPr>
        <w:pStyle w:val="Heading3"/>
      </w:pPr>
      <w:r>
        <w:t xml:space="preserve">5.1 Quantitative Measures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3"/>
        <w:gridCol w:w="1563"/>
        <w:gridCol w:w="2501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7 adapters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 on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line coverage, ≥70% 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pytest-cov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Install-to-collection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 minutes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environment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&lt;30s for standard single-page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benchmark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critical/high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+ Safety + 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items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package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success rate ≥99%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installs across Python 3.9-3.12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public API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 generation +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exit gate</w:t>
            </w:r>
          </w:p>
        </w:tc>
      </w:tr>
    </w:tbl>
    <w:bookmarkEnd w:id="33"/>
    <w:bookmarkStart w:id="34" w:name="qualitative-measures"/>
    <w:p>
      <w:pPr>
        <w:pStyle w:val="Heading3"/>
      </w:pPr>
      <w:r>
        <w:t xml:space="preserve">5.2 Qualitative Measures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84"/>
        <w:gridCol w:w="3350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PRs require AI Tech Lead approval; ≤3 review rounds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consistency review — all decisions traceable to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experience smoothness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test: new user installs and collects without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Ethical design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 sign-off on all data handling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assessment of repo, docs, and onboarding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DevRel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debt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items documented, ≤5 P2 debt items at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stakeholder-register"/>
    <w:p>
      <w:pPr>
        <w:pStyle w:val="Heading2"/>
      </w:pPr>
      <w:r>
        <w:t xml:space="preserve">6. Stakeholder Register</w:t>
      </w:r>
    </w:p>
    <w:bookmarkStart w:id="36" w:name="ai-team-stakeholders"/>
    <w:p>
      <w:pPr>
        <w:pStyle w:val="Heading3"/>
      </w:pPr>
      <w:r>
        <w:t xml:space="preserve">6.1 AI Team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4"/>
        <w:gridCol w:w="1518"/>
        <w:gridCol w:w="2278"/>
        <w:gridCol w:w="1084"/>
        <w:gridCol w:w="1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planning, risk tracking, status reporting, stakeholder communication, timeline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planning,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decisions, code review, technical standards, ADR ownership, technical debt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technical quality,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Backend Engineer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engine: URL receiver, mode selector, pipeline orchestrator, error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engine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Backend Engineer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adapters: Instagram, X/Twitter, TikTok, LinkedIn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social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Backend Engineer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adapters: Facebook, YouTube, Generic Web; Plugin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web adapters +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infrastructure, monitoring, packaging, deployment pipelines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ops,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AI-QA-01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strategy, test automation, quality gates, bug triage, 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quality,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gate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 alignment, ToS compliance review, data handling audit, legal risk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compliance,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legal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Technical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docs, README, quick-start guide, architecture docs, plugin development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esponsible for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async</w:t>
            </w:r>
          </w:p>
        </w:tc>
      </w:tr>
    </w:tbl>
    <w:bookmarkEnd w:id="36"/>
    <w:bookmarkStart w:id="37" w:name="human-stakeholders"/>
    <w:p>
      <w:pPr>
        <w:pStyle w:val="Heading3"/>
      </w:pPr>
      <w:r>
        <w:t xml:space="preserve">6.2 Human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079"/>
        <w:gridCol w:w="2079"/>
        <w:gridCol w:w="990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Name/Identifier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prioritization, acceptance criteria, market fit, stakeholder 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ccountable for product success;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  <w:r>
              <w:t xml:space="preserve">nformed on all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hours; 24h SLA for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 review, compliance validation, risk assessment, IP protection, liability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onsulted on all legal/compliance matters;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ccountable for legal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SLA for legal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DevRel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strategy, launch planning, content, event participation, feedback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onsulted on DX and community;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esponsible for launch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hours; 72h SLA for community matters</w:t>
            </w:r>
          </w:p>
        </w:tc>
      </w:tr>
    </w:tbl>
    <w:bookmarkEnd w:id="37"/>
    <w:bookmarkStart w:id="38" w:name="raci-matrix-by-workstream"/>
    <w:p>
      <w:pPr>
        <w:pStyle w:val="Heading3"/>
      </w:pPr>
      <w:r>
        <w:t xml:space="preserve">6.3 RACI Matrix by Workstream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544"/>
        <w:gridCol w:w="544"/>
        <w:gridCol w:w="594"/>
        <w:gridCol w:w="594"/>
        <w:gridCol w:w="594"/>
        <w:gridCol w:w="544"/>
        <w:gridCol w:w="544"/>
        <w:gridCol w:w="544"/>
        <w:gridCol w:w="544"/>
        <w:gridCol w:w="693"/>
        <w:gridCol w:w="693"/>
        <w:gridCol w:w="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Release/Launch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iCs/>
          <w:i/>
        </w:rPr>
        <w:t xml:space="preserve">R = Responsible, A = Accountable, C = Consulted, I = Informed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udget-framework"/>
    <w:p>
      <w:pPr>
        <w:pStyle w:val="Heading2"/>
      </w:pPr>
      <w:r>
        <w:t xml:space="preserve">7. Budget Framework</w:t>
      </w:r>
    </w:p>
    <w:bookmarkStart w:id="40" w:name="resource-allocation-by-phase"/>
    <w:p>
      <w:pPr>
        <w:pStyle w:val="Heading3"/>
      </w:pPr>
      <w:r>
        <w:t xml:space="preserve">7.1 Resource Allocation by Phase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0"/>
        <w:gridCol w:w="770"/>
        <w:gridCol w:w="1121"/>
        <w:gridCol w:w="1331"/>
        <w:gridCol w:w="1541"/>
        <w:gridCol w:w="1191"/>
        <w:gridCol w:w="11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Platform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(LLM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Developer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Quality &amp;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 — Release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8 — Post-Launch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v1.0 (18 weeks)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~150%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~100%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~100%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~55%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~405% baseline</w:t>
            </w:r>
          </w:p>
        </w:tc>
      </w:tr>
    </w:tbl>
    <w:p>
      <w:pPr>
        <w:pStyle w:val="BodyText"/>
      </w:pPr>
      <w:r>
        <w:rPr>
          <w:iCs/>
          <w:i/>
        </w:rPr>
        <w:t xml:space="preserve">Percentages are relative to a weekly baseline AI compute unit. Actual dollar amounts are confidential and maintained in the financial appendix.</w:t>
      </w:r>
    </w:p>
    <w:bookmarkEnd w:id="40"/>
    <w:bookmarkStart w:id="41" w:name="cost-categories"/>
    <w:p>
      <w:pPr>
        <w:pStyle w:val="Heading3"/>
      </w:pPr>
      <w:r>
        <w:t xml:space="preserve">7.2 Cost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9"/>
        <w:gridCol w:w="2864"/>
        <w:gridCol w:w="2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consumption, model inference, agent execution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compute, CI/CD runners, storage, preview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APIs (AI extraction), browser automation cloud, proxy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for scope changes, technical surprises, additional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audit, legal review fees, compliance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bookmarkEnd w:id="41"/>
    <w:bookmarkStart w:id="42" w:name="budget-control"/>
    <w:p>
      <w:pPr>
        <w:pStyle w:val="Heading3"/>
      </w:pPr>
      <w:r>
        <w:t xml:space="preserve">7.3 Budget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Weekly burn rate tracked</w:t>
      </w:r>
      <w:r>
        <w:t xml:space="preserve"> </w:t>
      </w:r>
      <w:r>
        <w:t xml:space="preserve">by AI PM via automated dashboard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10% threshold rule</w:t>
      </w:r>
      <w:r>
        <w:t xml:space="preserve">: If any phase exceeds budget by &gt;10%, automatic escalation to Human PO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Contingency release</w:t>
      </w:r>
      <w:r>
        <w:t xml:space="preserve">: Requires Human PO approval for any draw on 15% contingency reserve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gate financial review</w:t>
      </w:r>
      <w:r>
        <w:t xml:space="preserve">: Budget vs. actual reported at every phase exit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high-level-timeline"/>
    <w:p>
      <w:pPr>
        <w:pStyle w:val="Heading2"/>
      </w:pPr>
      <w:r>
        <w:t xml:space="preserve">8. High-Level Timeline</w:t>
      </w:r>
    </w:p>
    <w:bookmarkStart w:id="44" w:name="master-schedule-18-weeks"/>
    <w:p>
      <w:pPr>
        <w:pStyle w:val="Heading3"/>
      </w:pPr>
      <w:r>
        <w:t xml:space="preserve">8.1 Master Schedule (18 Weeks)</w:t>
      </w:r>
    </w:p>
    <w:p>
      <w:pPr>
        <w:pStyle w:val="SourceCode"/>
      </w:pPr>
      <w:r>
        <w:rPr>
          <w:rStyle w:val="VerbatimChar"/>
        </w:rPr>
        <w:t xml:space="preserve">Week:  1  2  3  4  5  6  7  8  9  10 11 12 13 14 15 16 17 18</w:t>
      </w:r>
      <w:r>
        <w:br/>
      </w:r>
      <w:r>
        <w:rPr>
          <w:rStyle w:val="VerbatimChar"/>
        </w:rPr>
        <w:t xml:space="preserve">       |--P0--|--P1-----|--P2-----------|--P3--|--P4--|--P5--|--P6--|--P7--|</w:t>
      </w:r>
      <w:r>
        <w:br/>
      </w:r>
      <w:r>
        <w:rPr>
          <w:rStyle w:val="VerbatimChar"/>
        </w:rPr>
        <w:t xml:space="preserve">       [==== Foundation ====]</w:t>
      </w:r>
      <w:r>
        <w:br/>
      </w:r>
      <w:r>
        <w:rPr>
          <w:rStyle w:val="VerbatimChar"/>
        </w:rPr>
        <w:t xml:space="preserve">              [======= Core Engine =======]</w:t>
      </w:r>
      <w:r>
        <w:br/>
      </w:r>
      <w:r>
        <w:rPr>
          <w:rStyle w:val="VerbatimChar"/>
        </w:rPr>
        <w:t xml:space="preserve">                          [======= Adapters =========]</w:t>
      </w:r>
      <w:r>
        <w:br/>
      </w:r>
      <w:r>
        <w:rPr>
          <w:rStyle w:val="VerbatimChar"/>
        </w:rPr>
        <w:t xml:space="preserve">                                          [== AI ==]</w:t>
      </w:r>
      <w:r>
        <w:br/>
      </w:r>
      <w:r>
        <w:rPr>
          <w:rStyle w:val="VerbatimChar"/>
        </w:rPr>
        <w:t xml:space="preserve">                                                [== Infra ==]</w:t>
      </w:r>
      <w:r>
        <w:br/>
      </w:r>
      <w:r>
        <w:rPr>
          <w:rStyle w:val="VerbatimChar"/>
        </w:rPr>
        <w:t xml:space="preserve">                                                      [== DX ==]</w:t>
      </w:r>
      <w:r>
        <w:br/>
      </w:r>
      <w:r>
        <w:rPr>
          <w:rStyle w:val="VerbatimChar"/>
        </w:rPr>
        <w:t xml:space="preserve">                                                            [== QA ==]</w:t>
      </w:r>
      <w:r>
        <w:br/>
      </w:r>
      <w:r>
        <w:rPr>
          <w:rStyle w:val="VerbatimChar"/>
        </w:rPr>
        <w:t xml:space="preserve">                                                                   [Rel]</w:t>
      </w:r>
    </w:p>
    <w:bookmarkEnd w:id="44"/>
    <w:bookmarkStart w:id="45" w:name="milestone-gates"/>
    <w:p>
      <w:pPr>
        <w:pStyle w:val="Heading3"/>
      </w:pPr>
      <w:r>
        <w:t xml:space="preserve">8.2 Milestone Gates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911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approved, team assigned, repo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approved, CI passing, standards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 + Human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4-step pipeline functional for all URL types, 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QA Lead + AI 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adapters functional, ≥80% coverage, integration tests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QA Lead + Human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fallback working, smart retry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 + AI QA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persist, storage tested, rate limits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DevOps + AI QA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Install-to-collect &lt;15 min, docs complete, SDK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DevRel + Human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gates passed, security scan clean, compliance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Compliance + Human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published, docs live, announcement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 + Human DevRel</w:t>
            </w:r>
          </w:p>
        </w:tc>
      </w:tr>
    </w:tbl>
    <w:bookmarkEnd w:id="45"/>
    <w:bookmarkStart w:id="46" w:name="critical-path"/>
    <w:p>
      <w:pPr>
        <w:pStyle w:val="Heading3"/>
      </w:pPr>
      <w:r>
        <w:t xml:space="preserve">8.3 Critical Path</w:t>
      </w:r>
    </w:p>
    <w:p>
      <w:pPr>
        <w:pStyle w:val="FirstParagraph"/>
      </w:pPr>
      <w:r>
        <w:t xml:space="preserve">The critical path runs through:</w:t>
      </w:r>
      <w:r>
        <w:t xml:space="preserve"> </w:t>
      </w:r>
      <w:r>
        <w:rPr>
          <w:bCs/>
          <w:b/>
        </w:rPr>
        <w:t xml:space="preserve">Architecture Lock → Engine Ready → Adapters Complete → Quality Certified → Public Launch</w:t>
      </w:r>
      <w:r>
        <w:t xml:space="preserve">. Any delay in Phase 2 (Adapters) directly compresses Phase 6 (Quality) or delays launch. Phase 3 (Intelligence) and Phase 5 (DX) are on parallel paths and can be compressed if needed.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pproval-authority"/>
    <w:p>
      <w:pPr>
        <w:pStyle w:val="Heading2"/>
      </w:pPr>
      <w:r>
        <w:t xml:space="preserve">9. Approval Authority</w:t>
      </w:r>
    </w:p>
    <w:bookmarkStart w:id="48" w:name="decision-rights-matrix"/>
    <w:p>
      <w:pPr>
        <w:pStyle w:val="Heading3"/>
      </w:pPr>
      <w:r>
        <w:t xml:space="preserve">9.1 Decision Rights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48"/>
        <w:gridCol w:w="1857"/>
        <w:gridCol w:w="2053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Maker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 (if &gt;5% scope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changes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 + 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changes 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allocation (within 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reallocation across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Compliance/legal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counsel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 + AI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DevRel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Hiring/resource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</w:tbl>
    <w:bookmarkEnd w:id="48"/>
    <w:bookmarkStart w:id="49" w:name="escalation-protocol"/>
    <w:p>
      <w:pPr>
        <w:pStyle w:val="Heading3"/>
      </w:pPr>
      <w:r>
        <w:t xml:space="preserve">9.2 Escalation Protocol</w:t>
      </w:r>
    </w:p>
    <w:p>
      <w:pPr>
        <w:pStyle w:val="SourceCode"/>
      </w:pPr>
      <w:r>
        <w:rPr>
          <w:rStyle w:val="VerbatimChar"/>
        </w:rPr>
        <w:t xml:space="preserve">Level 1: Agent-to-Agent Resolution (24h)</w:t>
      </w:r>
      <w:r>
        <w:br/>
      </w:r>
      <w:r>
        <w:rPr>
          <w:rStyle w:val="VerbatimChar"/>
        </w:rPr>
        <w:t xml:space="preserve">    ↓ Unresolved</w:t>
      </w:r>
      <w:r>
        <w:br/>
      </w:r>
      <w:r>
        <w:rPr>
          <w:rStyle w:val="VerbatimChar"/>
        </w:rPr>
        <w:t xml:space="preserve">Level 2: AI PM Mediation (24h)</w:t>
      </w:r>
      <w:r>
        <w:br/>
      </w:r>
      <w:r>
        <w:rPr>
          <w:rStyle w:val="VerbatimChar"/>
        </w:rPr>
        <w:t xml:space="preserve">    ↓ Unresolved</w:t>
      </w:r>
      <w:r>
        <w:br/>
      </w:r>
      <w:r>
        <w:rPr>
          <w:rStyle w:val="VerbatimChar"/>
        </w:rPr>
        <w:t xml:space="preserve">Level 3: Human PO Decision (48h)</w:t>
      </w:r>
      <w:r>
        <w:br/>
      </w:r>
      <w:r>
        <w:rPr>
          <w:rStyle w:val="VerbatimChar"/>
        </w:rPr>
        <w:t xml:space="preserve">    ↓ Unresolved</w:t>
      </w:r>
      <w:r>
        <w:br/>
      </w:r>
      <w:r>
        <w:rPr>
          <w:rStyle w:val="VerbatimChar"/>
        </w:rPr>
        <w:t xml:space="preserve">Level 4: Steering Committee (72h)</w:t>
      </w:r>
      <w:r>
        <w:br/>
      </w:r>
      <w:r>
        <w:rPr>
          <w:rStyle w:val="VerbatimChar"/>
        </w:rPr>
        <w:t xml:space="preserve">    ↓ Unresolved</w:t>
      </w:r>
      <w:r>
        <w:br/>
      </w:r>
      <w:r>
        <w:rPr>
          <w:rStyle w:val="VerbatimChar"/>
        </w:rPr>
        <w:t xml:space="preserve">Level 5: Executive Override (1 week)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ssumptions-constraints"/>
    <w:p>
      <w:pPr>
        <w:pStyle w:val="Heading2"/>
      </w:pPr>
      <w:r>
        <w:t xml:space="preserve">10. Assumptions &amp; Constraints</w:t>
      </w:r>
    </w:p>
    <w:bookmarkStart w:id="51" w:name="technical-assumptions"/>
    <w:p>
      <w:pPr>
        <w:pStyle w:val="Heading3"/>
      </w:pPr>
      <w:r>
        <w:t xml:space="preserve">10.1 Technical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9"/>
        <w:gridCol w:w="2013"/>
        <w:gridCol w:w="2818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if 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3.9-3.12 compatibility is sufficient for target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adoption if users require 3.8 or 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PyPI download stats by Python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Playwright/Selenium hybrid approach handles all target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sites may block automation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direct-request fallback; AI extraction as tertiary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LLM APIs (or low-cost endpoints) sufficient for AI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overrun if high token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budget caps; graceful degradation to non-AI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public APIs remain stable during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changes break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API health checks; adapter version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 packaging and distribution meets user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users may require private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private registry setup; Conda package as v1.x</w:t>
            </w:r>
          </w:p>
        </w:tc>
      </w:tr>
    </w:tbl>
    <w:bookmarkEnd w:id="51"/>
    <w:bookmarkStart w:id="52" w:name="legal-constraints"/>
    <w:p>
      <w:pPr>
        <w:pStyle w:val="Heading3"/>
      </w:pPr>
      <w:r>
        <w:t xml:space="preserve">10.2 Legal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121"/>
        <w:gridCol w:w="1697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extraction of private/restricted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validation checks visibility before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extraction must respect 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content may be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robots.txt check in mode selector; logged when honored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Article 6 lawful basis required for EU 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handling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Pseudonymization by default; data minimization; retention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 consumer rights apply to California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and deletion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rights endpoint documented; deletion capability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Terms of Service must be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behavior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 review per platform; compliance checklist in ADRs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 storage in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engineering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(AES-256); keychain integration</w:t>
            </w:r>
          </w:p>
        </w:tc>
      </w:tr>
    </w:tbl>
    <w:bookmarkEnd w:id="52"/>
    <w:bookmarkStart w:id="53" w:name="operational-constraints"/>
    <w:p>
      <w:pPr>
        <w:pStyle w:val="Heading3"/>
      </w:pPr>
      <w:r>
        <w:t xml:space="preserve">10.3 Operational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8"/>
        <w:gridCol w:w="2376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18-week hard deadline for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must be ruthlessly prioritized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scope locked; v1.x roadmap for deferred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AI-agent-only execution for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human coding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human contractors if agent capacity insufficient (contingency)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code must be reviewable by 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bottleneck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review queues; 24h SLA for all PRs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must be AI-generated and AI-maintainable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depends on AI TW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at phase gates for critical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tolerance for legal/compliance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review at every phase; Human Legal at gates</w:t>
            </w:r>
          </w:p>
        </w:tc>
      </w:tr>
    </w:tbl>
    <w:bookmarkEnd w:id="53"/>
    <w:bookmarkStart w:id="54" w:name="risk-register-summary"/>
    <w:p>
      <w:pPr>
        <w:pStyle w:val="Heading3"/>
      </w:pPr>
      <w:r>
        <w:t xml:space="preserve">10.4 Risk Register (Summary)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6"/>
        <w:gridCol w:w="1182"/>
        <w:gridCol w:w="1891"/>
        <w:gridCol w:w="1418"/>
        <w:gridCol w:w="1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blocks scraping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 fallback; respectful rate limiting; ToS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challenge to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review; ethical design; no private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costs exceed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caps; caching; graceful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18-week timeline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buffer tracking; scope freeze at Week 14; contingency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gates fail at Week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testing from Week 1; early security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adoption below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DevRel engagement; documentation quality; quick-start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capacity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workstreams; clear interfaces; human contractor contingency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charter-approval"/>
    <w:p>
      <w:pPr>
        <w:pStyle w:val="Heading2"/>
      </w:pPr>
      <w:r>
        <w:t xml:space="preserve">11. Charter Approval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2"/>
        <w:gridCol w:w="1745"/>
        <w:gridCol w:w="1879"/>
        <w:gridCol w:w="1342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Name/ID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charter is a living document. All changes must be versioned and approved by the Human Product Owner. The authoritative version resides in the project repository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/docs/charter.md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Next Document Reference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03-Phases &amp; Milestones</w:t>
        </w:r>
      </w:hyperlink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03-phases-milest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03-phases-milest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2026-06-23T03:34:59Z</dcterms:created>
  <dcterms:modified xsi:type="dcterms:W3CDTF">2026-06-23T03:34:59Z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