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C4A1D2" w14:textId="77777777" w:rsidR="00703D80" w:rsidRPr="00CC434B" w:rsidRDefault="00000000">
      <w:pPr>
        <w:pStyle w:val="Overskrift2"/>
        <w:rPr>
          <w:lang w:val="en-GB"/>
        </w:rPr>
      </w:pPr>
      <w:bookmarkStart w:id="0" w:name="introduction"/>
      <w:r w:rsidRPr="00CC434B">
        <w:rPr>
          <w:lang w:val="en-GB"/>
        </w:rPr>
        <w:t>Introduction</w:t>
      </w:r>
    </w:p>
    <w:p w14:paraId="0480B7D4" w14:textId="7E4048A1" w:rsidR="00703D80" w:rsidRDefault="00000000">
      <w:pPr>
        <w:pStyle w:val="FirstParagraph"/>
      </w:pPr>
      <w:r>
        <w:t xml:space="preserve">Aging is characterized by a progressive decline in most biological functions leading to reduced vitality, increased risk of diseases and eventually death (Gyenis et al., 2023; Keshavarz et al., </w:t>
      </w:r>
      <w:r w:rsidR="00022FEF">
        <w:t>2023;</w:t>
      </w:r>
      <w:r>
        <w:t xml:space="preserve"> López-Otín et al., 2013; Schaum et al., 2020) . Physiologically, aging is associated with the induction of different stress response pathways in different cells, tissues and species (Stegeman and Weake, 2017; Welle et al., 2003). Aging and aging-like phenotypes are also associated with increased mis-splicing (Angarola and Anczuków, 2021 ; García-Ruiz et al., 2023 ; Nishida et al., 2015 ; Holly et al., 2013; Latorre and Harries, 2017; Mariotti et al., 2022; Pabis et al., 2024; Stegeman and Weake, 2017) as a result of alterations in the expression of splicing factors ; a resilience strategy aimed at counteracting aging-induced damages and loss of function (Ferrucci et al., 2022 ; Ubaida-Mohien et al., 2019b).</w:t>
      </w:r>
    </w:p>
    <w:p w14:paraId="5918FEE1" w14:textId="77777777" w:rsidR="00703D80" w:rsidRDefault="00000000">
      <w:pPr>
        <w:pStyle w:val="Brdtekst"/>
      </w:pPr>
      <w:r>
        <w:t xml:space="preserve">Intron retention (IR) is the major form of alternative splicing that is affected by aging (Bhadra et al., 2020; Kodama et al., 2024; Mariotti et al., 2022). It mostly affects protein-coding genes thus resulting in a transcriptomic and proteomic diversity that could influence cellular plasticity. IR occurs when a full intron, or parts of an intron in a mature messenger RNA (mRNA) is retained during splicing, resulting in the presence of an unprocessed sequence in the mRNA. The retention leads either to the degradation of the IR-containing transcripts through nonsense-mediated decay or the action of nucleases; or to frameshifts that cause the generation of alternative protein isoforms (Baralle and Romano, 2023 ; Zheng et al., 2020 ; Jacob and Smith, 2017 ; Mauger et al., 2016; Monteuuis et al., 2019; Wong and Schmitz, 2022 ). IR predominantly occurs in transcripts that lack physiological relevance in cells and tissues they are detected in (Braunschweig et al., 2014). Increase in IR is a signature of the aging process (Adusumalli et al., 2019; Baralle and Romano, 2023; Bhadra et al., 2020) and is often measured in terms of splicing efficiency which </w:t>
      </w:r>
      <w:r>
        <w:lastRenderedPageBreak/>
        <w:t>describes the amount of introns retained in a mature mRNA. Splicing efficiency is cell and tissue specific (Baralle and Romano, 2023; Nishida et al., 2015) but tends to be similar between the introns of a gene (Sánchez-Escabias et al., 2022) . Besides aging, poor splicing efficiency has also been linked to human diseases like alpha thalassemia (Nelson et al., 2005) , inflammatory bowel disease (Häsler et al., 2011) , neurodegenerative diseases (Ong and Adusumalli, 2020 ; Sznajder et al., 2018) and an increased risk of certain cancers (Dvinge and Bradley, 2015 ; Inoue et al., 2021 ; Shah et al., 2022).</w:t>
      </w:r>
    </w:p>
    <w:p w14:paraId="2EF6E6CA" w14:textId="77777777" w:rsidR="00703D80" w:rsidRDefault="00000000">
      <w:pPr>
        <w:pStyle w:val="Brdtekst"/>
      </w:pPr>
      <w:r>
        <w:t xml:space="preserve">Progressive resistance exercise training (RT) describes the type of physical exercise training where the skeletal muscle is exercised against progressively increased types of resistance (Liu and Latham, 2009). The benefits of RT include improvements in muscle strength, muscle mass, bone density, mRNA splicing (Kodama et al., 2024) and several other major hallmarks of aging Garatachea et al. (2015) . RT could thus be a potent preventive or treatment strategy for improving aging-related functional disabilities associated with the aging skeletal muscle (Peterson et al., 2011 ; Kryger and Andersen, 2007 ; Lu et al., 2021 )as well as for improving cardiorespiratory fitness in older persons (Smart et al., 2022). A lot is currently known about adaptive responses to RT. However, intron retention in response to RT is relatively unexplored in healthy individuals . If increased intron retention is linked to disease conditions and RT correlates to improved health condition, it should be important to investigate if the benefits of RT include improved splicing efficiency. This study is aimed at investigating differentially spliced introns in human </w:t>
      </w:r>
      <w:r>
        <w:rPr>
          <w:i/>
          <w:iCs/>
        </w:rPr>
        <w:t>vastus lateralis</w:t>
      </w:r>
      <w:r>
        <w:t xml:space="preserve"> with increasing age, and how about 12 weeks of RT can affect splicing efficiency. This study will hopefully generate more insights into the molecular mediators of response to RT.</w:t>
      </w:r>
    </w:p>
    <w:p w14:paraId="36734455" w14:textId="77777777" w:rsidR="00022FEF" w:rsidRDefault="00022FEF">
      <w:pPr>
        <w:pStyle w:val="Brdtekst"/>
      </w:pPr>
    </w:p>
    <w:p w14:paraId="3A041873" w14:textId="497518AF" w:rsidR="00022FEF" w:rsidRDefault="00022FEF" w:rsidP="00022FEF">
      <w:pPr>
        <w:jc w:val="center"/>
        <w:rPr>
          <w:b/>
          <w:bCs/>
        </w:rPr>
      </w:pPr>
      <w:bookmarkStart w:id="1" w:name="results"/>
      <w:bookmarkStart w:id="2" w:name="discussion"/>
      <w:bookmarkStart w:id="3" w:name="shortcoming"/>
      <w:bookmarkStart w:id="4" w:name="ref-adusumalli_increased_2019"/>
      <w:bookmarkStart w:id="5" w:name="refs"/>
      <w:bookmarkEnd w:id="0"/>
      <w:r>
        <w:rPr>
          <w:b/>
          <w:bCs/>
        </w:rPr>
        <w:lastRenderedPageBreak/>
        <w:t>References</w:t>
      </w:r>
    </w:p>
    <w:p w14:paraId="0193039F" w14:textId="1816B400" w:rsidR="00703D80" w:rsidRDefault="00000000">
      <w:proofErr w:type="spellStart"/>
      <w:r>
        <w:rPr>
          <w:b/>
          <w:bCs/>
        </w:rPr>
        <w:t>Adusumalli</w:t>
      </w:r>
      <w:proofErr w:type="spellEnd"/>
      <w:r>
        <w:rPr>
          <w:b/>
          <w:bCs/>
        </w:rPr>
        <w:t>, S., Ngian, Z.-K., Lin, W.-Q., Benoukraf, T. and Ong, C.-T.</w:t>
      </w:r>
      <w:r>
        <w:t xml:space="preserve"> (2019). </w:t>
      </w:r>
      <w:hyperlink r:id="rId7">
        <w:r>
          <w:t>Increased intron retention is a post-transcriptional signature associated with progressive aging and alzheimer’s disease.</w:t>
        </w:r>
      </w:hyperlink>
      <w:r>
        <w:t xml:space="preserve"> </w:t>
      </w:r>
      <w:r>
        <w:rPr>
          <w:i/>
          <w:iCs/>
        </w:rPr>
        <w:t>Aging Cell</w:t>
      </w:r>
      <w:r>
        <w:t xml:space="preserve"> </w:t>
      </w:r>
      <w:r>
        <w:rPr>
          <w:b/>
          <w:bCs/>
        </w:rPr>
        <w:t>18</w:t>
      </w:r>
      <w:r>
        <w:t>, e12928.</w:t>
      </w:r>
    </w:p>
    <w:p w14:paraId="7FFEA9FF" w14:textId="77777777" w:rsidR="00703D80" w:rsidRDefault="00000000">
      <w:bookmarkStart w:id="6" w:name="ref-angarola_splicing_2021"/>
      <w:bookmarkEnd w:id="4"/>
      <w:r>
        <w:rPr>
          <w:b/>
          <w:bCs/>
        </w:rPr>
        <w:t>Angarola, B. L. and Anczuków, O.</w:t>
      </w:r>
      <w:r>
        <w:t xml:space="preserve"> (2021). Splicing alterations in healthy aging and disease. </w:t>
      </w:r>
      <w:r>
        <w:rPr>
          <w:i/>
          <w:iCs/>
        </w:rPr>
        <w:t>Wiley Interdisciplinary Reviews: RNA</w:t>
      </w:r>
      <w:r>
        <w:t xml:space="preserve"> </w:t>
      </w:r>
      <w:r>
        <w:rPr>
          <w:b/>
          <w:bCs/>
        </w:rPr>
        <w:t>12</w:t>
      </w:r>
      <w:r>
        <w:t>, e1643.</w:t>
      </w:r>
    </w:p>
    <w:p w14:paraId="67CCA787" w14:textId="77777777" w:rsidR="00703D80" w:rsidRDefault="00000000">
      <w:bookmarkStart w:id="7" w:name="ref-baralle_age-related_2023"/>
      <w:bookmarkEnd w:id="6"/>
      <w:r>
        <w:rPr>
          <w:b/>
          <w:bCs/>
        </w:rPr>
        <w:t>Baralle, M. and Romano, M.</w:t>
      </w:r>
      <w:r>
        <w:t xml:space="preserve"> (2023). </w:t>
      </w:r>
      <w:hyperlink r:id="rId8">
        <w:r>
          <w:t>Age-related alternative splicing: Driver or passenger in the aging process?</w:t>
        </w:r>
      </w:hyperlink>
      <w:r>
        <w:t xml:space="preserve"> </w:t>
      </w:r>
      <w:r>
        <w:rPr>
          <w:i/>
          <w:iCs/>
        </w:rPr>
        <w:t>Cells</w:t>
      </w:r>
      <w:r>
        <w:t xml:space="preserve"> </w:t>
      </w:r>
      <w:r>
        <w:rPr>
          <w:b/>
          <w:bCs/>
        </w:rPr>
        <w:t>12</w:t>
      </w:r>
      <w:r>
        <w:t>,.</w:t>
      </w:r>
    </w:p>
    <w:p w14:paraId="3143D038" w14:textId="77777777" w:rsidR="00703D80" w:rsidRDefault="00000000">
      <w:bookmarkStart w:id="8" w:name="ref-benjamini_controlling_1995"/>
      <w:bookmarkEnd w:id="7"/>
      <w:r>
        <w:rPr>
          <w:b/>
          <w:bCs/>
        </w:rPr>
        <w:t>Benjamini, Y. and Hochberg, Y.</w:t>
      </w:r>
      <w:r>
        <w:t xml:space="preserve"> (1995). Controlling the false discovery rate: A practical and powerful approach to multiple testing. </w:t>
      </w:r>
      <w:r>
        <w:rPr>
          <w:i/>
          <w:iCs/>
        </w:rPr>
        <w:t>Journal of the Royal statistical society: series B (Methodological)</w:t>
      </w:r>
      <w:r>
        <w:t xml:space="preserve"> </w:t>
      </w:r>
      <w:r>
        <w:rPr>
          <w:b/>
          <w:bCs/>
        </w:rPr>
        <w:t>57</w:t>
      </w:r>
      <w:r>
        <w:t>, 289–300.</w:t>
      </w:r>
    </w:p>
    <w:p w14:paraId="1197B695" w14:textId="77777777" w:rsidR="00703D80" w:rsidRDefault="00000000">
      <w:bookmarkStart w:id="9" w:name="ref-bhadra_alternative_2020"/>
      <w:bookmarkEnd w:id="8"/>
      <w:r>
        <w:rPr>
          <w:b/>
          <w:bCs/>
        </w:rPr>
        <w:t>Bhadra, M., Howell, P., Dutta, S., Heintz, C. and Mair, W. B.</w:t>
      </w:r>
      <w:r>
        <w:t xml:space="preserve"> (2020). Alternative splicing in aging and longevity. </w:t>
      </w:r>
      <w:r>
        <w:rPr>
          <w:i/>
          <w:iCs/>
        </w:rPr>
        <w:t>Human genetics</w:t>
      </w:r>
      <w:r>
        <w:t xml:space="preserve"> </w:t>
      </w:r>
      <w:r>
        <w:rPr>
          <w:b/>
          <w:bCs/>
        </w:rPr>
        <w:t>139</w:t>
      </w:r>
      <w:r>
        <w:t>, 357–369.</w:t>
      </w:r>
    </w:p>
    <w:p w14:paraId="04443B7D" w14:textId="77777777" w:rsidR="00703D80" w:rsidRDefault="00000000">
      <w:bookmarkStart w:id="10" w:name="ref-braunschweig_widespread_2014"/>
      <w:bookmarkEnd w:id="9"/>
      <w:r>
        <w:rPr>
          <w:b/>
          <w:bCs/>
        </w:rPr>
        <w:t>Braunschweig, U., Barbosa-Morais, N. L., Pan, Q., Nachman, E. N., Alipanahi, B., Gonatopoulos-Pournatzis, T., Frey, B., Irimia, M. and Blencowe, B. J.</w:t>
      </w:r>
      <w:r>
        <w:t xml:space="preserve"> (2014). </w:t>
      </w:r>
      <w:hyperlink r:id="rId9">
        <w:r>
          <w:t>Widespread intron retention in mammals functionally tunes transcriptomes.</w:t>
        </w:r>
      </w:hyperlink>
      <w:r>
        <w:t xml:space="preserve"> </w:t>
      </w:r>
      <w:r>
        <w:rPr>
          <w:i/>
          <w:iCs/>
        </w:rPr>
        <w:t>Genome Res</w:t>
      </w:r>
      <w:r>
        <w:t xml:space="preserve"> </w:t>
      </w:r>
      <w:r>
        <w:rPr>
          <w:b/>
          <w:bCs/>
        </w:rPr>
        <w:t>24</w:t>
      </w:r>
      <w:r>
        <w:t>, 1774–1786.</w:t>
      </w:r>
    </w:p>
    <w:p w14:paraId="48AAD738" w14:textId="77777777" w:rsidR="00703D80" w:rsidRDefault="00000000">
      <w:bookmarkStart w:id="11" w:name="ref-dvinge_widespread_2015"/>
      <w:bookmarkEnd w:id="10"/>
      <w:r>
        <w:rPr>
          <w:b/>
          <w:bCs/>
        </w:rPr>
        <w:t>Dvinge, H. and Bradley, R. K.</w:t>
      </w:r>
      <w:r>
        <w:t xml:space="preserve"> (2015). Widespread intron retention diversifies most cancer transcriptomes. </w:t>
      </w:r>
      <w:r>
        <w:rPr>
          <w:i/>
          <w:iCs/>
        </w:rPr>
        <w:t>Genome medicine</w:t>
      </w:r>
      <w:r>
        <w:t xml:space="preserve"> </w:t>
      </w:r>
      <w:r>
        <w:rPr>
          <w:b/>
          <w:bCs/>
        </w:rPr>
        <w:t>7</w:t>
      </w:r>
      <w:r>
        <w:t>, 1–13.</w:t>
      </w:r>
    </w:p>
    <w:p w14:paraId="5D0F4AA5" w14:textId="77777777" w:rsidR="00703D80" w:rsidRDefault="00000000">
      <w:bookmarkStart w:id="12" w:name="ref-ekelund_dose-response_2019"/>
      <w:bookmarkEnd w:id="11"/>
      <w:r>
        <w:rPr>
          <w:b/>
          <w:bCs/>
        </w:rPr>
        <w:t>Ekelund, U., Tarp, J., Steene-Johannessen, J., Hansen, B. H., Jefferis, B., Fagerland, M. W., Whincup, P., Diaz, K. M., Hooker, S. P., Chernofsky, A., et al.</w:t>
      </w:r>
      <w:r>
        <w:t xml:space="preserve"> (2019). </w:t>
      </w:r>
      <w:hyperlink r:id="rId10">
        <w:r>
          <w:t>Dose-response associations between accelerometry measured physical activity and sedentary time and all cause mortality: Systematic review and harmonised meta-analysis.</w:t>
        </w:r>
      </w:hyperlink>
      <w:r>
        <w:t xml:space="preserve"> </w:t>
      </w:r>
      <w:r>
        <w:rPr>
          <w:i/>
          <w:iCs/>
        </w:rPr>
        <w:t>BMJ</w:t>
      </w:r>
      <w:r>
        <w:t xml:space="preserve"> </w:t>
      </w:r>
      <w:r>
        <w:rPr>
          <w:b/>
          <w:bCs/>
        </w:rPr>
        <w:t>366</w:t>
      </w:r>
      <w:r>
        <w:t>, l4570.</w:t>
      </w:r>
    </w:p>
    <w:p w14:paraId="2EAF8AD6" w14:textId="77777777" w:rsidR="00703D80" w:rsidRDefault="00000000">
      <w:bookmarkStart w:id="13" w:name="ref-ferrucci_energysplicing_2022"/>
      <w:bookmarkEnd w:id="12"/>
      <w:r>
        <w:rPr>
          <w:b/>
          <w:bCs/>
        </w:rPr>
        <w:t>Ferrucci, L., Wilson, D. M., Donegà, S. and Gorospe, M.</w:t>
      </w:r>
      <w:r>
        <w:t xml:space="preserve"> (2022). </w:t>
      </w:r>
      <w:hyperlink r:id="rId11">
        <w:r>
          <w:t>The energy–splicing resilience axis hypothesis of aging</w:t>
        </w:r>
      </w:hyperlink>
      <w:r>
        <w:t xml:space="preserve">. </w:t>
      </w:r>
      <w:r>
        <w:rPr>
          <w:i/>
          <w:iCs/>
        </w:rPr>
        <w:t>Nature Aging</w:t>
      </w:r>
      <w:r>
        <w:t xml:space="preserve"> </w:t>
      </w:r>
      <w:r>
        <w:rPr>
          <w:b/>
          <w:bCs/>
        </w:rPr>
        <w:t>2</w:t>
      </w:r>
      <w:r>
        <w:t>, 182–185.</w:t>
      </w:r>
    </w:p>
    <w:p w14:paraId="1F6E06FD" w14:textId="77777777" w:rsidR="00703D80" w:rsidRDefault="00000000">
      <w:bookmarkStart w:id="14" w:name="ref-garatachea_exercise_2015"/>
      <w:bookmarkEnd w:id="13"/>
      <w:r>
        <w:rPr>
          <w:b/>
          <w:bCs/>
        </w:rPr>
        <w:t>Garatachea, N., Pareja-Galeano, H., Sanchis-Gomar, F., Santos-Lozano, A., Fiuza-Luces, C., Morán, M., Emanuele, E., Joyner, M. J. and Lucia, A.</w:t>
      </w:r>
      <w:r>
        <w:t xml:space="preserve"> (2015). Exercise attenuates the major hallmarks of aging. </w:t>
      </w:r>
      <w:r>
        <w:rPr>
          <w:i/>
          <w:iCs/>
        </w:rPr>
        <w:t>Rejuvenation research</w:t>
      </w:r>
      <w:r>
        <w:t xml:space="preserve"> </w:t>
      </w:r>
      <w:r>
        <w:rPr>
          <w:b/>
          <w:bCs/>
        </w:rPr>
        <w:t>18</w:t>
      </w:r>
      <w:r>
        <w:t>, 57–89.</w:t>
      </w:r>
    </w:p>
    <w:p w14:paraId="5B0EEA2E" w14:textId="77777777" w:rsidR="00703D80" w:rsidRDefault="00000000">
      <w:bookmarkStart w:id="15" w:name="ref-garcia-ruiz_splicing_2023"/>
      <w:bookmarkEnd w:id="14"/>
      <w:r>
        <w:rPr>
          <w:b/>
          <w:bCs/>
        </w:rPr>
        <w:t>García-Ruiz, S., Zhang, D., Gustavsson, E. K., Rocamora-Perez, G., Grant-Peters, M., Fairbrother-Browne, A., Reynolds, R. H., Brenton, J. W., Gil-Martínez, A. L., Chen, Z., et al.</w:t>
      </w:r>
      <w:r>
        <w:t xml:space="preserve"> (2023). </w:t>
      </w:r>
      <w:hyperlink r:id="rId12">
        <w:r>
          <w:t>Splicing accuracy varies across human introns, tissues and age.</w:t>
        </w:r>
      </w:hyperlink>
    </w:p>
    <w:p w14:paraId="663AD17B" w14:textId="77777777" w:rsidR="00703D80" w:rsidRPr="00CC434B" w:rsidRDefault="00000000">
      <w:pPr>
        <w:rPr>
          <w:lang w:val="nb-NO"/>
        </w:rPr>
      </w:pPr>
      <w:bookmarkStart w:id="16" w:name="ref-ge_functional_2014"/>
      <w:bookmarkEnd w:id="15"/>
      <w:r>
        <w:rPr>
          <w:b/>
          <w:bCs/>
        </w:rPr>
        <w:t>Ge, Y. and Porse, B. T.</w:t>
      </w:r>
      <w:r>
        <w:t xml:space="preserve"> (2014). The functional consequences of intron retention: Alternative splicing coupled to NMD as a regulator of gene expression. </w:t>
      </w:r>
      <w:r w:rsidRPr="00CC434B">
        <w:rPr>
          <w:i/>
          <w:iCs/>
          <w:lang w:val="nb-NO"/>
        </w:rPr>
        <w:t>Bioessays</w:t>
      </w:r>
      <w:r w:rsidRPr="00CC434B">
        <w:rPr>
          <w:lang w:val="nb-NO"/>
        </w:rPr>
        <w:t xml:space="preserve"> </w:t>
      </w:r>
      <w:r w:rsidRPr="00CC434B">
        <w:rPr>
          <w:b/>
          <w:bCs/>
          <w:lang w:val="nb-NO"/>
        </w:rPr>
        <w:t>36</w:t>
      </w:r>
      <w:r w:rsidRPr="00CC434B">
        <w:rPr>
          <w:lang w:val="nb-NO"/>
        </w:rPr>
        <w:t>, 236–243.</w:t>
      </w:r>
    </w:p>
    <w:p w14:paraId="798355AA" w14:textId="77777777" w:rsidR="00703D80" w:rsidRDefault="00000000">
      <w:bookmarkStart w:id="17" w:name="ref-gyenis_genome-wide_2023"/>
      <w:bookmarkEnd w:id="16"/>
      <w:proofErr w:type="spellStart"/>
      <w:r w:rsidRPr="00CC434B">
        <w:rPr>
          <w:b/>
          <w:bCs/>
          <w:lang w:val="nb-NO"/>
        </w:rPr>
        <w:lastRenderedPageBreak/>
        <w:t>Gyenis</w:t>
      </w:r>
      <w:proofErr w:type="spellEnd"/>
      <w:r w:rsidRPr="00CC434B">
        <w:rPr>
          <w:b/>
          <w:bCs/>
          <w:lang w:val="nb-NO"/>
        </w:rPr>
        <w:t xml:space="preserve">, A., Chang, J., </w:t>
      </w:r>
      <w:proofErr w:type="spellStart"/>
      <w:r w:rsidRPr="00CC434B">
        <w:rPr>
          <w:b/>
          <w:bCs/>
          <w:lang w:val="nb-NO"/>
        </w:rPr>
        <w:t>Demmers</w:t>
      </w:r>
      <w:proofErr w:type="spellEnd"/>
      <w:r w:rsidRPr="00CC434B">
        <w:rPr>
          <w:b/>
          <w:bCs/>
          <w:lang w:val="nb-NO"/>
        </w:rPr>
        <w:t xml:space="preserve">, J. J. P. G., Bruens, S. T., </w:t>
      </w:r>
      <w:proofErr w:type="spellStart"/>
      <w:r w:rsidRPr="00CC434B">
        <w:rPr>
          <w:b/>
          <w:bCs/>
          <w:lang w:val="nb-NO"/>
        </w:rPr>
        <w:t>Barnhoorn</w:t>
      </w:r>
      <w:proofErr w:type="spellEnd"/>
      <w:r w:rsidRPr="00CC434B">
        <w:rPr>
          <w:b/>
          <w:bCs/>
          <w:lang w:val="nb-NO"/>
        </w:rPr>
        <w:t xml:space="preserve">, S., Brandt, R. M. C., </w:t>
      </w:r>
      <w:proofErr w:type="spellStart"/>
      <w:r w:rsidRPr="00CC434B">
        <w:rPr>
          <w:b/>
          <w:bCs/>
          <w:lang w:val="nb-NO"/>
        </w:rPr>
        <w:t>Baar</w:t>
      </w:r>
      <w:proofErr w:type="spellEnd"/>
      <w:r w:rsidRPr="00CC434B">
        <w:rPr>
          <w:b/>
          <w:bCs/>
          <w:lang w:val="nb-NO"/>
        </w:rPr>
        <w:t xml:space="preserve">, M. P., </w:t>
      </w:r>
      <w:proofErr w:type="spellStart"/>
      <w:r w:rsidRPr="00CC434B">
        <w:rPr>
          <w:b/>
          <w:bCs/>
          <w:lang w:val="nb-NO"/>
        </w:rPr>
        <w:t>Raseta</w:t>
      </w:r>
      <w:proofErr w:type="spellEnd"/>
      <w:r w:rsidRPr="00CC434B">
        <w:rPr>
          <w:b/>
          <w:bCs/>
          <w:lang w:val="nb-NO"/>
        </w:rPr>
        <w:t xml:space="preserve">, M., </w:t>
      </w:r>
      <w:proofErr w:type="spellStart"/>
      <w:r w:rsidRPr="00CC434B">
        <w:rPr>
          <w:b/>
          <w:bCs/>
          <w:lang w:val="nb-NO"/>
        </w:rPr>
        <w:t>Derks</w:t>
      </w:r>
      <w:proofErr w:type="spellEnd"/>
      <w:r w:rsidRPr="00CC434B">
        <w:rPr>
          <w:b/>
          <w:bCs/>
          <w:lang w:val="nb-NO"/>
        </w:rPr>
        <w:t xml:space="preserve">, K. W. J., </w:t>
      </w:r>
      <w:proofErr w:type="spellStart"/>
      <w:r w:rsidRPr="00CC434B">
        <w:rPr>
          <w:b/>
          <w:bCs/>
          <w:lang w:val="nb-NO"/>
        </w:rPr>
        <w:t>Hoeijmakers</w:t>
      </w:r>
      <w:proofErr w:type="spellEnd"/>
      <w:r w:rsidRPr="00CC434B">
        <w:rPr>
          <w:b/>
          <w:bCs/>
          <w:lang w:val="nb-NO"/>
        </w:rPr>
        <w:t>, J. H. J., et al.</w:t>
      </w:r>
      <w:r w:rsidRPr="00CC434B">
        <w:rPr>
          <w:lang w:val="nb-NO"/>
        </w:rPr>
        <w:t xml:space="preserve"> </w:t>
      </w:r>
      <w:r>
        <w:t xml:space="preserve">(2023). </w:t>
      </w:r>
      <w:hyperlink r:id="rId13">
        <w:r>
          <w:t>Genome-wide RNA polymerase stalling shapes the transcriptome during aging</w:t>
        </w:r>
      </w:hyperlink>
      <w:r>
        <w:t xml:space="preserve">. </w:t>
      </w:r>
      <w:r>
        <w:rPr>
          <w:i/>
          <w:iCs/>
        </w:rPr>
        <w:t>Nature Genetics</w:t>
      </w:r>
      <w:r>
        <w:t>.</w:t>
      </w:r>
    </w:p>
    <w:p w14:paraId="3E7A4FDF" w14:textId="77777777" w:rsidR="00703D80" w:rsidRDefault="00000000">
      <w:bookmarkStart w:id="18" w:name="ref-hasler_alterations_2011"/>
      <w:bookmarkEnd w:id="17"/>
      <w:r>
        <w:rPr>
          <w:b/>
          <w:bCs/>
        </w:rPr>
        <w:t>Häsler, R., Kerick, M., Mah, N., Hultschig, C., Richter, G., Bretz, F., Sina, C., Lehrach, H., Nietfeld, W. and Schreiber, S.</w:t>
      </w:r>
      <w:r>
        <w:t xml:space="preserve"> (2011). Alterations of pre-mRNA splicing in human inflammatory bowel disease. </w:t>
      </w:r>
      <w:r>
        <w:rPr>
          <w:i/>
          <w:iCs/>
        </w:rPr>
        <w:t>European journal of cell biology</w:t>
      </w:r>
      <w:r>
        <w:t xml:space="preserve"> </w:t>
      </w:r>
      <w:r>
        <w:rPr>
          <w:b/>
          <w:bCs/>
        </w:rPr>
        <w:t>90</w:t>
      </w:r>
      <w:r>
        <w:t>, 603–611.</w:t>
      </w:r>
    </w:p>
    <w:p w14:paraId="7556F440" w14:textId="77777777" w:rsidR="00703D80" w:rsidRDefault="00000000">
      <w:bookmarkStart w:id="19" w:name="ref-holly_changes_2013"/>
      <w:bookmarkEnd w:id="18"/>
      <w:r>
        <w:rPr>
          <w:b/>
          <w:bCs/>
        </w:rPr>
        <w:t>Holly, A. C., Melzer, D., Pilling, L. C., Fellows, A. C., Tanaka, T., Ferrucci, L. and Harries, L. W.</w:t>
      </w:r>
      <w:r>
        <w:t xml:space="preserve"> (2013). Changes in splicing factor expression are associated with advancing age in man. </w:t>
      </w:r>
      <w:r>
        <w:rPr>
          <w:i/>
          <w:iCs/>
        </w:rPr>
        <w:t>Mechanisms of ageing and development</w:t>
      </w:r>
      <w:r>
        <w:t xml:space="preserve"> </w:t>
      </w:r>
      <w:r>
        <w:rPr>
          <w:b/>
          <w:bCs/>
        </w:rPr>
        <w:t>134</w:t>
      </w:r>
      <w:r>
        <w:t>, 356–366.</w:t>
      </w:r>
    </w:p>
    <w:p w14:paraId="23E53E14" w14:textId="77777777" w:rsidR="00703D80" w:rsidRDefault="00000000">
      <w:bookmarkStart w:id="20" w:name="ref-inoue_minor_2021"/>
      <w:bookmarkEnd w:id="19"/>
      <w:r>
        <w:rPr>
          <w:b/>
          <w:bCs/>
        </w:rPr>
        <w:t>Inoue, D., Polaski, J. T., Taylor, J., Castel, P., Chen, S., Kobayashi, S., Hogg, S. J., Hayashi, Y., Pineda, J. M. B., El Marabti, E., et al.</w:t>
      </w:r>
      <w:r>
        <w:t xml:space="preserve"> (2021). </w:t>
      </w:r>
      <w:hyperlink r:id="rId14">
        <w:r>
          <w:t>Minor intron retention drives clonal hematopoietic disorders and diverse cancer predisposition</w:t>
        </w:r>
      </w:hyperlink>
      <w:r>
        <w:t xml:space="preserve">. </w:t>
      </w:r>
      <w:r>
        <w:rPr>
          <w:i/>
          <w:iCs/>
        </w:rPr>
        <w:t>Nature Genetics</w:t>
      </w:r>
      <w:r>
        <w:t xml:space="preserve"> </w:t>
      </w:r>
      <w:r>
        <w:rPr>
          <w:b/>
          <w:bCs/>
        </w:rPr>
        <w:t>53</w:t>
      </w:r>
      <w:r>
        <w:t>, 707–718.</w:t>
      </w:r>
    </w:p>
    <w:p w14:paraId="2C8B3E70" w14:textId="77777777" w:rsidR="00703D80" w:rsidRDefault="00000000">
      <w:bookmarkStart w:id="21" w:name="ref-jacob_intron_2017"/>
      <w:bookmarkEnd w:id="20"/>
      <w:r>
        <w:rPr>
          <w:b/>
          <w:bCs/>
        </w:rPr>
        <w:t>Jacob, A. G. and Smith, C. W. J.</w:t>
      </w:r>
      <w:r>
        <w:t xml:space="preserve"> (2017). </w:t>
      </w:r>
      <w:hyperlink r:id="rId15">
        <w:r>
          <w:t>Intron retention as a component of regulated gene expression programs</w:t>
        </w:r>
      </w:hyperlink>
      <w:r>
        <w:t xml:space="preserve">. </w:t>
      </w:r>
      <w:r>
        <w:rPr>
          <w:i/>
          <w:iCs/>
        </w:rPr>
        <w:t>Human Genetics</w:t>
      </w:r>
      <w:r>
        <w:t xml:space="preserve"> </w:t>
      </w:r>
      <w:r>
        <w:rPr>
          <w:b/>
          <w:bCs/>
        </w:rPr>
        <w:t>136</w:t>
      </w:r>
      <w:r>
        <w:t>, 1043–1057.</w:t>
      </w:r>
    </w:p>
    <w:p w14:paraId="74E718DD" w14:textId="77777777" w:rsidR="00703D80" w:rsidRDefault="00000000">
      <w:bookmarkStart w:id="22" w:name="ref-jung_intron_2015"/>
      <w:bookmarkEnd w:id="21"/>
      <w:r>
        <w:rPr>
          <w:b/>
          <w:bCs/>
        </w:rPr>
        <w:t>Jung, H., Lee, D., Lee, J., Park, D., Kim, Y. J., Park, W.-Y., Hong, D., Park, P. J. and Lee, E.</w:t>
      </w:r>
      <w:r>
        <w:t xml:space="preserve"> (2015). </w:t>
      </w:r>
      <w:hyperlink r:id="rId16">
        <w:r>
          <w:t>Intron retention is a widespread mechanism of tumor-suppressor inactivation</w:t>
        </w:r>
      </w:hyperlink>
      <w:r>
        <w:t xml:space="preserve">. </w:t>
      </w:r>
      <w:r>
        <w:rPr>
          <w:i/>
          <w:iCs/>
        </w:rPr>
        <w:t>Nature Genetics</w:t>
      </w:r>
      <w:r>
        <w:t xml:space="preserve"> </w:t>
      </w:r>
      <w:r>
        <w:rPr>
          <w:b/>
          <w:bCs/>
        </w:rPr>
        <w:t>47</w:t>
      </w:r>
      <w:r>
        <w:t>, 1242–1248.</w:t>
      </w:r>
    </w:p>
    <w:p w14:paraId="60B1CFBE" w14:textId="77777777" w:rsidR="00703D80" w:rsidRPr="00CC434B" w:rsidRDefault="00000000">
      <w:pPr>
        <w:rPr>
          <w:lang w:val="nb-NO"/>
        </w:rPr>
      </w:pPr>
      <w:bookmarkStart w:id="23" w:name="ref-keshavarz_targeting_2023"/>
      <w:bookmarkEnd w:id="22"/>
      <w:r>
        <w:rPr>
          <w:b/>
          <w:bCs/>
        </w:rPr>
        <w:t>Keshavarz, M., Xie, K., Schaaf, K., Bano, D. and Ehninger, D.</w:t>
      </w:r>
      <w:r>
        <w:t xml:space="preserve"> (2023). Targeting the “hallmarks of aging” to slow aging and treat age-related disease: Fact or fiction? </w:t>
      </w:r>
      <w:proofErr w:type="spellStart"/>
      <w:r w:rsidRPr="00CC434B">
        <w:rPr>
          <w:i/>
          <w:iCs/>
          <w:lang w:val="nb-NO"/>
        </w:rPr>
        <w:t>Molecular</w:t>
      </w:r>
      <w:proofErr w:type="spellEnd"/>
      <w:r w:rsidRPr="00CC434B">
        <w:rPr>
          <w:i/>
          <w:iCs/>
          <w:lang w:val="nb-NO"/>
        </w:rPr>
        <w:t xml:space="preserve"> </w:t>
      </w:r>
      <w:proofErr w:type="spellStart"/>
      <w:r w:rsidRPr="00CC434B">
        <w:rPr>
          <w:i/>
          <w:iCs/>
          <w:lang w:val="nb-NO"/>
        </w:rPr>
        <w:t>Psychiatry</w:t>
      </w:r>
      <w:proofErr w:type="spellEnd"/>
      <w:r w:rsidRPr="00CC434B">
        <w:rPr>
          <w:lang w:val="nb-NO"/>
        </w:rPr>
        <w:t xml:space="preserve"> </w:t>
      </w:r>
      <w:r w:rsidRPr="00CC434B">
        <w:rPr>
          <w:b/>
          <w:bCs/>
          <w:lang w:val="nb-NO"/>
        </w:rPr>
        <w:t>28</w:t>
      </w:r>
      <w:r w:rsidRPr="00CC434B">
        <w:rPr>
          <w:lang w:val="nb-NO"/>
        </w:rPr>
        <w:t>, 242–255.</w:t>
      </w:r>
    </w:p>
    <w:p w14:paraId="207B96CC" w14:textId="77777777" w:rsidR="00703D80" w:rsidRDefault="00000000">
      <w:bookmarkStart w:id="24" w:name="ref-khan_increased_2020"/>
      <w:bookmarkEnd w:id="23"/>
      <w:r w:rsidRPr="00CC434B">
        <w:rPr>
          <w:b/>
          <w:bCs/>
          <w:lang w:val="nb-NO"/>
        </w:rPr>
        <w:t>Khan, Y., Hammarström, D., Rønnestad, B. R., Ellefsen, S. and Ahmad, R.</w:t>
      </w:r>
      <w:r w:rsidRPr="00CC434B">
        <w:rPr>
          <w:lang w:val="nb-NO"/>
        </w:rPr>
        <w:t xml:space="preserve"> (2020). </w:t>
      </w:r>
      <w:hyperlink r:id="rId17">
        <w:r>
          <w:t>Increased biological relevance of transcriptome analyses in human skeletal muscle using a model-specific pipeline</w:t>
        </w:r>
      </w:hyperlink>
      <w:r>
        <w:t xml:space="preserve">. </w:t>
      </w:r>
      <w:r>
        <w:rPr>
          <w:i/>
          <w:iCs/>
        </w:rPr>
        <w:t>BMC Bioinformatics</w:t>
      </w:r>
      <w:r>
        <w:t xml:space="preserve"> </w:t>
      </w:r>
      <w:r>
        <w:rPr>
          <w:b/>
          <w:bCs/>
        </w:rPr>
        <w:t>21</w:t>
      </w:r>
      <w:r>
        <w:t>, 548.</w:t>
      </w:r>
    </w:p>
    <w:p w14:paraId="4054E3BB" w14:textId="77777777" w:rsidR="00703D80" w:rsidRDefault="00000000">
      <w:bookmarkStart w:id="25" w:name="ref-kodama_systematic_2024"/>
      <w:bookmarkEnd w:id="24"/>
      <w:r>
        <w:rPr>
          <w:b/>
          <w:bCs/>
        </w:rPr>
        <w:t>Kodama, H., Ijima, H. and Matsui, Y.</w:t>
      </w:r>
      <w:r>
        <w:t xml:space="preserve"> (2024). </w:t>
      </w:r>
      <w:hyperlink r:id="rId18">
        <w:r>
          <w:t>Systematic identification of exercise-induced anti-aging processes involving intron retention</w:t>
        </w:r>
      </w:hyperlink>
      <w:r>
        <w:t xml:space="preserve">. </w:t>
      </w:r>
      <w:r>
        <w:rPr>
          <w:i/>
          <w:iCs/>
        </w:rPr>
        <w:t>bioRxiv</w:t>
      </w:r>
      <w:r>
        <w:t xml:space="preserve"> 2024.04.25.591048.</w:t>
      </w:r>
    </w:p>
    <w:p w14:paraId="13B14BB0" w14:textId="77777777" w:rsidR="00703D80" w:rsidRDefault="00000000">
      <w:bookmarkStart w:id="26" w:name="ref-kryger_resistance_2007"/>
      <w:bookmarkEnd w:id="25"/>
      <w:r w:rsidRPr="00CC434B">
        <w:rPr>
          <w:b/>
          <w:bCs/>
          <w:lang w:val="nb-NO"/>
        </w:rPr>
        <w:t>Kryger, A. I. and Andersen, J. L.</w:t>
      </w:r>
      <w:r w:rsidRPr="00CC434B">
        <w:rPr>
          <w:lang w:val="nb-NO"/>
        </w:rPr>
        <w:t xml:space="preserve"> (2007). </w:t>
      </w:r>
      <w:hyperlink r:id="rId19">
        <w:r>
          <w:t>Resistance training in the oldest old: Consequences for muscle strength, fiber types, fiber size, and MHC isoforms.</w:t>
        </w:r>
      </w:hyperlink>
      <w:r>
        <w:t xml:space="preserve"> </w:t>
      </w:r>
      <w:r>
        <w:rPr>
          <w:i/>
          <w:iCs/>
        </w:rPr>
        <w:t>Scand J Med Sci Sports</w:t>
      </w:r>
      <w:r>
        <w:t xml:space="preserve"> </w:t>
      </w:r>
      <w:r>
        <w:rPr>
          <w:b/>
          <w:bCs/>
        </w:rPr>
        <w:t>17</w:t>
      </w:r>
      <w:r>
        <w:t>, 422–430.</w:t>
      </w:r>
    </w:p>
    <w:p w14:paraId="13B14EBF" w14:textId="77777777" w:rsidR="00703D80" w:rsidRDefault="00000000">
      <w:bookmarkStart w:id="27" w:name="ref-latorre_splicing_2017"/>
      <w:bookmarkEnd w:id="26"/>
      <w:r>
        <w:rPr>
          <w:b/>
          <w:bCs/>
        </w:rPr>
        <w:t>Latorre, E. and Harries, Lorna. W.</w:t>
      </w:r>
      <w:r>
        <w:t xml:space="preserve"> (2017). </w:t>
      </w:r>
      <w:hyperlink r:id="rId20">
        <w:r>
          <w:t>Splicing regulatory factors, ageing and age-related disease</w:t>
        </w:r>
      </w:hyperlink>
      <w:r>
        <w:t xml:space="preserve">. </w:t>
      </w:r>
      <w:r>
        <w:rPr>
          <w:i/>
          <w:iCs/>
        </w:rPr>
        <w:t>Ageing Research Reviews</w:t>
      </w:r>
      <w:r>
        <w:t xml:space="preserve"> </w:t>
      </w:r>
      <w:r>
        <w:rPr>
          <w:b/>
          <w:bCs/>
        </w:rPr>
        <w:t>36</w:t>
      </w:r>
      <w:r>
        <w:t>, 165–170.</w:t>
      </w:r>
    </w:p>
    <w:p w14:paraId="1426A485" w14:textId="77777777" w:rsidR="00703D80" w:rsidRDefault="00000000">
      <w:bookmarkStart w:id="28" w:name="ref-li_rsem_2011"/>
      <w:bookmarkEnd w:id="27"/>
      <w:r>
        <w:rPr>
          <w:b/>
          <w:bCs/>
        </w:rPr>
        <w:t>Li, B. and Dewey, C. N.</w:t>
      </w:r>
      <w:r>
        <w:t xml:space="preserve"> (2011). </w:t>
      </w:r>
      <w:hyperlink r:id="rId21">
        <w:r>
          <w:t>RSEM: Accurate transcript quantification from RNA-seq data with or without a reference genome</w:t>
        </w:r>
      </w:hyperlink>
      <w:r>
        <w:t xml:space="preserve">. </w:t>
      </w:r>
      <w:r>
        <w:rPr>
          <w:i/>
          <w:iCs/>
        </w:rPr>
        <w:t>BMC Bioinformatics</w:t>
      </w:r>
      <w:r>
        <w:t xml:space="preserve"> </w:t>
      </w:r>
      <w:r>
        <w:rPr>
          <w:b/>
          <w:bCs/>
        </w:rPr>
        <w:t>12</w:t>
      </w:r>
      <w:r>
        <w:t>, 323.</w:t>
      </w:r>
    </w:p>
    <w:p w14:paraId="29823F76" w14:textId="77777777" w:rsidR="00703D80" w:rsidRPr="00CC434B" w:rsidRDefault="00000000">
      <w:pPr>
        <w:rPr>
          <w:lang w:val="nb-NO"/>
        </w:rPr>
      </w:pPr>
      <w:bookmarkStart w:id="29" w:name="ref-liu_progressive_2009"/>
      <w:bookmarkEnd w:id="28"/>
      <w:r>
        <w:rPr>
          <w:b/>
          <w:bCs/>
        </w:rPr>
        <w:t>Liu, C.-J. and Latham, N. K.</w:t>
      </w:r>
      <w:r>
        <w:t xml:space="preserve"> (2009). </w:t>
      </w:r>
      <w:hyperlink r:id="rId22">
        <w:r>
          <w:t>Progressive resistance strength training for improving physical function in older adults.</w:t>
        </w:r>
      </w:hyperlink>
      <w:r>
        <w:t xml:space="preserve"> </w:t>
      </w:r>
      <w:proofErr w:type="spellStart"/>
      <w:r w:rsidRPr="00CC434B">
        <w:rPr>
          <w:i/>
          <w:iCs/>
          <w:lang w:val="nb-NO"/>
        </w:rPr>
        <w:t>Cochrane</w:t>
      </w:r>
      <w:proofErr w:type="spellEnd"/>
      <w:r w:rsidRPr="00CC434B">
        <w:rPr>
          <w:i/>
          <w:iCs/>
          <w:lang w:val="nb-NO"/>
        </w:rPr>
        <w:t xml:space="preserve"> Database </w:t>
      </w:r>
      <w:proofErr w:type="spellStart"/>
      <w:r w:rsidRPr="00CC434B">
        <w:rPr>
          <w:i/>
          <w:iCs/>
          <w:lang w:val="nb-NO"/>
        </w:rPr>
        <w:t>Syst</w:t>
      </w:r>
      <w:proofErr w:type="spellEnd"/>
      <w:r w:rsidRPr="00CC434B">
        <w:rPr>
          <w:i/>
          <w:iCs/>
          <w:lang w:val="nb-NO"/>
        </w:rPr>
        <w:t xml:space="preserve"> Rev</w:t>
      </w:r>
      <w:r w:rsidRPr="00CC434B">
        <w:rPr>
          <w:lang w:val="nb-NO"/>
        </w:rPr>
        <w:t xml:space="preserve"> </w:t>
      </w:r>
      <w:r w:rsidRPr="00CC434B">
        <w:rPr>
          <w:b/>
          <w:bCs/>
          <w:lang w:val="nb-NO"/>
        </w:rPr>
        <w:t>2009</w:t>
      </w:r>
      <w:r w:rsidRPr="00CC434B">
        <w:rPr>
          <w:lang w:val="nb-NO"/>
        </w:rPr>
        <w:t>, CD002759.</w:t>
      </w:r>
    </w:p>
    <w:p w14:paraId="04C94DBD" w14:textId="77777777" w:rsidR="00703D80" w:rsidRDefault="00000000">
      <w:bookmarkStart w:id="30" w:name="ref-lopez-otin_hallmarks_2013"/>
      <w:bookmarkEnd w:id="29"/>
      <w:proofErr w:type="spellStart"/>
      <w:r w:rsidRPr="00CC434B">
        <w:rPr>
          <w:b/>
          <w:bCs/>
          <w:lang w:val="nb-NO"/>
        </w:rPr>
        <w:lastRenderedPageBreak/>
        <w:t>López-Otín</w:t>
      </w:r>
      <w:proofErr w:type="spellEnd"/>
      <w:r w:rsidRPr="00CC434B">
        <w:rPr>
          <w:b/>
          <w:bCs/>
          <w:lang w:val="nb-NO"/>
        </w:rPr>
        <w:t xml:space="preserve">, C., </w:t>
      </w:r>
      <w:proofErr w:type="spellStart"/>
      <w:r w:rsidRPr="00CC434B">
        <w:rPr>
          <w:b/>
          <w:bCs/>
          <w:lang w:val="nb-NO"/>
        </w:rPr>
        <w:t>Blasco</w:t>
      </w:r>
      <w:proofErr w:type="spellEnd"/>
      <w:r w:rsidRPr="00CC434B">
        <w:rPr>
          <w:b/>
          <w:bCs/>
          <w:lang w:val="nb-NO"/>
        </w:rPr>
        <w:t xml:space="preserve">, M. A., </w:t>
      </w:r>
      <w:proofErr w:type="spellStart"/>
      <w:r w:rsidRPr="00CC434B">
        <w:rPr>
          <w:b/>
          <w:bCs/>
          <w:lang w:val="nb-NO"/>
        </w:rPr>
        <w:t>Partridge</w:t>
      </w:r>
      <w:proofErr w:type="spellEnd"/>
      <w:r w:rsidRPr="00CC434B">
        <w:rPr>
          <w:b/>
          <w:bCs/>
          <w:lang w:val="nb-NO"/>
        </w:rPr>
        <w:t xml:space="preserve">, L., </w:t>
      </w:r>
      <w:proofErr w:type="spellStart"/>
      <w:r w:rsidRPr="00CC434B">
        <w:rPr>
          <w:b/>
          <w:bCs/>
          <w:lang w:val="nb-NO"/>
        </w:rPr>
        <w:t>Serrano</w:t>
      </w:r>
      <w:proofErr w:type="spellEnd"/>
      <w:r w:rsidRPr="00CC434B">
        <w:rPr>
          <w:b/>
          <w:bCs/>
          <w:lang w:val="nb-NO"/>
        </w:rPr>
        <w:t xml:space="preserve">, M. and </w:t>
      </w:r>
      <w:proofErr w:type="spellStart"/>
      <w:r w:rsidRPr="00CC434B">
        <w:rPr>
          <w:b/>
          <w:bCs/>
          <w:lang w:val="nb-NO"/>
        </w:rPr>
        <w:t>Kroemer</w:t>
      </w:r>
      <w:proofErr w:type="spellEnd"/>
      <w:r w:rsidRPr="00CC434B">
        <w:rPr>
          <w:b/>
          <w:bCs/>
          <w:lang w:val="nb-NO"/>
        </w:rPr>
        <w:t>, G.</w:t>
      </w:r>
      <w:r w:rsidRPr="00CC434B">
        <w:rPr>
          <w:lang w:val="nb-NO"/>
        </w:rPr>
        <w:t xml:space="preserve"> (2013). </w:t>
      </w:r>
      <w:r>
        <w:t xml:space="preserve">The hallmarks of aging. </w:t>
      </w:r>
      <w:r>
        <w:rPr>
          <w:i/>
          <w:iCs/>
        </w:rPr>
        <w:t>Cell</w:t>
      </w:r>
      <w:r>
        <w:t xml:space="preserve"> </w:t>
      </w:r>
      <w:r>
        <w:rPr>
          <w:b/>
          <w:bCs/>
        </w:rPr>
        <w:t>153</w:t>
      </w:r>
      <w:r>
        <w:t>, 1194–1217.</w:t>
      </w:r>
    </w:p>
    <w:p w14:paraId="39B80428" w14:textId="77777777" w:rsidR="00703D80" w:rsidRDefault="00000000">
      <w:bookmarkStart w:id="31" w:name="ref-lu_effects_2021"/>
      <w:bookmarkEnd w:id="30"/>
      <w:r>
        <w:rPr>
          <w:b/>
          <w:bCs/>
        </w:rPr>
        <w:t>Lu, L., Mao, L., Feng, Y., Ainsworth, B. E., Liu, Y. and Chen, N.</w:t>
      </w:r>
      <w:r>
        <w:t xml:space="preserve"> (2021). Effects of different exercise training modes on muscle strength and physical performance in older people with sarcopenia: A systematic review and meta-analysis. </w:t>
      </w:r>
      <w:r>
        <w:rPr>
          <w:i/>
          <w:iCs/>
        </w:rPr>
        <w:t>BMC geriatrics</w:t>
      </w:r>
      <w:r>
        <w:t xml:space="preserve"> </w:t>
      </w:r>
      <w:r>
        <w:rPr>
          <w:b/>
          <w:bCs/>
        </w:rPr>
        <w:t>21</w:t>
      </w:r>
      <w:r>
        <w:t>, 708.</w:t>
      </w:r>
    </w:p>
    <w:p w14:paraId="63844AB8" w14:textId="77777777" w:rsidR="00703D80" w:rsidRDefault="00000000">
      <w:bookmarkStart w:id="32" w:name="ref-manual_orghsegdb_nodate"/>
      <w:bookmarkEnd w:id="31"/>
      <w:r>
        <w:rPr>
          <w:b/>
          <w:bCs/>
        </w:rPr>
        <w:t>Manual, C.</w:t>
      </w:r>
      <w:r>
        <w:t xml:space="preserve"> Org.hs.eg.db: Genome wide annotation for human.</w:t>
      </w:r>
    </w:p>
    <w:p w14:paraId="65336D07" w14:textId="77777777" w:rsidR="00703D80" w:rsidRDefault="00000000">
      <w:bookmarkStart w:id="33" w:name="ref-mariotti_deterioration_2022"/>
      <w:bookmarkEnd w:id="32"/>
      <w:proofErr w:type="spellStart"/>
      <w:r w:rsidRPr="00CC434B">
        <w:rPr>
          <w:b/>
          <w:bCs/>
          <w:lang w:val="nb-NO"/>
        </w:rPr>
        <w:t>Mariotti</w:t>
      </w:r>
      <w:proofErr w:type="spellEnd"/>
      <w:r w:rsidRPr="00CC434B">
        <w:rPr>
          <w:b/>
          <w:bCs/>
          <w:lang w:val="nb-NO"/>
        </w:rPr>
        <w:t xml:space="preserve">, M., </w:t>
      </w:r>
      <w:proofErr w:type="spellStart"/>
      <w:r w:rsidRPr="00CC434B">
        <w:rPr>
          <w:b/>
          <w:bCs/>
          <w:lang w:val="nb-NO"/>
        </w:rPr>
        <w:t>Kerepesi</w:t>
      </w:r>
      <w:proofErr w:type="spellEnd"/>
      <w:r w:rsidRPr="00CC434B">
        <w:rPr>
          <w:b/>
          <w:bCs/>
          <w:lang w:val="nb-NO"/>
        </w:rPr>
        <w:t xml:space="preserve">, C., </w:t>
      </w:r>
      <w:proofErr w:type="spellStart"/>
      <w:r w:rsidRPr="00CC434B">
        <w:rPr>
          <w:b/>
          <w:bCs/>
          <w:lang w:val="nb-NO"/>
        </w:rPr>
        <w:t>Oliveros</w:t>
      </w:r>
      <w:proofErr w:type="spellEnd"/>
      <w:r w:rsidRPr="00CC434B">
        <w:rPr>
          <w:b/>
          <w:bCs/>
          <w:lang w:val="nb-NO"/>
        </w:rPr>
        <w:t xml:space="preserve">, W., Mele, M. and </w:t>
      </w:r>
      <w:proofErr w:type="spellStart"/>
      <w:r w:rsidRPr="00CC434B">
        <w:rPr>
          <w:b/>
          <w:bCs/>
          <w:lang w:val="nb-NO"/>
        </w:rPr>
        <w:t>Gladyshev</w:t>
      </w:r>
      <w:proofErr w:type="spellEnd"/>
      <w:r w:rsidRPr="00CC434B">
        <w:rPr>
          <w:b/>
          <w:bCs/>
          <w:lang w:val="nb-NO"/>
        </w:rPr>
        <w:t>, V. N.</w:t>
      </w:r>
      <w:r w:rsidRPr="00CC434B">
        <w:rPr>
          <w:lang w:val="nb-NO"/>
        </w:rPr>
        <w:t xml:space="preserve"> (2022). </w:t>
      </w:r>
      <w:hyperlink r:id="rId23">
        <w:r>
          <w:t>Deterioration of the human transcriptome with age due to increasing intron retention and spurious splicing</w:t>
        </w:r>
      </w:hyperlink>
      <w:r>
        <w:t xml:space="preserve">. </w:t>
      </w:r>
      <w:r>
        <w:rPr>
          <w:i/>
          <w:iCs/>
        </w:rPr>
        <w:t>bioRxiv</w:t>
      </w:r>
      <w:r>
        <w:t xml:space="preserve"> 2022.03.14.484341.</w:t>
      </w:r>
    </w:p>
    <w:p w14:paraId="00EA8CE0" w14:textId="77777777" w:rsidR="00703D80" w:rsidRDefault="00000000">
      <w:bookmarkStart w:id="34" w:name="ref-mauger_targeted_2016"/>
      <w:bookmarkEnd w:id="33"/>
      <w:r>
        <w:rPr>
          <w:b/>
          <w:bCs/>
        </w:rPr>
        <w:t>Mauger, O., Lemoine, F. and Scheiffele, P.</w:t>
      </w:r>
      <w:r>
        <w:t xml:space="preserve"> (2016). Targeted intron retention and excision for rapid gene regulation in response to neuronal activity. </w:t>
      </w:r>
      <w:r>
        <w:rPr>
          <w:i/>
          <w:iCs/>
        </w:rPr>
        <w:t>Neuron</w:t>
      </w:r>
      <w:r>
        <w:t xml:space="preserve"> </w:t>
      </w:r>
      <w:r>
        <w:rPr>
          <w:b/>
          <w:bCs/>
        </w:rPr>
        <w:t>92</w:t>
      </w:r>
      <w:r>
        <w:t>, 1266–1278.</w:t>
      </w:r>
    </w:p>
    <w:p w14:paraId="412B0CFF" w14:textId="77777777" w:rsidR="00703D80" w:rsidRDefault="00000000">
      <w:bookmarkStart w:id="35" w:name="ref-de_melo_costa_splice-q_2021"/>
      <w:bookmarkEnd w:id="34"/>
      <w:r>
        <w:rPr>
          <w:b/>
          <w:bCs/>
        </w:rPr>
        <w:t>Melo Costa, V. R. de, Pfeuffer, J., Louloupi, A., Ørom, U. A. and Piro, R. M.</w:t>
      </w:r>
      <w:r>
        <w:t xml:space="preserve"> (2021). SPLICE-q: A python tool for genome-wide quantification of splicing efficiency. </w:t>
      </w:r>
      <w:r>
        <w:rPr>
          <w:i/>
          <w:iCs/>
        </w:rPr>
        <w:t>BMC bioinformatics</w:t>
      </w:r>
      <w:r>
        <w:t xml:space="preserve"> </w:t>
      </w:r>
      <w:r>
        <w:rPr>
          <w:b/>
          <w:bCs/>
        </w:rPr>
        <w:t>22</w:t>
      </w:r>
      <w:r>
        <w:t>, 1–14.</w:t>
      </w:r>
    </w:p>
    <w:p w14:paraId="2B9E5F24" w14:textId="77777777" w:rsidR="00703D80" w:rsidRPr="00CC434B" w:rsidRDefault="00000000">
      <w:pPr>
        <w:rPr>
          <w:lang w:val="nb-NO"/>
        </w:rPr>
      </w:pPr>
      <w:bookmarkStart w:id="36" w:name="ref-middleton_irfinder_2017"/>
      <w:bookmarkEnd w:id="35"/>
      <w:r>
        <w:rPr>
          <w:b/>
          <w:bCs/>
        </w:rPr>
        <w:t>Middleton, R., Gao, D., Thomas, A., Singh, B., Au, A., Wong, J. J.-L., Bomane, A., Cosson, B., Eyras, E., Rasko, J. E. J., et al.</w:t>
      </w:r>
      <w:r>
        <w:t xml:space="preserve"> (2017). </w:t>
      </w:r>
      <w:hyperlink r:id="rId24">
        <w:r>
          <w:t>IRFinder: Assessing the impact of intron retention on mammalian gene expression.</w:t>
        </w:r>
      </w:hyperlink>
      <w:r>
        <w:t xml:space="preserve"> </w:t>
      </w:r>
      <w:proofErr w:type="spellStart"/>
      <w:r w:rsidRPr="00CC434B">
        <w:rPr>
          <w:i/>
          <w:iCs/>
          <w:lang w:val="nb-NO"/>
        </w:rPr>
        <w:t>Genome</w:t>
      </w:r>
      <w:proofErr w:type="spellEnd"/>
      <w:r w:rsidRPr="00CC434B">
        <w:rPr>
          <w:i/>
          <w:iCs/>
          <w:lang w:val="nb-NO"/>
        </w:rPr>
        <w:t xml:space="preserve"> </w:t>
      </w:r>
      <w:proofErr w:type="spellStart"/>
      <w:r w:rsidRPr="00CC434B">
        <w:rPr>
          <w:i/>
          <w:iCs/>
          <w:lang w:val="nb-NO"/>
        </w:rPr>
        <w:t>Biol</w:t>
      </w:r>
      <w:proofErr w:type="spellEnd"/>
      <w:r w:rsidRPr="00CC434B">
        <w:rPr>
          <w:lang w:val="nb-NO"/>
        </w:rPr>
        <w:t xml:space="preserve"> </w:t>
      </w:r>
      <w:r w:rsidRPr="00CC434B">
        <w:rPr>
          <w:b/>
          <w:bCs/>
          <w:lang w:val="nb-NO"/>
        </w:rPr>
        <w:t>18</w:t>
      </w:r>
      <w:r w:rsidRPr="00CC434B">
        <w:rPr>
          <w:lang w:val="nb-NO"/>
        </w:rPr>
        <w:t>, 51.</w:t>
      </w:r>
    </w:p>
    <w:p w14:paraId="75B4B879" w14:textId="77777777" w:rsidR="00703D80" w:rsidRDefault="00000000">
      <w:bookmarkStart w:id="37" w:name="ref-molmen_chronic_2021"/>
      <w:bookmarkEnd w:id="36"/>
      <w:r w:rsidRPr="00CC434B">
        <w:rPr>
          <w:b/>
          <w:bCs/>
          <w:lang w:val="nb-NO"/>
        </w:rPr>
        <w:t xml:space="preserve">Mølmen, K. S., Hammarström, D., Falch, G. S., Grundtvig, M., Koll, L., Hanestadhaugen, M., Khan, Y., Ahmad, R., Malerbakken, B., </w:t>
      </w:r>
      <w:proofErr w:type="spellStart"/>
      <w:r w:rsidRPr="00CC434B">
        <w:rPr>
          <w:b/>
          <w:bCs/>
          <w:lang w:val="nb-NO"/>
        </w:rPr>
        <w:t>Rødølen</w:t>
      </w:r>
      <w:proofErr w:type="spellEnd"/>
      <w:r w:rsidRPr="00CC434B">
        <w:rPr>
          <w:b/>
          <w:bCs/>
          <w:lang w:val="nb-NO"/>
        </w:rPr>
        <w:t>, T. J., et al.</w:t>
      </w:r>
      <w:r w:rsidRPr="00CC434B">
        <w:rPr>
          <w:lang w:val="nb-NO"/>
        </w:rPr>
        <w:t xml:space="preserve"> </w:t>
      </w:r>
      <w:r>
        <w:t xml:space="preserve">(2021). </w:t>
      </w:r>
      <w:hyperlink r:id="rId25">
        <w:r>
          <w:t>Chronic obstructive pulmonary disease does not impair responses to resistance training.</w:t>
        </w:r>
      </w:hyperlink>
      <w:r>
        <w:t xml:space="preserve"> </w:t>
      </w:r>
      <w:r>
        <w:rPr>
          <w:i/>
          <w:iCs/>
        </w:rPr>
        <w:t>J Transl Med</w:t>
      </w:r>
      <w:r>
        <w:t xml:space="preserve"> </w:t>
      </w:r>
      <w:r>
        <w:rPr>
          <w:b/>
          <w:bCs/>
        </w:rPr>
        <w:t>19</w:t>
      </w:r>
      <w:r>
        <w:t>, 292.</w:t>
      </w:r>
    </w:p>
    <w:p w14:paraId="3115F657" w14:textId="77777777" w:rsidR="00703D80" w:rsidRDefault="00000000">
      <w:bookmarkStart w:id="38" w:name="ref-monteuuis_changing_2019"/>
      <w:bookmarkEnd w:id="37"/>
      <w:r>
        <w:rPr>
          <w:b/>
          <w:bCs/>
        </w:rPr>
        <w:t>Monteuuis, G., Wong, J. J. L., Bailey, C. G., Schmitz, U. and Rasko, J. E. J.</w:t>
      </w:r>
      <w:r>
        <w:t xml:space="preserve"> (2019). </w:t>
      </w:r>
      <w:hyperlink r:id="rId26">
        <w:r>
          <w:t>The changing paradigm of intron retention: Regulation, ramifications and recipes</w:t>
        </w:r>
      </w:hyperlink>
      <w:r>
        <w:t xml:space="preserve">. </w:t>
      </w:r>
      <w:r>
        <w:rPr>
          <w:i/>
          <w:iCs/>
        </w:rPr>
        <w:t>Nucleic Acids Research</w:t>
      </w:r>
      <w:r>
        <w:t xml:space="preserve"> </w:t>
      </w:r>
      <w:r>
        <w:rPr>
          <w:b/>
          <w:bCs/>
        </w:rPr>
        <w:t>47</w:t>
      </w:r>
      <w:r>
        <w:t>, 11497–11513.</w:t>
      </w:r>
    </w:p>
    <w:p w14:paraId="32982F2A" w14:textId="77777777" w:rsidR="00703D80" w:rsidRDefault="00000000">
      <w:bookmarkStart w:id="39" w:name="ref-nelson_novel_2005"/>
      <w:bookmarkEnd w:id="38"/>
      <w:r>
        <w:rPr>
          <w:b/>
          <w:bCs/>
        </w:rPr>
        <w:t>Nelson, M. E., Thurmes, P. J., Hoyer, J. D. and Steensma, D. P.</w:t>
      </w:r>
      <w:r>
        <w:t xml:space="preserve"> (2005). A novel 5’ATRX mutation with splicing consequences in acquired alpha thalassemia-myelodysplastic syndrome. </w:t>
      </w:r>
      <w:r>
        <w:rPr>
          <w:i/>
          <w:iCs/>
        </w:rPr>
        <w:t>haematologica</w:t>
      </w:r>
      <w:r>
        <w:t xml:space="preserve"> </w:t>
      </w:r>
      <w:r>
        <w:rPr>
          <w:b/>
          <w:bCs/>
        </w:rPr>
        <w:t>90</w:t>
      </w:r>
      <w:r>
        <w:t>, 1463–1470.</w:t>
      </w:r>
    </w:p>
    <w:p w14:paraId="135623A5" w14:textId="77777777" w:rsidR="00703D80" w:rsidRDefault="00000000">
      <w:bookmarkStart w:id="40" w:name="ref-nie_distinct_2022"/>
      <w:bookmarkEnd w:id="39"/>
      <w:r>
        <w:rPr>
          <w:b/>
          <w:bCs/>
        </w:rPr>
        <w:t>Nie, C., Li, Y., Li, R., Yan, Y., Zhang, D., Li, T., Li, Z., Sun, Y., Zhen, H. and Ding, J.</w:t>
      </w:r>
      <w:r>
        <w:t xml:space="preserve"> (2022). Distinct biological ages of organs and systems identified from a multi-omics study. </w:t>
      </w:r>
      <w:r>
        <w:rPr>
          <w:i/>
          <w:iCs/>
        </w:rPr>
        <w:t>Cell reports</w:t>
      </w:r>
      <w:r>
        <w:t xml:space="preserve"> </w:t>
      </w:r>
      <w:r>
        <w:rPr>
          <w:b/>
          <w:bCs/>
        </w:rPr>
        <w:t>38</w:t>
      </w:r>
      <w:r>
        <w:t>,.</w:t>
      </w:r>
    </w:p>
    <w:p w14:paraId="6AA22C0F" w14:textId="77777777" w:rsidR="00703D80" w:rsidRDefault="00000000">
      <w:bookmarkStart w:id="41" w:name="ref-nishida_tissue-_2015"/>
      <w:bookmarkEnd w:id="40"/>
      <w:r>
        <w:rPr>
          <w:b/>
          <w:bCs/>
        </w:rPr>
        <w:t>Nishida, A., Minegishi, M., Takeuchi, A., Niba, E. T. E., Awano, H., Lee, T., Iijima, K., Takeshima, Y. and Matsuo, M.</w:t>
      </w:r>
      <w:r>
        <w:t xml:space="preserve"> (2015). </w:t>
      </w:r>
      <w:hyperlink r:id="rId27">
        <w:r>
          <w:t>Tissue- and case-specific retention of intron 40 in mature dystrophin mRNA</w:t>
        </w:r>
      </w:hyperlink>
      <w:r>
        <w:t xml:space="preserve">. </w:t>
      </w:r>
      <w:r>
        <w:rPr>
          <w:i/>
          <w:iCs/>
        </w:rPr>
        <w:t>Journal of Human Genetics</w:t>
      </w:r>
      <w:r>
        <w:t xml:space="preserve"> </w:t>
      </w:r>
      <w:r>
        <w:rPr>
          <w:b/>
          <w:bCs/>
        </w:rPr>
        <w:t>60</w:t>
      </w:r>
      <w:r>
        <w:t>, 327–333.</w:t>
      </w:r>
    </w:p>
    <w:p w14:paraId="6A812159" w14:textId="77777777" w:rsidR="00703D80" w:rsidRDefault="00000000">
      <w:bookmarkStart w:id="42" w:name="ref-ong_increased_2020"/>
      <w:bookmarkEnd w:id="41"/>
      <w:r>
        <w:rPr>
          <w:b/>
          <w:bCs/>
        </w:rPr>
        <w:t>Ong, C.-T. and Adusumalli, S.</w:t>
      </w:r>
      <w:r>
        <w:t xml:space="preserve"> (2020). Increased intron retention is linked to alzheimer’s disease. </w:t>
      </w:r>
      <w:r>
        <w:rPr>
          <w:i/>
          <w:iCs/>
        </w:rPr>
        <w:t>Neural regeneration research</w:t>
      </w:r>
      <w:r>
        <w:t xml:space="preserve"> </w:t>
      </w:r>
      <w:r>
        <w:rPr>
          <w:b/>
          <w:bCs/>
        </w:rPr>
        <w:t>15</w:t>
      </w:r>
      <w:r>
        <w:t>, 259–260.</w:t>
      </w:r>
    </w:p>
    <w:p w14:paraId="76E954BB" w14:textId="77777777" w:rsidR="00703D80" w:rsidRDefault="00000000">
      <w:bookmarkStart w:id="43" w:name="ref-pabis_concerted_2024"/>
      <w:bookmarkEnd w:id="42"/>
      <w:r>
        <w:rPr>
          <w:b/>
          <w:bCs/>
        </w:rPr>
        <w:lastRenderedPageBreak/>
        <w:t>Pabis, K., Barardo, D., Sirbu, O., Selvarajoo, K., Gruber, J. and Kennedy, B. K.</w:t>
      </w:r>
      <w:r>
        <w:t xml:space="preserve"> (2024). </w:t>
      </w:r>
      <w:hyperlink r:id="rId28">
        <w:r>
          <w:t>A concerted increase in readthrough and intron retention drives transposon expression during aging and senescence</w:t>
        </w:r>
      </w:hyperlink>
      <w:r>
        <w:t>.</w:t>
      </w:r>
    </w:p>
    <w:p w14:paraId="70647E5F" w14:textId="77777777" w:rsidR="00703D80" w:rsidRDefault="00000000">
      <w:bookmarkStart w:id="44" w:name="ref-peterson_influence_2011"/>
      <w:bookmarkEnd w:id="43"/>
      <w:r>
        <w:rPr>
          <w:b/>
          <w:bCs/>
        </w:rPr>
        <w:t>Peterson, M. D., Sen, A. and Gordon, P. M.</w:t>
      </w:r>
      <w:r>
        <w:t xml:space="preserve"> (2011). </w:t>
      </w:r>
      <w:hyperlink r:id="rId29">
        <w:r>
          <w:t>Influence of resistance exercise on lean body mass in aging adults: A meta-analysis.</w:t>
        </w:r>
      </w:hyperlink>
      <w:r>
        <w:t xml:space="preserve"> </w:t>
      </w:r>
      <w:r>
        <w:rPr>
          <w:i/>
          <w:iCs/>
        </w:rPr>
        <w:t>Med Sci Sports Exerc</w:t>
      </w:r>
      <w:r>
        <w:t xml:space="preserve"> </w:t>
      </w:r>
      <w:r>
        <w:rPr>
          <w:b/>
          <w:bCs/>
        </w:rPr>
        <w:t>43</w:t>
      </w:r>
      <w:r>
        <w:t>, 249–258.</w:t>
      </w:r>
    </w:p>
    <w:p w14:paraId="5A50E6D7" w14:textId="77777777" w:rsidR="00703D80" w:rsidRDefault="00000000">
      <w:bookmarkStart w:id="45" w:name="ref-robinson_enhanced_2017"/>
      <w:bookmarkEnd w:id="44"/>
      <w:r>
        <w:rPr>
          <w:b/>
          <w:bCs/>
        </w:rPr>
        <w:t>Robinson, M. M., Dasari, S., Konopka, A. R., Johnson, M. L., Manjunatha, S., Esponda, R. R., Carter, R. E., Lanza, I. R. and Nair, K. S.</w:t>
      </w:r>
      <w:r>
        <w:t xml:space="preserve"> (2017). Enhanced protein translation underlies improved metabolic and physical adaptations to different exercise training modes in young and old humans. </w:t>
      </w:r>
      <w:r>
        <w:rPr>
          <w:i/>
          <w:iCs/>
        </w:rPr>
        <w:t>Cell metabolism</w:t>
      </w:r>
      <w:r>
        <w:t xml:space="preserve"> </w:t>
      </w:r>
      <w:r>
        <w:rPr>
          <w:b/>
          <w:bCs/>
        </w:rPr>
        <w:t>25</w:t>
      </w:r>
      <w:r>
        <w:t>, 581–592.</w:t>
      </w:r>
    </w:p>
    <w:p w14:paraId="6CB4A856" w14:textId="77777777" w:rsidR="00703D80" w:rsidRDefault="00000000">
      <w:bookmarkStart w:id="46" w:name="X9abc3901ca7f09d6e15f6daefa88aae206ffc58"/>
      <w:bookmarkEnd w:id="45"/>
      <w:r>
        <w:rPr>
          <w:b/>
          <w:bCs/>
        </w:rPr>
        <w:t>Sánchez-Escabias, E., Guerrero-Martínez, J. A. and Reyes, J. C.</w:t>
      </w:r>
      <w:r>
        <w:t xml:space="preserve"> (2022). </w:t>
      </w:r>
      <w:hyperlink r:id="rId30">
        <w:r>
          <w:t>Co-transcriptional splicing efficiency is a gene-specific feature that can be regulated by TGFβ</w:t>
        </w:r>
      </w:hyperlink>
      <w:r>
        <w:t xml:space="preserve">. </w:t>
      </w:r>
      <w:r>
        <w:rPr>
          <w:i/>
          <w:iCs/>
        </w:rPr>
        <w:t>Communications Biology</w:t>
      </w:r>
      <w:r>
        <w:t xml:space="preserve"> </w:t>
      </w:r>
      <w:r>
        <w:rPr>
          <w:b/>
          <w:bCs/>
        </w:rPr>
        <w:t>5</w:t>
      </w:r>
      <w:r>
        <w:t>, 277.</w:t>
      </w:r>
    </w:p>
    <w:p w14:paraId="69AACA19" w14:textId="77777777" w:rsidR="00703D80" w:rsidRDefault="00000000">
      <w:bookmarkStart w:id="47" w:name="ref-saudemont_fitness_2017"/>
      <w:bookmarkEnd w:id="46"/>
      <w:r>
        <w:rPr>
          <w:b/>
          <w:bCs/>
        </w:rPr>
        <w:t>Saudemont, B., Popa, A., Parmley, J. L., Rocher, V., Blugeon, C., Necsulea, A., Meyer, E. and Duret, L.</w:t>
      </w:r>
      <w:r>
        <w:t xml:space="preserve"> (2017). The fitness cost of mis-splicing is the main determinant of alternative splicing patterns. </w:t>
      </w:r>
      <w:r>
        <w:rPr>
          <w:i/>
          <w:iCs/>
        </w:rPr>
        <w:t>Genome biology</w:t>
      </w:r>
      <w:r>
        <w:t xml:space="preserve"> </w:t>
      </w:r>
      <w:r>
        <w:rPr>
          <w:b/>
          <w:bCs/>
        </w:rPr>
        <w:t>18</w:t>
      </w:r>
      <w:r>
        <w:t>, 1–15.</w:t>
      </w:r>
    </w:p>
    <w:p w14:paraId="58181FC9" w14:textId="77777777" w:rsidR="00703D80" w:rsidRDefault="00000000">
      <w:bookmarkStart w:id="48" w:name="ref-schaum_ageing_2020"/>
      <w:bookmarkEnd w:id="47"/>
      <w:r>
        <w:rPr>
          <w:b/>
          <w:bCs/>
        </w:rPr>
        <w:t>Schaum, N., Lehallier, B., Hahn, O., Pálovics, R., Hosseinzadeh, S., Lee, S. E., Sit, R., Lee, D. P., Losada, P. M., Zardeneta, M. E., et al.</w:t>
      </w:r>
      <w:r>
        <w:t xml:space="preserve"> (2020). </w:t>
      </w:r>
      <w:hyperlink r:id="rId31">
        <w:r>
          <w:t>Ageing hallmarks exhibit organ-specific temporal signatures</w:t>
        </w:r>
      </w:hyperlink>
      <w:r>
        <w:t xml:space="preserve">. </w:t>
      </w:r>
      <w:r>
        <w:rPr>
          <w:i/>
          <w:iCs/>
        </w:rPr>
        <w:t>Nature</w:t>
      </w:r>
      <w:r>
        <w:t xml:space="preserve"> </w:t>
      </w:r>
      <w:r>
        <w:rPr>
          <w:b/>
          <w:bCs/>
        </w:rPr>
        <w:t>583</w:t>
      </w:r>
      <w:r>
        <w:t>, 596–602.</w:t>
      </w:r>
    </w:p>
    <w:p w14:paraId="308841C7" w14:textId="77777777" w:rsidR="00703D80" w:rsidRDefault="00000000">
      <w:bookmarkStart w:id="49" w:name="ref-schmitz_intron_2017"/>
      <w:bookmarkEnd w:id="48"/>
      <w:r>
        <w:rPr>
          <w:b/>
          <w:bCs/>
        </w:rPr>
        <w:t>Schmitz, U., Pinello, N., Jia, F., Alasmari, S., Ritchie, W., Keightley, M.-C., Shini, S., Lieschke, G. J., Wong, J. J.-L. and Rasko, J. E. J.</w:t>
      </w:r>
      <w:r>
        <w:t xml:space="preserve"> (2017). </w:t>
      </w:r>
      <w:hyperlink r:id="rId32">
        <w:r>
          <w:t>Intron retention enhances gene regulatory complexity in vertebrates</w:t>
        </w:r>
      </w:hyperlink>
      <w:r>
        <w:t xml:space="preserve">. </w:t>
      </w:r>
      <w:r>
        <w:rPr>
          <w:i/>
          <w:iCs/>
        </w:rPr>
        <w:t>Genome Biology</w:t>
      </w:r>
      <w:r>
        <w:t xml:space="preserve"> </w:t>
      </w:r>
      <w:r>
        <w:rPr>
          <w:b/>
          <w:bCs/>
        </w:rPr>
        <w:t>18</w:t>
      </w:r>
      <w:r>
        <w:t>, 216.</w:t>
      </w:r>
    </w:p>
    <w:p w14:paraId="76504E60" w14:textId="77777777" w:rsidR="00703D80" w:rsidRDefault="00000000">
      <w:bookmarkStart w:id="50" w:name="ref-schwerk_regulation_2005"/>
      <w:bookmarkEnd w:id="49"/>
      <w:r>
        <w:rPr>
          <w:b/>
          <w:bCs/>
        </w:rPr>
        <w:t>Schwerk, C. and Schulze-Osthoff, K.</w:t>
      </w:r>
      <w:r>
        <w:t xml:space="preserve"> (2005). Regulation of apoptosis by alternative pre-mRNA splicing. </w:t>
      </w:r>
      <w:r>
        <w:rPr>
          <w:i/>
          <w:iCs/>
        </w:rPr>
        <w:t>Molecular cell</w:t>
      </w:r>
      <w:r>
        <w:t xml:space="preserve"> </w:t>
      </w:r>
      <w:r>
        <w:rPr>
          <w:b/>
          <w:bCs/>
        </w:rPr>
        <w:t>19</w:t>
      </w:r>
      <w:r>
        <w:t>, 1–13.</w:t>
      </w:r>
    </w:p>
    <w:p w14:paraId="01DBA5FA" w14:textId="77777777" w:rsidR="00703D80" w:rsidRDefault="00000000">
      <w:bookmarkStart w:id="51" w:name="ref-shah_towards_2022"/>
      <w:bookmarkEnd w:id="50"/>
      <w:r>
        <w:rPr>
          <w:b/>
          <w:bCs/>
        </w:rPr>
        <w:t>Shah, J. S., Milevskiy, M. J., Petrova, V., Au, A. Y., Wong, J. J., Visvader, J. E., Schmitz, U. and Rasko, J. E.</w:t>
      </w:r>
      <w:r>
        <w:t xml:space="preserve"> (2022). Towards resolution of the intron retention paradox in breast cancer. </w:t>
      </w:r>
      <w:r>
        <w:rPr>
          <w:i/>
          <w:iCs/>
        </w:rPr>
        <w:t>Breast Cancer Research</w:t>
      </w:r>
      <w:r>
        <w:t xml:space="preserve"> </w:t>
      </w:r>
      <w:r>
        <w:rPr>
          <w:b/>
          <w:bCs/>
        </w:rPr>
        <w:t>24</w:t>
      </w:r>
      <w:r>
        <w:t>, 100.</w:t>
      </w:r>
    </w:p>
    <w:p w14:paraId="627B06EA" w14:textId="77777777" w:rsidR="00703D80" w:rsidRDefault="00000000">
      <w:bookmarkStart w:id="52" w:name="ref-smart_role_2022"/>
      <w:bookmarkEnd w:id="51"/>
      <w:r>
        <w:rPr>
          <w:b/>
          <w:bCs/>
        </w:rPr>
        <w:t>Smart, T. F. F., Doleman, B., Hatt, J., Paul, M., Toft, S., Lund, J. N. and Phillips, B. E.</w:t>
      </w:r>
      <w:r>
        <w:t xml:space="preserve"> (2022). </w:t>
      </w:r>
      <w:hyperlink r:id="rId33">
        <w:r>
          <w:t>The role of resistance exercise training for improving cardiorespiratory fitness in healthy older adults: A systematic review and meta-analysis</w:t>
        </w:r>
      </w:hyperlink>
      <w:r>
        <w:t xml:space="preserve">. </w:t>
      </w:r>
      <w:r>
        <w:rPr>
          <w:i/>
          <w:iCs/>
        </w:rPr>
        <w:t>Age and Ageing</w:t>
      </w:r>
      <w:r>
        <w:t xml:space="preserve"> </w:t>
      </w:r>
      <w:r>
        <w:rPr>
          <w:b/>
          <w:bCs/>
        </w:rPr>
        <w:t>51</w:t>
      </w:r>
      <w:r>
        <w:t>, afac143.</w:t>
      </w:r>
    </w:p>
    <w:p w14:paraId="24C52776" w14:textId="77777777" w:rsidR="00703D80" w:rsidRDefault="00000000">
      <w:bookmarkStart w:id="53" w:name="ref-stegeman_transcriptional_2017"/>
      <w:bookmarkEnd w:id="52"/>
      <w:r>
        <w:rPr>
          <w:b/>
          <w:bCs/>
        </w:rPr>
        <w:t>Stegeman, R. and Weake, V. M.</w:t>
      </w:r>
      <w:r>
        <w:t xml:space="preserve"> (2017). </w:t>
      </w:r>
      <w:hyperlink r:id="rId34">
        <w:r>
          <w:t>Transcriptional signatures of aging</w:t>
        </w:r>
      </w:hyperlink>
      <w:r>
        <w:t xml:space="preserve">. </w:t>
      </w:r>
      <w:r>
        <w:rPr>
          <w:i/>
          <w:iCs/>
        </w:rPr>
        <w:t>Journal of Molecular Biology</w:t>
      </w:r>
      <w:r>
        <w:t xml:space="preserve"> </w:t>
      </w:r>
      <w:r>
        <w:rPr>
          <w:b/>
          <w:bCs/>
        </w:rPr>
        <w:t>429</w:t>
      </w:r>
      <w:r>
        <w:t>, 2427–2437.</w:t>
      </w:r>
    </w:p>
    <w:p w14:paraId="3A87AC4A" w14:textId="77777777" w:rsidR="00703D80" w:rsidRDefault="00000000">
      <w:bookmarkStart w:id="54" w:name="ref-stokes_transcriptomics_2023"/>
      <w:bookmarkEnd w:id="53"/>
      <w:r>
        <w:rPr>
          <w:b/>
          <w:bCs/>
        </w:rPr>
        <w:t>Stokes, T., Cen, H. H., Kapranov, P., Gallagher, I. J., Pitsillides, A. A., Volmar, C.-H., Kraus, W. E., Johnson, J. D., Phillips, S. M. and Wahlestedt, C.</w:t>
      </w:r>
      <w:r>
        <w:t xml:space="preserve"> (2023). Transcriptomics for clinical and experimental biology research: Hang on a seq. </w:t>
      </w:r>
      <w:r>
        <w:rPr>
          <w:i/>
          <w:iCs/>
        </w:rPr>
        <w:t>Advanced Genetics</w:t>
      </w:r>
      <w:r>
        <w:t xml:space="preserve"> </w:t>
      </w:r>
      <w:r>
        <w:rPr>
          <w:b/>
          <w:bCs/>
        </w:rPr>
        <w:t>4</w:t>
      </w:r>
      <w:r>
        <w:t>, 2200024.</w:t>
      </w:r>
    </w:p>
    <w:p w14:paraId="01E9653C" w14:textId="77777777" w:rsidR="00703D80" w:rsidRDefault="00000000">
      <w:bookmarkStart w:id="55" w:name="ref-sznajder_intron_2018"/>
      <w:bookmarkEnd w:id="54"/>
      <w:r>
        <w:rPr>
          <w:b/>
          <w:bCs/>
        </w:rPr>
        <w:lastRenderedPageBreak/>
        <w:t>Sznajder, Ł. J., Thomas, J. D., Carrell, E. M., Reid, T., McFarland, K. N., Cleary, J. D., Oliveira, R., Nutter, C. A., Bhatt, K. and Sobczak, K.</w:t>
      </w:r>
      <w:r>
        <w:t xml:space="preserve"> (2018). Intron retention induced by microsatellite expansions as a disease biomarker. </w:t>
      </w:r>
      <w:r>
        <w:rPr>
          <w:i/>
          <w:iCs/>
        </w:rPr>
        <w:t>Proceedings of the National Academy of Sciences</w:t>
      </w:r>
      <w:r>
        <w:t xml:space="preserve"> </w:t>
      </w:r>
      <w:r>
        <w:rPr>
          <w:b/>
          <w:bCs/>
        </w:rPr>
        <w:t>115</w:t>
      </w:r>
      <w:r>
        <w:t>, 4234–4239.</w:t>
      </w:r>
    </w:p>
    <w:p w14:paraId="71DD53CF" w14:textId="77777777" w:rsidR="00703D80" w:rsidRDefault="00000000">
      <w:bookmarkStart w:id="56" w:name="ref-ubaida-mohien_physical_2019"/>
      <w:bookmarkEnd w:id="55"/>
      <w:r>
        <w:rPr>
          <w:b/>
          <w:bCs/>
        </w:rPr>
        <w:t>Ubaida-Mohien, C., Gonzalez-Freire, M., Lyashkov, A., Moaddel, R., Chia, C. W., Simonsick, E. M., Sen, R. and Ferrucci, L.</w:t>
      </w:r>
      <w:r>
        <w:t xml:space="preserve"> (2019a). Physical activity associated proteomics of skeletal muscle: Being physically active in daily life may protect skeletal muscle from aging. </w:t>
      </w:r>
      <w:r>
        <w:rPr>
          <w:i/>
          <w:iCs/>
        </w:rPr>
        <w:t>Frontiers in physiology</w:t>
      </w:r>
      <w:r>
        <w:t xml:space="preserve"> </w:t>
      </w:r>
      <w:r>
        <w:rPr>
          <w:b/>
          <w:bCs/>
        </w:rPr>
        <w:t>10</w:t>
      </w:r>
      <w:r>
        <w:t>, 312.</w:t>
      </w:r>
    </w:p>
    <w:p w14:paraId="52E52210" w14:textId="77777777" w:rsidR="00703D80" w:rsidRDefault="00000000">
      <w:bookmarkStart w:id="57" w:name="ref-ubaida-mohien_discovery_2019"/>
      <w:bookmarkEnd w:id="56"/>
      <w:r>
        <w:rPr>
          <w:b/>
          <w:bCs/>
        </w:rPr>
        <w:t>Ubaida-Mohien, C., Lyashkov, A., Gonzalez-Freire, M., Tharakan, R., Shardell, M., Moaddel, R., Semba, R. D., Chia, C. W., Gorospe, M., Sen, R., et al.</w:t>
      </w:r>
      <w:r>
        <w:t xml:space="preserve"> (2019b). </w:t>
      </w:r>
      <w:hyperlink r:id="rId35">
        <w:r>
          <w:t>Discovery proteomics in aging human skeletal muscle finds change in spliceosome, immunity, proteostasis and mitochondria</w:t>
        </w:r>
      </w:hyperlink>
      <w:r>
        <w:t xml:space="preserve">. </w:t>
      </w:r>
      <w:r>
        <w:rPr>
          <w:i/>
          <w:iCs/>
        </w:rPr>
        <w:t>eLife</w:t>
      </w:r>
      <w:r>
        <w:t xml:space="preserve"> </w:t>
      </w:r>
      <w:r>
        <w:rPr>
          <w:b/>
          <w:bCs/>
        </w:rPr>
        <w:t>8</w:t>
      </w:r>
      <w:r>
        <w:t>, e49874.</w:t>
      </w:r>
    </w:p>
    <w:p w14:paraId="3B58A5F1" w14:textId="77777777" w:rsidR="00703D80" w:rsidRDefault="00000000">
      <w:bookmarkStart w:id="58" w:name="ref-ubaida-mohien_unbiased_2022"/>
      <w:bookmarkEnd w:id="57"/>
      <w:r>
        <w:rPr>
          <w:b/>
          <w:bCs/>
        </w:rPr>
        <w:t>Ubaida-Mohien, C., Spendiff, S., Lyashkov, A., Moaddel, R., MacMillan, N. J., Filion, M.-E., Morais, J. A., Taivassalo, T., Ferrucci, L. and Hepple, R. T.</w:t>
      </w:r>
      <w:r>
        <w:t xml:space="preserve"> (2022). </w:t>
      </w:r>
      <w:hyperlink r:id="rId36">
        <w:r>
          <w:t>Unbiased proteomics, histochemistry, and mitochondrial DNA copy number reveal better mitochondrial health in muscle of high-functioning octogenarians</w:t>
        </w:r>
      </w:hyperlink>
      <w:r>
        <w:t xml:space="preserve">. </w:t>
      </w:r>
      <w:r>
        <w:rPr>
          <w:i/>
          <w:iCs/>
        </w:rPr>
        <w:t>eLife</w:t>
      </w:r>
      <w:r>
        <w:t xml:space="preserve"> </w:t>
      </w:r>
      <w:r>
        <w:rPr>
          <w:b/>
          <w:bCs/>
        </w:rPr>
        <w:t>11</w:t>
      </w:r>
      <w:r>
        <w:t>, e74335.</w:t>
      </w:r>
    </w:p>
    <w:p w14:paraId="52E2D821" w14:textId="77777777" w:rsidR="00703D80" w:rsidRDefault="00000000">
      <w:bookmarkStart w:id="59" w:name="ref-veeneman_two-pass_2016"/>
      <w:bookmarkEnd w:id="58"/>
      <w:r>
        <w:rPr>
          <w:b/>
          <w:bCs/>
        </w:rPr>
        <w:t>Veeneman, B. A., Shukla, S., Dhanasekaran, S. M., Chinnaiyan, A. M. and Nesvizhskii, A. I.</w:t>
      </w:r>
      <w:r>
        <w:t xml:space="preserve"> (2016). </w:t>
      </w:r>
      <w:hyperlink r:id="rId37">
        <w:r>
          <w:t>Two-pass alignment improves novel splice junction quantification.</w:t>
        </w:r>
      </w:hyperlink>
      <w:r>
        <w:t xml:space="preserve"> </w:t>
      </w:r>
      <w:r>
        <w:rPr>
          <w:i/>
          <w:iCs/>
        </w:rPr>
        <w:t>Bioinformatics</w:t>
      </w:r>
      <w:r>
        <w:t xml:space="preserve"> </w:t>
      </w:r>
      <w:r>
        <w:rPr>
          <w:b/>
          <w:bCs/>
        </w:rPr>
        <w:t>32</w:t>
      </w:r>
      <w:r>
        <w:t>, 43–49.</w:t>
      </w:r>
    </w:p>
    <w:p w14:paraId="638A5210" w14:textId="77777777" w:rsidR="00703D80" w:rsidRDefault="00000000">
      <w:bookmarkStart w:id="60" w:name="ref-welle_gene_2003"/>
      <w:bookmarkEnd w:id="59"/>
      <w:r>
        <w:rPr>
          <w:b/>
          <w:bCs/>
        </w:rPr>
        <w:t>Welle, S., Brooks, A. I., Delehanty, J. M., Needler, N. and Thornton, C. A.</w:t>
      </w:r>
      <w:r>
        <w:t xml:space="preserve"> (2003). Gene expression profile of aging in human muscle. </w:t>
      </w:r>
      <w:r>
        <w:rPr>
          <w:i/>
          <w:iCs/>
        </w:rPr>
        <w:t>Physiological genomics</w:t>
      </w:r>
      <w:r>
        <w:t xml:space="preserve"> </w:t>
      </w:r>
      <w:r>
        <w:rPr>
          <w:b/>
          <w:bCs/>
        </w:rPr>
        <w:t>14</w:t>
      </w:r>
      <w:r>
        <w:t>, 149–159.</w:t>
      </w:r>
    </w:p>
    <w:p w14:paraId="4C7B151D" w14:textId="77777777" w:rsidR="00703D80" w:rsidRDefault="00000000">
      <w:bookmarkStart w:id="61" w:name="ref-wong_intron_2022"/>
      <w:bookmarkEnd w:id="60"/>
      <w:r>
        <w:rPr>
          <w:b/>
          <w:bCs/>
        </w:rPr>
        <w:t>Wong, J. J.-L. and Schmitz, U.</w:t>
      </w:r>
      <w:r>
        <w:t xml:space="preserve"> (2022). Intron retention: Importance, challenges, and opportunities. </w:t>
      </w:r>
      <w:r>
        <w:rPr>
          <w:i/>
          <w:iCs/>
        </w:rPr>
        <w:t>Trends in Genetics</w:t>
      </w:r>
      <w:r>
        <w:t xml:space="preserve"> </w:t>
      </w:r>
      <w:r>
        <w:rPr>
          <w:b/>
          <w:bCs/>
        </w:rPr>
        <w:t>38</w:t>
      </w:r>
      <w:r>
        <w:t>, 789–792.</w:t>
      </w:r>
    </w:p>
    <w:p w14:paraId="28E5E98E" w14:textId="77777777" w:rsidR="00703D80" w:rsidRDefault="00000000">
      <w:bookmarkStart w:id="62" w:name="ref-wong_orchestrated_2013"/>
      <w:bookmarkEnd w:id="61"/>
      <w:r>
        <w:rPr>
          <w:b/>
          <w:bCs/>
        </w:rPr>
        <w:t>Wong, J. J.-L., Ritchie, W., Ebner, O. A., Selbach, M., Wong, J. W. H., Huang, Y., Gao, D., Pinello, N., Gonzalez, M., Baidya, K., et al.</w:t>
      </w:r>
      <w:r>
        <w:t xml:space="preserve"> (2013). </w:t>
      </w:r>
      <w:hyperlink r:id="rId38">
        <w:r>
          <w:t>Orchestrated intron retention regulates normal granulocyte differentiation</w:t>
        </w:r>
      </w:hyperlink>
      <w:r>
        <w:t xml:space="preserve">. </w:t>
      </w:r>
      <w:r>
        <w:rPr>
          <w:i/>
          <w:iCs/>
        </w:rPr>
        <w:t>Cell</w:t>
      </w:r>
      <w:r>
        <w:t xml:space="preserve"> </w:t>
      </w:r>
      <w:r>
        <w:rPr>
          <w:b/>
          <w:bCs/>
        </w:rPr>
        <w:t>154</w:t>
      </w:r>
      <w:r>
        <w:t>, 583–595.</w:t>
      </w:r>
    </w:p>
    <w:p w14:paraId="173DB545" w14:textId="77777777" w:rsidR="00703D80" w:rsidRDefault="00000000">
      <w:bookmarkStart w:id="63" w:name="ref-wong_intron_2016"/>
      <w:bookmarkEnd w:id="62"/>
      <w:r>
        <w:rPr>
          <w:b/>
          <w:bCs/>
        </w:rPr>
        <w:t>Wong, J. J.-L., Au, A. Y. M., Ritchie, W. and Rasko, J. E. J.</w:t>
      </w:r>
      <w:r>
        <w:t xml:space="preserve"> (2016). </w:t>
      </w:r>
      <w:hyperlink r:id="rId39">
        <w:r>
          <w:t>Intron retention in mRNA: No longer nonsense: Known and putative roles of intron retention in normal and disease biology.</w:t>
        </w:r>
      </w:hyperlink>
      <w:r>
        <w:t xml:space="preserve"> </w:t>
      </w:r>
      <w:r>
        <w:rPr>
          <w:i/>
          <w:iCs/>
        </w:rPr>
        <w:t>Bioessays</w:t>
      </w:r>
      <w:r>
        <w:t xml:space="preserve"> </w:t>
      </w:r>
      <w:r>
        <w:rPr>
          <w:b/>
          <w:bCs/>
        </w:rPr>
        <w:t>38</w:t>
      </w:r>
      <w:r>
        <w:t>, 41–49.</w:t>
      </w:r>
    </w:p>
    <w:p w14:paraId="355FD2E3" w14:textId="77777777" w:rsidR="00703D80" w:rsidRDefault="00000000">
      <w:bookmarkStart w:id="64" w:name="ref-zheng_intron_2020"/>
      <w:bookmarkEnd w:id="63"/>
      <w:r>
        <w:rPr>
          <w:b/>
          <w:bCs/>
        </w:rPr>
        <w:t>Zheng, J.-T., Lin, C.-X., Fang, Z.-Y. and Li, H.-D.</w:t>
      </w:r>
      <w:r>
        <w:t xml:space="preserve"> (2020). Intron retention as a mode for RNA-seq data analysis. </w:t>
      </w:r>
      <w:r>
        <w:rPr>
          <w:i/>
          <w:iCs/>
        </w:rPr>
        <w:t>Frontiers in genetics</w:t>
      </w:r>
      <w:r>
        <w:t xml:space="preserve"> </w:t>
      </w:r>
      <w:r>
        <w:rPr>
          <w:b/>
          <w:bCs/>
        </w:rPr>
        <w:t>11</w:t>
      </w:r>
      <w:r>
        <w:t>, 586.</w:t>
      </w:r>
      <w:bookmarkEnd w:id="1"/>
      <w:bookmarkEnd w:id="2"/>
      <w:bookmarkEnd w:id="3"/>
      <w:bookmarkEnd w:id="5"/>
      <w:bookmarkEnd w:id="64"/>
    </w:p>
    <w:sectPr w:rsidR="00703D80" w:rsidSect="00664515">
      <w:headerReference w:type="default" r:id="rId40"/>
      <w:pgSz w:w="12240" w:h="15840"/>
      <w:pgMar w:top="1417" w:right="1417" w:bottom="1417" w:left="1417" w:header="708" w:footer="708" w:gutter="0"/>
      <w:lnNumType w:countBy="1" w:restart="continuous"/>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168FF4" w14:textId="77777777" w:rsidR="00271183" w:rsidRDefault="00271183">
      <w:pPr>
        <w:spacing w:after="0"/>
      </w:pPr>
      <w:r>
        <w:separator/>
      </w:r>
    </w:p>
  </w:endnote>
  <w:endnote w:type="continuationSeparator" w:id="0">
    <w:p w14:paraId="44682EB7" w14:textId="77777777" w:rsidR="00271183" w:rsidRDefault="0027118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5C954A" w14:textId="77777777" w:rsidR="00271183" w:rsidRDefault="00271183">
      <w:r>
        <w:separator/>
      </w:r>
    </w:p>
  </w:footnote>
  <w:footnote w:type="continuationSeparator" w:id="0">
    <w:p w14:paraId="2210D2B9" w14:textId="77777777" w:rsidR="00271183" w:rsidRDefault="0027118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18523016"/>
      <w:docPartObj>
        <w:docPartGallery w:val="Page Numbers (Top of Page)"/>
        <w:docPartUnique/>
      </w:docPartObj>
    </w:sdtPr>
    <w:sdtContent>
      <w:p w14:paraId="6B9F1AA7" w14:textId="77777777" w:rsidR="00703D80" w:rsidRDefault="00000000">
        <w:pPr>
          <w:pStyle w:val="Topptekst"/>
          <w:jc w:val="right"/>
        </w:pPr>
        <w:r>
          <w:fldChar w:fldCharType="begin"/>
        </w:r>
        <w:r>
          <w:instrText>PAGE   \* MERGEFORMAT</w:instrText>
        </w:r>
        <w:r>
          <w:fldChar w:fldCharType="separate"/>
        </w:r>
        <w:r>
          <w:rPr>
            <w:lang w:val="nb-NO"/>
          </w:rPr>
          <w:t>2</w:t>
        </w:r>
        <w:r>
          <w:fldChar w:fldCharType="end"/>
        </w:r>
      </w:p>
    </w:sdtContent>
  </w:sdt>
  <w:p w14:paraId="51CE57E7" w14:textId="77777777" w:rsidR="00703D80" w:rsidRDefault="00703D80">
    <w:pPr>
      <w:pStyle w:val="Top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E9921B58"/>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 w16cid:durableId="52286769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08"/>
  <w:hyphenationZone w:val="425"/>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3D80"/>
    <w:rsid w:val="00022FEF"/>
    <w:rsid w:val="00271183"/>
    <w:rsid w:val="00703D80"/>
    <w:rsid w:val="00CC434B"/>
    <w:rsid w:val="00CE1A59"/>
  </w:rsids>
  <m:mathPr>
    <m:mathFont m:val="Cambria Math"/>
    <m:brkBin m:val="before"/>
    <m:brkBinSub m:val="--"/>
    <m:smallFrac m:val="0"/>
    <m:dispDef/>
    <m:lMargin m:val="0"/>
    <m:rMargin m:val="0"/>
    <m:defJc m:val="centerGroup"/>
    <m:wrapIndent m:val="1440"/>
    <m:intLim m:val="subSup"/>
    <m:naryLim m:val="undOvr"/>
  </m:mathPr>
  <w:themeFontLang w:val="nb-N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C69B59"/>
  <w15:docId w15:val="{E7F0787C-C871-434E-9393-1E813C8E85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b-N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64515"/>
    <w:pPr>
      <w:spacing w:after="200" w:line="240" w:lineRule="auto"/>
    </w:pPr>
    <w:rPr>
      <w:kern w:val="0"/>
      <w:sz w:val="24"/>
      <w:szCs w:val="24"/>
      <w:lang w:val="en-US"/>
      <w14:ligatures w14:val="none"/>
    </w:rPr>
  </w:style>
  <w:style w:type="paragraph" w:styleId="Overskrift1">
    <w:name w:val="heading 1"/>
    <w:basedOn w:val="Normal"/>
    <w:next w:val="Normal"/>
    <w:link w:val="Overskrift1Tegn"/>
    <w:uiPriority w:val="9"/>
    <w:qFormat/>
    <w:rsid w:val="00664515"/>
    <w:pPr>
      <w:keepNext/>
      <w:keepLines/>
      <w:spacing w:before="360" w:after="80" w:line="259" w:lineRule="auto"/>
      <w:outlineLvl w:val="0"/>
    </w:pPr>
    <w:rPr>
      <w:rFonts w:asciiTheme="majorHAnsi" w:eastAsiaTheme="majorEastAsia" w:hAnsiTheme="majorHAnsi" w:cstheme="majorBidi"/>
      <w:color w:val="0F4761" w:themeColor="accent1" w:themeShade="BF"/>
      <w:kern w:val="2"/>
      <w:sz w:val="40"/>
      <w:szCs w:val="40"/>
      <w:lang w:val="nb-NO"/>
      <w14:ligatures w14:val="standardContextual"/>
    </w:rPr>
  </w:style>
  <w:style w:type="paragraph" w:styleId="Overskrift2">
    <w:name w:val="heading 2"/>
    <w:basedOn w:val="Normal"/>
    <w:next w:val="Normal"/>
    <w:link w:val="Overskrift2Tegn"/>
    <w:uiPriority w:val="9"/>
    <w:unhideWhenUsed/>
    <w:qFormat/>
    <w:rsid w:val="00664515"/>
    <w:pPr>
      <w:keepNext/>
      <w:keepLines/>
      <w:spacing w:before="160" w:after="80" w:line="259" w:lineRule="auto"/>
      <w:outlineLvl w:val="1"/>
    </w:pPr>
    <w:rPr>
      <w:rFonts w:asciiTheme="majorHAnsi" w:eastAsiaTheme="majorEastAsia" w:hAnsiTheme="majorHAnsi" w:cstheme="majorBidi"/>
      <w:color w:val="0F4761" w:themeColor="accent1" w:themeShade="BF"/>
      <w:kern w:val="2"/>
      <w:sz w:val="32"/>
      <w:szCs w:val="32"/>
      <w:lang w:val="nb-NO"/>
      <w14:ligatures w14:val="standardContextual"/>
    </w:rPr>
  </w:style>
  <w:style w:type="paragraph" w:styleId="Overskrift3">
    <w:name w:val="heading 3"/>
    <w:basedOn w:val="Normal"/>
    <w:next w:val="Normal"/>
    <w:link w:val="Overskrift3Tegn"/>
    <w:uiPriority w:val="9"/>
    <w:unhideWhenUsed/>
    <w:qFormat/>
    <w:rsid w:val="00664515"/>
    <w:pPr>
      <w:keepNext/>
      <w:keepLines/>
      <w:spacing w:before="160" w:after="80" w:line="259" w:lineRule="auto"/>
      <w:outlineLvl w:val="2"/>
    </w:pPr>
    <w:rPr>
      <w:rFonts w:eastAsiaTheme="majorEastAsia" w:cstheme="majorBidi"/>
      <w:color w:val="0F4761" w:themeColor="accent1" w:themeShade="BF"/>
      <w:kern w:val="2"/>
      <w:sz w:val="28"/>
      <w:szCs w:val="28"/>
      <w:lang w:val="nb-NO"/>
      <w14:ligatures w14:val="standardContextual"/>
    </w:rPr>
  </w:style>
  <w:style w:type="paragraph" w:styleId="Overskrift4">
    <w:name w:val="heading 4"/>
    <w:basedOn w:val="Normal"/>
    <w:next w:val="Normal"/>
    <w:link w:val="Overskrift4Tegn"/>
    <w:uiPriority w:val="9"/>
    <w:unhideWhenUsed/>
    <w:qFormat/>
    <w:rsid w:val="00664515"/>
    <w:pPr>
      <w:keepNext/>
      <w:keepLines/>
      <w:spacing w:before="80" w:after="40" w:line="259" w:lineRule="auto"/>
      <w:outlineLvl w:val="3"/>
    </w:pPr>
    <w:rPr>
      <w:rFonts w:eastAsiaTheme="majorEastAsia" w:cstheme="majorBidi"/>
      <w:i/>
      <w:iCs/>
      <w:color w:val="0F4761" w:themeColor="accent1" w:themeShade="BF"/>
      <w:kern w:val="2"/>
      <w:sz w:val="22"/>
      <w:szCs w:val="22"/>
      <w:lang w:val="nb-NO"/>
      <w14:ligatures w14:val="standardContextual"/>
    </w:rPr>
  </w:style>
  <w:style w:type="paragraph" w:styleId="Overskrift5">
    <w:name w:val="heading 5"/>
    <w:basedOn w:val="Normal"/>
    <w:next w:val="Normal"/>
    <w:link w:val="Overskrift5Tegn"/>
    <w:uiPriority w:val="9"/>
    <w:semiHidden/>
    <w:unhideWhenUsed/>
    <w:qFormat/>
    <w:rsid w:val="00664515"/>
    <w:pPr>
      <w:keepNext/>
      <w:keepLines/>
      <w:spacing w:before="80" w:after="40" w:line="259" w:lineRule="auto"/>
      <w:outlineLvl w:val="4"/>
    </w:pPr>
    <w:rPr>
      <w:rFonts w:eastAsiaTheme="majorEastAsia" w:cstheme="majorBidi"/>
      <w:color w:val="0F4761" w:themeColor="accent1" w:themeShade="BF"/>
      <w:kern w:val="2"/>
      <w:sz w:val="22"/>
      <w:szCs w:val="22"/>
      <w:lang w:val="nb-NO"/>
      <w14:ligatures w14:val="standardContextual"/>
    </w:rPr>
  </w:style>
  <w:style w:type="paragraph" w:styleId="Overskrift6">
    <w:name w:val="heading 6"/>
    <w:basedOn w:val="Normal"/>
    <w:next w:val="Normal"/>
    <w:link w:val="Overskrift6Tegn"/>
    <w:uiPriority w:val="9"/>
    <w:semiHidden/>
    <w:unhideWhenUsed/>
    <w:qFormat/>
    <w:rsid w:val="00664515"/>
    <w:pPr>
      <w:keepNext/>
      <w:keepLines/>
      <w:spacing w:before="40" w:after="0" w:line="259" w:lineRule="auto"/>
      <w:outlineLvl w:val="5"/>
    </w:pPr>
    <w:rPr>
      <w:rFonts w:eastAsiaTheme="majorEastAsia" w:cstheme="majorBidi"/>
      <w:i/>
      <w:iCs/>
      <w:color w:val="595959" w:themeColor="text1" w:themeTint="A6"/>
      <w:kern w:val="2"/>
      <w:sz w:val="22"/>
      <w:szCs w:val="22"/>
      <w:lang w:val="nb-NO"/>
      <w14:ligatures w14:val="standardContextual"/>
    </w:rPr>
  </w:style>
  <w:style w:type="paragraph" w:styleId="Overskrift7">
    <w:name w:val="heading 7"/>
    <w:basedOn w:val="Normal"/>
    <w:next w:val="Normal"/>
    <w:link w:val="Overskrift7Tegn"/>
    <w:uiPriority w:val="9"/>
    <w:semiHidden/>
    <w:unhideWhenUsed/>
    <w:qFormat/>
    <w:rsid w:val="00664515"/>
    <w:pPr>
      <w:keepNext/>
      <w:keepLines/>
      <w:spacing w:before="40" w:after="0" w:line="259" w:lineRule="auto"/>
      <w:outlineLvl w:val="6"/>
    </w:pPr>
    <w:rPr>
      <w:rFonts w:eastAsiaTheme="majorEastAsia" w:cstheme="majorBidi"/>
      <w:color w:val="595959" w:themeColor="text1" w:themeTint="A6"/>
      <w:kern w:val="2"/>
      <w:sz w:val="22"/>
      <w:szCs w:val="22"/>
      <w:lang w:val="nb-NO"/>
      <w14:ligatures w14:val="standardContextual"/>
    </w:rPr>
  </w:style>
  <w:style w:type="paragraph" w:styleId="Overskrift8">
    <w:name w:val="heading 8"/>
    <w:basedOn w:val="Normal"/>
    <w:next w:val="Normal"/>
    <w:link w:val="Overskrift8Tegn"/>
    <w:uiPriority w:val="9"/>
    <w:semiHidden/>
    <w:unhideWhenUsed/>
    <w:qFormat/>
    <w:rsid w:val="00664515"/>
    <w:pPr>
      <w:keepNext/>
      <w:keepLines/>
      <w:spacing w:after="0" w:line="259" w:lineRule="auto"/>
      <w:outlineLvl w:val="7"/>
    </w:pPr>
    <w:rPr>
      <w:rFonts w:eastAsiaTheme="majorEastAsia" w:cstheme="majorBidi"/>
      <w:i/>
      <w:iCs/>
      <w:color w:val="272727" w:themeColor="text1" w:themeTint="D8"/>
      <w:kern w:val="2"/>
      <w:sz w:val="22"/>
      <w:szCs w:val="22"/>
      <w:lang w:val="nb-NO"/>
      <w14:ligatures w14:val="standardContextual"/>
    </w:rPr>
  </w:style>
  <w:style w:type="paragraph" w:styleId="Overskrift9">
    <w:name w:val="heading 9"/>
    <w:basedOn w:val="Normal"/>
    <w:next w:val="Normal"/>
    <w:link w:val="Overskrift9Tegn"/>
    <w:uiPriority w:val="9"/>
    <w:semiHidden/>
    <w:unhideWhenUsed/>
    <w:qFormat/>
    <w:rsid w:val="00664515"/>
    <w:pPr>
      <w:keepNext/>
      <w:keepLines/>
      <w:spacing w:after="0" w:line="259" w:lineRule="auto"/>
      <w:outlineLvl w:val="8"/>
    </w:pPr>
    <w:rPr>
      <w:rFonts w:eastAsiaTheme="majorEastAsia" w:cstheme="majorBidi"/>
      <w:color w:val="272727" w:themeColor="text1" w:themeTint="D8"/>
      <w:kern w:val="2"/>
      <w:sz w:val="22"/>
      <w:szCs w:val="22"/>
      <w:lang w:val="nb-NO"/>
      <w14:ligatures w14:val="standardContextual"/>
    </w:rPr>
  </w:style>
  <w:style w:type="character" w:default="1" w:styleId="Standardskriftforavsnitt">
    <w:name w:val="Default Paragraph Font"/>
    <w:uiPriority w:val="1"/>
    <w:semiHidden/>
    <w:unhideWhenUsed/>
  </w:style>
  <w:style w:type="table" w:default="1" w:styleId="Vanligtabell">
    <w:name w:val="Normal Table"/>
    <w:uiPriority w:val="99"/>
    <w:semiHidden/>
    <w:unhideWhenUsed/>
    <w:tblPr>
      <w:tblInd w:w="0" w:type="dxa"/>
      <w:tblCellMar>
        <w:top w:w="0" w:type="dxa"/>
        <w:left w:w="108" w:type="dxa"/>
        <w:bottom w:w="0" w:type="dxa"/>
        <w:right w:w="108" w:type="dxa"/>
      </w:tblCellMar>
    </w:tblPr>
  </w:style>
  <w:style w:type="numbering" w:default="1" w:styleId="Ingenliste">
    <w:name w:val="No List"/>
    <w:uiPriority w:val="99"/>
    <w:semiHidden/>
    <w:unhideWhenUsed/>
  </w:style>
  <w:style w:type="character" w:customStyle="1" w:styleId="Overskrift1Tegn">
    <w:name w:val="Overskrift 1 Tegn"/>
    <w:basedOn w:val="Standardskriftforavsnitt"/>
    <w:link w:val="Overskrift1"/>
    <w:uiPriority w:val="9"/>
    <w:rsid w:val="00664515"/>
    <w:rPr>
      <w:rFonts w:asciiTheme="majorHAnsi" w:eastAsiaTheme="majorEastAsia" w:hAnsiTheme="majorHAnsi" w:cstheme="majorBidi"/>
      <w:color w:val="0F4761" w:themeColor="accent1" w:themeShade="BF"/>
      <w:sz w:val="40"/>
      <w:szCs w:val="40"/>
    </w:rPr>
  </w:style>
  <w:style w:type="character" w:customStyle="1" w:styleId="Overskrift2Tegn">
    <w:name w:val="Overskrift 2 Tegn"/>
    <w:basedOn w:val="Standardskriftforavsnitt"/>
    <w:link w:val="Overskrift2"/>
    <w:uiPriority w:val="9"/>
    <w:rsid w:val="00664515"/>
    <w:rPr>
      <w:rFonts w:asciiTheme="majorHAnsi" w:eastAsiaTheme="majorEastAsia" w:hAnsiTheme="majorHAnsi" w:cstheme="majorBidi"/>
      <w:color w:val="0F4761" w:themeColor="accent1" w:themeShade="BF"/>
      <w:sz w:val="32"/>
      <w:szCs w:val="32"/>
    </w:rPr>
  </w:style>
  <w:style w:type="character" w:customStyle="1" w:styleId="Overskrift3Tegn">
    <w:name w:val="Overskrift 3 Tegn"/>
    <w:basedOn w:val="Standardskriftforavsnitt"/>
    <w:link w:val="Overskrift3"/>
    <w:uiPriority w:val="9"/>
    <w:semiHidden/>
    <w:rsid w:val="00664515"/>
    <w:rPr>
      <w:rFonts w:eastAsiaTheme="majorEastAsia" w:cstheme="majorBidi"/>
      <w:color w:val="0F4761" w:themeColor="accent1" w:themeShade="BF"/>
      <w:sz w:val="28"/>
      <w:szCs w:val="28"/>
    </w:rPr>
  </w:style>
  <w:style w:type="character" w:customStyle="1" w:styleId="Overskrift4Tegn">
    <w:name w:val="Overskrift 4 Tegn"/>
    <w:basedOn w:val="Standardskriftforavsnitt"/>
    <w:link w:val="Overskrift4"/>
    <w:uiPriority w:val="9"/>
    <w:semiHidden/>
    <w:rsid w:val="00664515"/>
    <w:rPr>
      <w:rFonts w:eastAsiaTheme="majorEastAsia" w:cstheme="majorBidi"/>
      <w:i/>
      <w:iCs/>
      <w:color w:val="0F4761" w:themeColor="accent1" w:themeShade="BF"/>
    </w:rPr>
  </w:style>
  <w:style w:type="character" w:customStyle="1" w:styleId="Overskrift5Tegn">
    <w:name w:val="Overskrift 5 Tegn"/>
    <w:basedOn w:val="Standardskriftforavsnitt"/>
    <w:link w:val="Overskrift5"/>
    <w:uiPriority w:val="9"/>
    <w:semiHidden/>
    <w:rsid w:val="00664515"/>
    <w:rPr>
      <w:rFonts w:eastAsiaTheme="majorEastAsia" w:cstheme="majorBidi"/>
      <w:color w:val="0F4761" w:themeColor="accent1" w:themeShade="BF"/>
    </w:rPr>
  </w:style>
  <w:style w:type="character" w:customStyle="1" w:styleId="Overskrift6Tegn">
    <w:name w:val="Overskrift 6 Tegn"/>
    <w:basedOn w:val="Standardskriftforavsnitt"/>
    <w:link w:val="Overskrift6"/>
    <w:uiPriority w:val="9"/>
    <w:semiHidden/>
    <w:rsid w:val="00664515"/>
    <w:rPr>
      <w:rFonts w:eastAsiaTheme="majorEastAsia" w:cstheme="majorBidi"/>
      <w:i/>
      <w:iCs/>
      <w:color w:val="595959" w:themeColor="text1" w:themeTint="A6"/>
    </w:rPr>
  </w:style>
  <w:style w:type="character" w:customStyle="1" w:styleId="Overskrift7Tegn">
    <w:name w:val="Overskrift 7 Tegn"/>
    <w:basedOn w:val="Standardskriftforavsnitt"/>
    <w:link w:val="Overskrift7"/>
    <w:uiPriority w:val="9"/>
    <w:semiHidden/>
    <w:rsid w:val="00664515"/>
    <w:rPr>
      <w:rFonts w:eastAsiaTheme="majorEastAsia" w:cstheme="majorBidi"/>
      <w:color w:val="595959" w:themeColor="text1" w:themeTint="A6"/>
    </w:rPr>
  </w:style>
  <w:style w:type="character" w:customStyle="1" w:styleId="Overskrift8Tegn">
    <w:name w:val="Overskrift 8 Tegn"/>
    <w:basedOn w:val="Standardskriftforavsnitt"/>
    <w:link w:val="Overskrift8"/>
    <w:uiPriority w:val="9"/>
    <w:semiHidden/>
    <w:rsid w:val="00664515"/>
    <w:rPr>
      <w:rFonts w:eastAsiaTheme="majorEastAsia" w:cstheme="majorBidi"/>
      <w:i/>
      <w:iCs/>
      <w:color w:val="272727" w:themeColor="text1" w:themeTint="D8"/>
    </w:rPr>
  </w:style>
  <w:style w:type="character" w:customStyle="1" w:styleId="Overskrift9Tegn">
    <w:name w:val="Overskrift 9 Tegn"/>
    <w:basedOn w:val="Standardskriftforavsnitt"/>
    <w:link w:val="Overskrift9"/>
    <w:uiPriority w:val="9"/>
    <w:semiHidden/>
    <w:rsid w:val="00664515"/>
    <w:rPr>
      <w:rFonts w:eastAsiaTheme="majorEastAsia" w:cstheme="majorBidi"/>
      <w:color w:val="272727" w:themeColor="text1" w:themeTint="D8"/>
    </w:rPr>
  </w:style>
  <w:style w:type="paragraph" w:styleId="Tittel">
    <w:name w:val="Title"/>
    <w:basedOn w:val="Normal"/>
    <w:next w:val="Normal"/>
    <w:link w:val="TittelTegn"/>
    <w:qFormat/>
    <w:rsid w:val="00664515"/>
    <w:pPr>
      <w:spacing w:after="80"/>
      <w:contextualSpacing/>
    </w:pPr>
    <w:rPr>
      <w:rFonts w:asciiTheme="majorHAnsi" w:eastAsiaTheme="majorEastAsia" w:hAnsiTheme="majorHAnsi" w:cstheme="majorBidi"/>
      <w:spacing w:val="-10"/>
      <w:kern w:val="28"/>
      <w:sz w:val="56"/>
      <w:szCs w:val="56"/>
      <w:lang w:val="nb-NO"/>
      <w14:ligatures w14:val="standardContextual"/>
    </w:rPr>
  </w:style>
  <w:style w:type="character" w:customStyle="1" w:styleId="TittelTegn">
    <w:name w:val="Tittel Tegn"/>
    <w:basedOn w:val="Standardskriftforavsnitt"/>
    <w:link w:val="Tittel"/>
    <w:uiPriority w:val="10"/>
    <w:rsid w:val="00664515"/>
    <w:rPr>
      <w:rFonts w:asciiTheme="majorHAnsi" w:eastAsiaTheme="majorEastAsia" w:hAnsiTheme="majorHAnsi" w:cstheme="majorBidi"/>
      <w:spacing w:val="-10"/>
      <w:kern w:val="28"/>
      <w:sz w:val="56"/>
      <w:szCs w:val="56"/>
    </w:rPr>
  </w:style>
  <w:style w:type="paragraph" w:styleId="Undertittel">
    <w:name w:val="Subtitle"/>
    <w:basedOn w:val="Normal"/>
    <w:next w:val="Normal"/>
    <w:link w:val="UndertittelTegn"/>
    <w:uiPriority w:val="11"/>
    <w:qFormat/>
    <w:rsid w:val="00664515"/>
    <w:pPr>
      <w:numPr>
        <w:ilvl w:val="1"/>
      </w:numPr>
      <w:spacing w:after="160" w:line="259" w:lineRule="auto"/>
    </w:pPr>
    <w:rPr>
      <w:rFonts w:eastAsiaTheme="majorEastAsia" w:cstheme="majorBidi"/>
      <w:color w:val="595959" w:themeColor="text1" w:themeTint="A6"/>
      <w:spacing w:val="15"/>
      <w:kern w:val="2"/>
      <w:sz w:val="28"/>
      <w:szCs w:val="28"/>
      <w:lang w:val="nb-NO"/>
      <w14:ligatures w14:val="standardContextual"/>
    </w:rPr>
  </w:style>
  <w:style w:type="character" w:customStyle="1" w:styleId="UndertittelTegn">
    <w:name w:val="Undertittel Tegn"/>
    <w:basedOn w:val="Standardskriftforavsnitt"/>
    <w:link w:val="Undertittel"/>
    <w:uiPriority w:val="11"/>
    <w:rsid w:val="00664515"/>
    <w:rPr>
      <w:rFonts w:eastAsiaTheme="majorEastAsia" w:cstheme="majorBidi"/>
      <w:color w:val="595959" w:themeColor="text1" w:themeTint="A6"/>
      <w:spacing w:val="15"/>
      <w:sz w:val="28"/>
      <w:szCs w:val="28"/>
    </w:rPr>
  </w:style>
  <w:style w:type="paragraph" w:styleId="Sitat">
    <w:name w:val="Quote"/>
    <w:basedOn w:val="Normal"/>
    <w:next w:val="Normal"/>
    <w:link w:val="SitatTegn"/>
    <w:uiPriority w:val="29"/>
    <w:qFormat/>
    <w:rsid w:val="00664515"/>
    <w:pPr>
      <w:spacing w:before="160" w:after="160" w:line="259" w:lineRule="auto"/>
      <w:jc w:val="center"/>
    </w:pPr>
    <w:rPr>
      <w:i/>
      <w:iCs/>
      <w:color w:val="404040" w:themeColor="text1" w:themeTint="BF"/>
      <w:kern w:val="2"/>
      <w:sz w:val="22"/>
      <w:szCs w:val="22"/>
      <w:lang w:val="nb-NO"/>
      <w14:ligatures w14:val="standardContextual"/>
    </w:rPr>
  </w:style>
  <w:style w:type="character" w:customStyle="1" w:styleId="SitatTegn">
    <w:name w:val="Sitat Tegn"/>
    <w:basedOn w:val="Standardskriftforavsnitt"/>
    <w:link w:val="Sitat"/>
    <w:uiPriority w:val="29"/>
    <w:rsid w:val="00664515"/>
    <w:rPr>
      <w:i/>
      <w:iCs/>
      <w:color w:val="404040" w:themeColor="text1" w:themeTint="BF"/>
    </w:rPr>
  </w:style>
  <w:style w:type="paragraph" w:styleId="Listeavsnitt">
    <w:name w:val="List Paragraph"/>
    <w:basedOn w:val="Normal"/>
    <w:uiPriority w:val="34"/>
    <w:qFormat/>
    <w:rsid w:val="00664515"/>
    <w:pPr>
      <w:spacing w:after="160" w:line="259" w:lineRule="auto"/>
      <w:ind w:left="720"/>
      <w:contextualSpacing/>
    </w:pPr>
    <w:rPr>
      <w:kern w:val="2"/>
      <w:sz w:val="22"/>
      <w:szCs w:val="22"/>
      <w:lang w:val="nb-NO"/>
      <w14:ligatures w14:val="standardContextual"/>
    </w:rPr>
  </w:style>
  <w:style w:type="character" w:styleId="Sterkutheving">
    <w:name w:val="Intense Emphasis"/>
    <w:basedOn w:val="Standardskriftforavsnitt"/>
    <w:uiPriority w:val="21"/>
    <w:qFormat/>
    <w:rsid w:val="00664515"/>
    <w:rPr>
      <w:i/>
      <w:iCs/>
      <w:color w:val="0F4761" w:themeColor="accent1" w:themeShade="BF"/>
    </w:rPr>
  </w:style>
  <w:style w:type="paragraph" w:styleId="Sterktsitat">
    <w:name w:val="Intense Quote"/>
    <w:basedOn w:val="Normal"/>
    <w:next w:val="Normal"/>
    <w:link w:val="SterktsitatTegn"/>
    <w:uiPriority w:val="30"/>
    <w:qFormat/>
    <w:rsid w:val="00664515"/>
    <w:pPr>
      <w:pBdr>
        <w:top w:val="single" w:sz="4" w:space="10" w:color="0F4761" w:themeColor="accent1" w:themeShade="BF"/>
        <w:bottom w:val="single" w:sz="4" w:space="10" w:color="0F4761" w:themeColor="accent1" w:themeShade="BF"/>
      </w:pBdr>
      <w:spacing w:before="360" w:after="360" w:line="259" w:lineRule="auto"/>
      <w:ind w:left="864" w:right="864"/>
      <w:jc w:val="center"/>
    </w:pPr>
    <w:rPr>
      <w:i/>
      <w:iCs/>
      <w:color w:val="0F4761" w:themeColor="accent1" w:themeShade="BF"/>
      <w:kern w:val="2"/>
      <w:sz w:val="22"/>
      <w:szCs w:val="22"/>
      <w:lang w:val="nb-NO"/>
      <w14:ligatures w14:val="standardContextual"/>
    </w:rPr>
  </w:style>
  <w:style w:type="character" w:customStyle="1" w:styleId="SterktsitatTegn">
    <w:name w:val="Sterkt sitat Tegn"/>
    <w:basedOn w:val="Standardskriftforavsnitt"/>
    <w:link w:val="Sterktsitat"/>
    <w:uiPriority w:val="30"/>
    <w:rsid w:val="00664515"/>
    <w:rPr>
      <w:i/>
      <w:iCs/>
      <w:color w:val="0F4761" w:themeColor="accent1" w:themeShade="BF"/>
    </w:rPr>
  </w:style>
  <w:style w:type="character" w:styleId="Sterkreferanse">
    <w:name w:val="Intense Reference"/>
    <w:basedOn w:val="Standardskriftforavsnitt"/>
    <w:uiPriority w:val="32"/>
    <w:qFormat/>
    <w:rsid w:val="00664515"/>
    <w:rPr>
      <w:b/>
      <w:bCs/>
      <w:smallCaps/>
      <w:color w:val="0F4761" w:themeColor="accent1" w:themeShade="BF"/>
      <w:spacing w:val="5"/>
    </w:rPr>
  </w:style>
  <w:style w:type="paragraph" w:styleId="Brdtekst">
    <w:name w:val="Body Text"/>
    <w:basedOn w:val="Normal"/>
    <w:link w:val="BrdtekstTegn"/>
    <w:qFormat/>
    <w:rsid w:val="00664515"/>
    <w:pPr>
      <w:spacing w:before="180" w:after="180" w:line="480" w:lineRule="auto"/>
    </w:pPr>
    <w:rPr>
      <w:rFonts w:ascii="Times New Roman" w:hAnsi="Times New Roman"/>
    </w:rPr>
  </w:style>
  <w:style w:type="character" w:customStyle="1" w:styleId="BrdtekstTegn">
    <w:name w:val="Brødtekst Tegn"/>
    <w:basedOn w:val="Standardskriftforavsnitt"/>
    <w:link w:val="Brdtekst"/>
    <w:rsid w:val="00664515"/>
    <w:rPr>
      <w:rFonts w:ascii="Times New Roman" w:hAnsi="Times New Roman"/>
      <w:kern w:val="0"/>
      <w:sz w:val="24"/>
      <w:szCs w:val="24"/>
      <w:lang w:val="en-US"/>
      <w14:ligatures w14:val="none"/>
    </w:rPr>
  </w:style>
  <w:style w:type="paragraph" w:customStyle="1" w:styleId="FirstParagraph">
    <w:name w:val="First Paragraph"/>
    <w:basedOn w:val="Brdtekst"/>
    <w:next w:val="Brdtekst"/>
    <w:qFormat/>
    <w:rsid w:val="00664515"/>
  </w:style>
  <w:style w:type="paragraph" w:customStyle="1" w:styleId="Author">
    <w:name w:val="Author"/>
    <w:next w:val="Brdtekst"/>
    <w:qFormat/>
    <w:rsid w:val="00664515"/>
    <w:pPr>
      <w:keepNext/>
      <w:keepLines/>
      <w:spacing w:before="480" w:after="480" w:line="240" w:lineRule="auto"/>
      <w:ind w:left="567"/>
      <w:contextualSpacing/>
    </w:pPr>
    <w:rPr>
      <w:rFonts w:ascii="Times New Roman" w:hAnsi="Times New Roman"/>
      <w:kern w:val="0"/>
      <w:sz w:val="24"/>
      <w:szCs w:val="24"/>
      <w:lang w:val="en-US"/>
      <w14:ligatures w14:val="none"/>
    </w:rPr>
  </w:style>
  <w:style w:type="paragraph" w:customStyle="1" w:styleId="abstracttitle">
    <w:name w:val="abstracttitle"/>
    <w:basedOn w:val="Normal"/>
    <w:next w:val="Abstract"/>
    <w:qFormat/>
    <w:rsid w:val="00664515"/>
    <w:pPr>
      <w:keepNext/>
      <w:keepLines/>
      <w:pageBreakBefore/>
      <w:spacing w:before="300" w:after="0"/>
      <w:ind w:left="284"/>
    </w:pPr>
    <w:rPr>
      <w:rFonts w:ascii="Times New Roman" w:hAnsi="Times New Roman"/>
      <w:b/>
      <w:szCs w:val="20"/>
    </w:rPr>
  </w:style>
  <w:style w:type="paragraph" w:customStyle="1" w:styleId="Abstract">
    <w:name w:val="Abstract"/>
    <w:basedOn w:val="Normal"/>
    <w:next w:val="Brdtekst"/>
    <w:qFormat/>
    <w:rsid w:val="00664515"/>
    <w:pPr>
      <w:keepNext/>
      <w:keepLines/>
      <w:spacing w:before="100" w:after="300" w:line="480" w:lineRule="auto"/>
      <w:ind w:left="284"/>
    </w:pPr>
    <w:rPr>
      <w:rFonts w:ascii="Times New Roman" w:hAnsi="Times New Roman"/>
      <w:szCs w:val="20"/>
    </w:rPr>
  </w:style>
  <w:style w:type="paragraph" w:customStyle="1" w:styleId="author-meta">
    <w:name w:val="author-meta"/>
    <w:basedOn w:val="Overskrift2"/>
    <w:link w:val="author-metaTegn"/>
    <w:qFormat/>
    <w:rsid w:val="00664515"/>
    <w:pPr>
      <w:spacing w:before="0" w:after="0" w:line="240" w:lineRule="auto"/>
      <w:ind w:left="567"/>
      <w:contextualSpacing/>
    </w:pPr>
    <w:rPr>
      <w:rFonts w:ascii="Times New Roman" w:hAnsi="Times New Roman"/>
      <w:bCs/>
      <w:kern w:val="0"/>
      <w:sz w:val="24"/>
      <w:szCs w:val="28"/>
      <w:lang w:val="en-US"/>
      <w14:ligatures w14:val="none"/>
    </w:rPr>
  </w:style>
  <w:style w:type="character" w:customStyle="1" w:styleId="author-metaTegn">
    <w:name w:val="author-meta Tegn"/>
    <w:basedOn w:val="Overskrift2Tegn"/>
    <w:link w:val="author-meta"/>
    <w:rsid w:val="00664515"/>
    <w:rPr>
      <w:rFonts w:ascii="Times New Roman" w:eastAsiaTheme="majorEastAsia" w:hAnsi="Times New Roman" w:cstheme="majorBidi"/>
      <w:bCs/>
      <w:color w:val="0F4761" w:themeColor="accent1" w:themeShade="BF"/>
      <w:kern w:val="0"/>
      <w:sz w:val="24"/>
      <w:szCs w:val="28"/>
      <w:lang w:val="en-US"/>
      <w14:ligatures w14:val="none"/>
    </w:rPr>
  </w:style>
  <w:style w:type="paragraph" w:styleId="Topptekst">
    <w:name w:val="header"/>
    <w:basedOn w:val="Normal"/>
    <w:link w:val="TopptekstTegn"/>
    <w:uiPriority w:val="99"/>
    <w:rsid w:val="00664515"/>
    <w:pPr>
      <w:tabs>
        <w:tab w:val="center" w:pos="4536"/>
        <w:tab w:val="right" w:pos="9072"/>
      </w:tabs>
      <w:spacing w:after="0"/>
    </w:pPr>
  </w:style>
  <w:style w:type="character" w:customStyle="1" w:styleId="TopptekstTegn">
    <w:name w:val="Topptekst Tegn"/>
    <w:basedOn w:val="Standardskriftforavsnitt"/>
    <w:link w:val="Topptekst"/>
    <w:uiPriority w:val="99"/>
    <w:rsid w:val="00664515"/>
    <w:rPr>
      <w:kern w:val="0"/>
      <w:sz w:val="24"/>
      <w:szCs w:val="24"/>
      <w:lang w:val="en-US"/>
      <w14:ligatures w14:val="none"/>
    </w:rPr>
  </w:style>
  <w:style w:type="character" w:styleId="Linjenummer">
    <w:name w:val="line number"/>
    <w:basedOn w:val="Standardskriftforavsnitt"/>
    <w:uiPriority w:val="99"/>
    <w:semiHidden/>
    <w:unhideWhenUsed/>
    <w:rsid w:val="00664515"/>
  </w:style>
  <w:style w:type="paragraph" w:customStyle="1" w:styleId="SourceCode">
    <w:name w:val="Source Code"/>
    <w:basedOn w:val="Normal"/>
    <w:pPr>
      <w:shd w:val="clear" w:color="auto" w:fill="F1F3F5"/>
      <w:wordWrap w:val="0"/>
    </w:pPr>
  </w:style>
  <w:style w:type="character" w:customStyle="1" w:styleId="KeywordTok">
    <w:name w:val="KeywordTok"/>
    <w:rPr>
      <w:color w:val="003B4F"/>
      <w:shd w:val="clear" w:color="auto" w:fill="F1F3F5"/>
    </w:rPr>
  </w:style>
  <w:style w:type="character" w:customStyle="1" w:styleId="DataTypeTok">
    <w:name w:val="DataTypeTok"/>
    <w:rPr>
      <w:color w:val="AD0000"/>
      <w:shd w:val="clear" w:color="auto" w:fill="F1F3F5"/>
    </w:rPr>
  </w:style>
  <w:style w:type="character" w:customStyle="1" w:styleId="DecValTok">
    <w:name w:val="DecValTok"/>
    <w:rPr>
      <w:color w:val="AD0000"/>
      <w:shd w:val="clear" w:color="auto" w:fill="F1F3F5"/>
    </w:rPr>
  </w:style>
  <w:style w:type="character" w:customStyle="1" w:styleId="BaseNTok">
    <w:name w:val="BaseNTok"/>
    <w:rPr>
      <w:color w:val="AD0000"/>
      <w:shd w:val="clear" w:color="auto" w:fill="F1F3F5"/>
    </w:rPr>
  </w:style>
  <w:style w:type="character" w:customStyle="1" w:styleId="FloatTok">
    <w:name w:val="FloatTok"/>
    <w:rPr>
      <w:color w:val="AD0000"/>
      <w:shd w:val="clear" w:color="auto" w:fill="F1F3F5"/>
    </w:rPr>
  </w:style>
  <w:style w:type="character" w:customStyle="1" w:styleId="ConstantTok">
    <w:name w:val="ConstantTok"/>
    <w:rPr>
      <w:color w:val="8F5902"/>
      <w:shd w:val="clear" w:color="auto" w:fill="F1F3F5"/>
    </w:rPr>
  </w:style>
  <w:style w:type="character" w:customStyle="1" w:styleId="CharTok">
    <w:name w:val="CharTok"/>
    <w:rPr>
      <w:color w:val="20794D"/>
      <w:shd w:val="clear" w:color="auto" w:fill="F1F3F5"/>
    </w:rPr>
  </w:style>
  <w:style w:type="character" w:customStyle="1" w:styleId="SpecialCharTok">
    <w:name w:val="SpecialCharTok"/>
    <w:rPr>
      <w:color w:val="5E5E5E"/>
      <w:shd w:val="clear" w:color="auto" w:fill="F1F3F5"/>
    </w:rPr>
  </w:style>
  <w:style w:type="character" w:customStyle="1" w:styleId="StringTok">
    <w:name w:val="StringTok"/>
    <w:rPr>
      <w:color w:val="20794D"/>
      <w:shd w:val="clear" w:color="auto" w:fill="F1F3F5"/>
    </w:rPr>
  </w:style>
  <w:style w:type="character" w:customStyle="1" w:styleId="VerbatimStringTok">
    <w:name w:val="VerbatimStringTok"/>
    <w:rPr>
      <w:color w:val="20794D"/>
      <w:shd w:val="clear" w:color="auto" w:fill="F1F3F5"/>
    </w:rPr>
  </w:style>
  <w:style w:type="character" w:customStyle="1" w:styleId="SpecialStringTok">
    <w:name w:val="SpecialStringTok"/>
    <w:rPr>
      <w:color w:val="20794D"/>
      <w:shd w:val="clear" w:color="auto" w:fill="F1F3F5"/>
    </w:rPr>
  </w:style>
  <w:style w:type="character" w:customStyle="1" w:styleId="ImportTok">
    <w:name w:val="ImportTok"/>
    <w:rPr>
      <w:color w:val="00769E"/>
      <w:shd w:val="clear" w:color="auto" w:fill="F1F3F5"/>
    </w:rPr>
  </w:style>
  <w:style w:type="character" w:customStyle="1" w:styleId="CommentTok">
    <w:name w:val="CommentTok"/>
    <w:rPr>
      <w:color w:val="5E5E5E"/>
      <w:shd w:val="clear" w:color="auto" w:fill="F1F3F5"/>
    </w:rPr>
  </w:style>
  <w:style w:type="character" w:customStyle="1" w:styleId="DocumentationTok">
    <w:name w:val="DocumentationTok"/>
    <w:rPr>
      <w:i/>
      <w:color w:val="5E5E5E"/>
      <w:shd w:val="clear" w:color="auto" w:fill="F1F3F5"/>
    </w:rPr>
  </w:style>
  <w:style w:type="character" w:customStyle="1" w:styleId="AnnotationTok">
    <w:name w:val="AnnotationTok"/>
    <w:rPr>
      <w:color w:val="5E5E5E"/>
      <w:shd w:val="clear" w:color="auto" w:fill="F1F3F5"/>
    </w:rPr>
  </w:style>
  <w:style w:type="character" w:customStyle="1" w:styleId="CommentVarTok">
    <w:name w:val="CommentVarTok"/>
    <w:rPr>
      <w:i/>
      <w:color w:val="5E5E5E"/>
      <w:shd w:val="clear" w:color="auto" w:fill="F1F3F5"/>
    </w:rPr>
  </w:style>
  <w:style w:type="character" w:customStyle="1" w:styleId="OtherTok">
    <w:name w:val="OtherTok"/>
    <w:rPr>
      <w:color w:val="003B4F"/>
      <w:shd w:val="clear" w:color="auto" w:fill="F1F3F5"/>
    </w:rPr>
  </w:style>
  <w:style w:type="character" w:customStyle="1" w:styleId="FunctionTok">
    <w:name w:val="FunctionTok"/>
    <w:rPr>
      <w:color w:val="4758AB"/>
      <w:shd w:val="clear" w:color="auto" w:fill="F1F3F5"/>
    </w:rPr>
  </w:style>
  <w:style w:type="character" w:customStyle="1" w:styleId="VariableTok">
    <w:name w:val="VariableTok"/>
    <w:rPr>
      <w:color w:val="111111"/>
      <w:shd w:val="clear" w:color="auto" w:fill="F1F3F5"/>
    </w:rPr>
  </w:style>
  <w:style w:type="character" w:customStyle="1" w:styleId="ControlFlowTok">
    <w:name w:val="ControlFlowTok"/>
    <w:rPr>
      <w:color w:val="003B4F"/>
      <w:shd w:val="clear" w:color="auto" w:fill="F1F3F5"/>
    </w:rPr>
  </w:style>
  <w:style w:type="character" w:customStyle="1" w:styleId="OperatorTok">
    <w:name w:val="OperatorTok"/>
    <w:rPr>
      <w:color w:val="5E5E5E"/>
      <w:shd w:val="clear" w:color="auto" w:fill="F1F3F5"/>
    </w:rPr>
  </w:style>
  <w:style w:type="character" w:customStyle="1" w:styleId="BuiltInTok">
    <w:name w:val="BuiltInTok"/>
    <w:rPr>
      <w:color w:val="003B4F"/>
      <w:shd w:val="clear" w:color="auto" w:fill="F1F3F5"/>
    </w:rPr>
  </w:style>
  <w:style w:type="character" w:customStyle="1" w:styleId="ExtensionTok">
    <w:name w:val="ExtensionTok"/>
    <w:rPr>
      <w:color w:val="003B4F"/>
      <w:shd w:val="clear" w:color="auto" w:fill="F1F3F5"/>
    </w:rPr>
  </w:style>
  <w:style w:type="character" w:customStyle="1" w:styleId="PreprocessorTok">
    <w:name w:val="PreprocessorTok"/>
    <w:rPr>
      <w:color w:val="AD0000"/>
      <w:shd w:val="clear" w:color="auto" w:fill="F1F3F5"/>
    </w:rPr>
  </w:style>
  <w:style w:type="character" w:customStyle="1" w:styleId="AttributeTok">
    <w:name w:val="AttributeTok"/>
    <w:rPr>
      <w:color w:val="657422"/>
      <w:shd w:val="clear" w:color="auto" w:fill="F1F3F5"/>
    </w:rPr>
  </w:style>
  <w:style w:type="character" w:customStyle="1" w:styleId="RegionMarkerTok">
    <w:name w:val="RegionMarkerTok"/>
    <w:rPr>
      <w:color w:val="003B4F"/>
      <w:shd w:val="clear" w:color="auto" w:fill="F1F3F5"/>
    </w:rPr>
  </w:style>
  <w:style w:type="character" w:customStyle="1" w:styleId="InformationTok">
    <w:name w:val="InformationTok"/>
    <w:rPr>
      <w:color w:val="5E5E5E"/>
      <w:shd w:val="clear" w:color="auto" w:fill="F1F3F5"/>
    </w:rPr>
  </w:style>
  <w:style w:type="character" w:customStyle="1" w:styleId="WarningTok">
    <w:name w:val="WarningTok"/>
    <w:rPr>
      <w:i/>
      <w:color w:val="5E5E5E"/>
      <w:shd w:val="clear" w:color="auto" w:fill="F1F3F5"/>
    </w:rPr>
  </w:style>
  <w:style w:type="character" w:customStyle="1" w:styleId="AlertTok">
    <w:name w:val="AlertTok"/>
    <w:rPr>
      <w:color w:val="AD0000"/>
      <w:shd w:val="clear" w:color="auto" w:fill="F1F3F5"/>
    </w:rPr>
  </w:style>
  <w:style w:type="character" w:customStyle="1" w:styleId="ErrorTok">
    <w:name w:val="ErrorTok"/>
    <w:rPr>
      <w:color w:val="AD0000"/>
      <w:shd w:val="clear" w:color="auto" w:fill="F1F3F5"/>
    </w:rPr>
  </w:style>
  <w:style w:type="character" w:customStyle="1" w:styleId="NormalTok">
    <w:name w:val="NormalTok"/>
    <w:rPr>
      <w:color w:val="003B4F"/>
      <w:shd w:val="clear" w:color="auto"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8/s41588-022-01279-6" TargetMode="External"/><Relationship Id="rId18" Type="http://schemas.openxmlformats.org/officeDocument/2006/relationships/hyperlink" Target="https://doi.org/10.1101/2024.04.25.591048" TargetMode="External"/><Relationship Id="rId26" Type="http://schemas.openxmlformats.org/officeDocument/2006/relationships/hyperlink" Target="https://doi.org/10.1093/nar/gkz1068" TargetMode="External"/><Relationship Id="rId39" Type="http://schemas.openxmlformats.org/officeDocument/2006/relationships/hyperlink" Target="https://doi.org/10.1002/bies.201500117" TargetMode="External"/><Relationship Id="rId21" Type="http://schemas.openxmlformats.org/officeDocument/2006/relationships/hyperlink" Target="https://doi.org/10.1186/1471-2105-12-323" TargetMode="External"/><Relationship Id="rId34" Type="http://schemas.openxmlformats.org/officeDocument/2006/relationships/hyperlink" Target="https://doi.org/10.1016/j.jmb.2017.06.019" TargetMode="External"/><Relationship Id="rId42" Type="http://schemas.openxmlformats.org/officeDocument/2006/relationships/theme" Target="theme/theme1.xml"/><Relationship Id="rId7" Type="http://schemas.openxmlformats.org/officeDocument/2006/relationships/hyperlink" Target="https://doi.org/10.1111/acel.12928" TargetMode="External"/><Relationship Id="rId2" Type="http://schemas.openxmlformats.org/officeDocument/2006/relationships/styles" Target="styles.xml"/><Relationship Id="rId16" Type="http://schemas.openxmlformats.org/officeDocument/2006/relationships/hyperlink" Target="https://doi.org/10.1038/ng.3414" TargetMode="External"/><Relationship Id="rId20" Type="http://schemas.openxmlformats.org/officeDocument/2006/relationships/hyperlink" Target="https://doi.org/10.1016/j.arr.2017.04.004" TargetMode="External"/><Relationship Id="rId29" Type="http://schemas.openxmlformats.org/officeDocument/2006/relationships/hyperlink" Target="https://doi.org/10.1249/MSS.0b013e3181eb6265" TargetMode="External"/><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i.org/10.1038/s43587-022-00189-w" TargetMode="External"/><Relationship Id="rId24" Type="http://schemas.openxmlformats.org/officeDocument/2006/relationships/hyperlink" Target="https://doi.org/10.1186/s13059-017-1184-4" TargetMode="External"/><Relationship Id="rId32" Type="http://schemas.openxmlformats.org/officeDocument/2006/relationships/hyperlink" Target="https://doi.org/10.1186/s13059-017-1339-3" TargetMode="External"/><Relationship Id="rId37" Type="http://schemas.openxmlformats.org/officeDocument/2006/relationships/hyperlink" Target="https://doi.org/10.1093/bioinformatics/btv642" TargetMode="External"/><Relationship Id="rId40"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doi.org/10.1007/s00439-017-1791-x" TargetMode="External"/><Relationship Id="rId23" Type="http://schemas.openxmlformats.org/officeDocument/2006/relationships/hyperlink" Target="https://doi.org/10.1101/2022.03.14.484341" TargetMode="External"/><Relationship Id="rId28" Type="http://schemas.openxmlformats.org/officeDocument/2006/relationships/hyperlink" Target="https://doi.org/10.7554/elife.87811.2" TargetMode="External"/><Relationship Id="rId36" Type="http://schemas.openxmlformats.org/officeDocument/2006/relationships/hyperlink" Target="https://doi.org/10.7554/eLife.74335" TargetMode="External"/><Relationship Id="rId10" Type="http://schemas.openxmlformats.org/officeDocument/2006/relationships/hyperlink" Target="https://doi.org/10.1136/bmj.l4570" TargetMode="External"/><Relationship Id="rId19" Type="http://schemas.openxmlformats.org/officeDocument/2006/relationships/hyperlink" Target="https://doi.org/10.1111/j.1600-0838.2006.00575.x" TargetMode="External"/><Relationship Id="rId31" Type="http://schemas.openxmlformats.org/officeDocument/2006/relationships/hyperlink" Target="https://doi.org/10.1038/s41586-020-2499-y" TargetMode="External"/><Relationship Id="rId4" Type="http://schemas.openxmlformats.org/officeDocument/2006/relationships/webSettings" Target="webSettings.xml"/><Relationship Id="rId9" Type="http://schemas.openxmlformats.org/officeDocument/2006/relationships/hyperlink" Target="https://doi.org/10.1101/gr.177790.114" TargetMode="External"/><Relationship Id="rId14" Type="http://schemas.openxmlformats.org/officeDocument/2006/relationships/hyperlink" Target="https://doi.org/10.1038/s41588-021-00828-9" TargetMode="External"/><Relationship Id="rId22" Type="http://schemas.openxmlformats.org/officeDocument/2006/relationships/hyperlink" Target="https://doi.org/10.1002/14651858.CD002759.pub2" TargetMode="External"/><Relationship Id="rId27" Type="http://schemas.openxmlformats.org/officeDocument/2006/relationships/hyperlink" Target="https://doi.org/10.1038/jhg.2015.24" TargetMode="External"/><Relationship Id="rId30" Type="http://schemas.openxmlformats.org/officeDocument/2006/relationships/hyperlink" Target="https://doi.org/10.1038/s42003-022-03224-z" TargetMode="External"/><Relationship Id="rId35" Type="http://schemas.openxmlformats.org/officeDocument/2006/relationships/hyperlink" Target="https://doi.org/10.7554/eLife.49874" TargetMode="External"/><Relationship Id="rId8" Type="http://schemas.openxmlformats.org/officeDocument/2006/relationships/hyperlink" Target="https://doi.org/10.3390/cells12242819" TargetMode="External"/><Relationship Id="rId3" Type="http://schemas.openxmlformats.org/officeDocument/2006/relationships/settings" Target="settings.xml"/><Relationship Id="rId12" Type="http://schemas.openxmlformats.org/officeDocument/2006/relationships/hyperlink" Target="https://doi.org/10.1101/2023.03.29.534370" TargetMode="External"/><Relationship Id="rId17" Type="http://schemas.openxmlformats.org/officeDocument/2006/relationships/hyperlink" Target="https://doi.org/10.1186/s12859-020-03866-y" TargetMode="External"/><Relationship Id="rId25" Type="http://schemas.openxmlformats.org/officeDocument/2006/relationships/hyperlink" Target="https://doi.org/10.1186/s12967-021-02969-1" TargetMode="External"/><Relationship Id="rId33" Type="http://schemas.openxmlformats.org/officeDocument/2006/relationships/hyperlink" Target="https://doi.org/10.1093/ageing/afac143" TargetMode="External"/><Relationship Id="rId38" Type="http://schemas.openxmlformats.org/officeDocument/2006/relationships/hyperlink" Target="https://doi.org/10.1016/j.cell.2013.06.052"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7</Pages>
  <Words>2936</Words>
  <Characters>15566</Characters>
  <Application>Microsoft Office Word</Application>
  <DocSecurity>0</DocSecurity>
  <Lines>129</Lines>
  <Paragraphs>36</Paragraphs>
  <ScaleCrop>false</ScaleCrop>
  <Company>HINN</Company>
  <LinksUpToDate>false</LinksUpToDate>
  <CharactersWithSpaces>18466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Impact of age and resistance exercise training on intron retention</dc:title>
  <dc:creator>Chidimma Phoebe Echebiria,b, Kristian Lianb, Torkil Rognefl�tenb, Håvard Hamarslandb, Knut Sindre Mølmenb, Rafi Ahmada, Stian Ellefsenb, and Daniel Hammarströmb</dc:creator>
  <cp:keywords/>
  <cp:lastModifiedBy>Chidimma Phoebe Echebiri</cp:lastModifiedBy>
  <cp:revision>3</cp:revision>
  <dcterms:created xsi:type="dcterms:W3CDTF">2025-02-06T20:34:00Z</dcterms:created>
  <dcterms:modified xsi:type="dcterms:W3CDTF">2025-02-06T20:35:00Z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resources/My_Library.bib</vt:lpwstr>
  </property>
  <property fmtid="{D5CDD505-2E9C-101B-9397-08002B2CF9AE}" pid="5" name="by-author">
    <vt:lpwstr/>
  </property>
  <property fmtid="{D5CDD505-2E9C-101B-9397-08002B2CF9AE}" pid="6" name="csl">
    <vt:lpwstr>resources/journal-of-cell-science.csl</vt:lpwstr>
  </property>
  <property fmtid="{D5CDD505-2E9C-101B-9397-08002B2CF9AE}" pid="7" name="editor">
    <vt:lpwstr>visual</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arget_journal">
    <vt:lpwstr>https://journals.biologists.com/jcs</vt:lpwstr>
  </property>
  <property fmtid="{D5CDD505-2E9C-101B-9397-08002B2CF9AE}" pid="13" name="toc-title">
    <vt:lpwstr>Table of contents</vt:lpwstr>
  </property>
</Properties>
</file>