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F324" w14:textId="77777777" w:rsidR="00683466" w:rsidRPr="003422CB" w:rsidRDefault="00000000">
      <w:pPr>
        <w:pStyle w:val="Tittel"/>
        <w:rPr>
          <w:lang w:val="en-GB"/>
        </w:rPr>
      </w:pPr>
      <w:r w:rsidRPr="003422CB">
        <w:rPr>
          <w:lang w:val="en-GB"/>
        </w:rPr>
        <w:t>Impact of age and resistance exercise training on intron retention</w:t>
      </w:r>
    </w:p>
    <w:p w14:paraId="38EF60AE" w14:textId="77777777" w:rsidR="00683466" w:rsidRDefault="00000000">
      <w:pPr>
        <w:pStyle w:val="Author"/>
      </w:pPr>
      <w:r>
        <w:t xml:space="preserve">Chidimma Phoebe </w:t>
      </w:r>
      <w:proofErr w:type="spellStart"/>
      <w:proofErr w:type="gramStart"/>
      <w:r>
        <w:t>Echebiri</w:t>
      </w:r>
      <w:r>
        <w:rPr>
          <w:vertAlign w:val="superscript"/>
        </w:rPr>
        <w:t>a,b</w:t>
      </w:r>
      <w:proofErr w:type="spellEnd"/>
      <w:proofErr w:type="gramEnd"/>
      <w:r>
        <w:t>, Kristian Lian</w:t>
      </w:r>
      <w:r>
        <w:rPr>
          <w:vertAlign w:val="superscript"/>
        </w:rPr>
        <w:t>b</w:t>
      </w:r>
      <w:r>
        <w:t>, Torkil Rogneflåten</w:t>
      </w:r>
      <w:r>
        <w:rPr>
          <w:vertAlign w:val="superscript"/>
        </w:rPr>
        <w:t>b</w:t>
      </w:r>
      <w:r>
        <w:t>, Håvard Hamarsland</w:t>
      </w:r>
      <w:r>
        <w:rPr>
          <w:vertAlign w:val="superscript"/>
        </w:rPr>
        <w:t>b</w:t>
      </w:r>
      <w:r>
        <w:t>, Knut Sindre Mølmen</w:t>
      </w:r>
      <w:r>
        <w:rPr>
          <w:vertAlign w:val="superscript"/>
        </w:rPr>
        <w:t>b</w:t>
      </w:r>
      <w:r>
        <w:t>, Rafi Ahmad</w:t>
      </w:r>
      <w:r>
        <w:rPr>
          <w:vertAlign w:val="superscript"/>
        </w:rPr>
        <w:t>a</w:t>
      </w:r>
      <w:r>
        <w:t>, Stian Ellefsen</w:t>
      </w:r>
      <w:r>
        <w:rPr>
          <w:vertAlign w:val="superscript"/>
        </w:rPr>
        <w:t>b</w:t>
      </w:r>
      <w:r>
        <w:t>, and Daniel Hammarström</w:t>
      </w:r>
      <w:r>
        <w:rPr>
          <w:vertAlign w:val="superscript"/>
        </w:rPr>
        <w:t>b</w:t>
      </w:r>
    </w:p>
    <w:p w14:paraId="525CBA52" w14:textId="77777777" w:rsidR="00683466" w:rsidRDefault="00000000">
      <w:pPr>
        <w:pStyle w:val="author-meta"/>
      </w:pPr>
      <w:r>
        <w:rPr>
          <w:vertAlign w:val="superscript"/>
        </w:rPr>
        <w:t>a</w:t>
      </w:r>
      <w:r>
        <w:t xml:space="preserve"> Department of Biotechnology, University of Inland Norway, Faculty of Applied Ecology, Agricultural Sciences and Biotechnology, Hamar, Norway</w:t>
      </w:r>
    </w:p>
    <w:p w14:paraId="4A64B4BB" w14:textId="77777777" w:rsidR="00683466" w:rsidRDefault="00000000">
      <w:pPr>
        <w:pStyle w:val="author-meta"/>
      </w:pPr>
      <w:r>
        <w:rPr>
          <w:vertAlign w:val="superscript"/>
        </w:rPr>
        <w:t>b</w:t>
      </w:r>
      <w:r>
        <w:t xml:space="preserve"> Section for Health and Exercise Physiology, Department of Public Health and Sport Sciences, University of Inland Norway, Lillehammer, Norway</w:t>
      </w:r>
    </w:p>
    <w:p w14:paraId="147634B7" w14:textId="77777777" w:rsidR="00683466" w:rsidRDefault="00000000">
      <w:pPr>
        <w:pStyle w:val="author-meta"/>
      </w:pPr>
      <w:r>
        <w:t>Correspondance: Chidimma Phoebe Echebiri (chidimma.echebiri@inn.no), Daniel Hammarstr�m (daniel.hammarstrom@inn.no).</w:t>
      </w:r>
    </w:p>
    <w:p w14:paraId="15D10E99" w14:textId="77777777" w:rsidR="00683466" w:rsidRDefault="00000000">
      <w:pPr>
        <w:pStyle w:val="abstracttitle"/>
      </w:pPr>
      <w:r>
        <w:lastRenderedPageBreak/>
        <w:t>Abstract</w:t>
      </w:r>
    </w:p>
    <w:p w14:paraId="1029CD51" w14:textId="77777777" w:rsidR="00683466" w:rsidRDefault="00000000">
      <w:pPr>
        <w:pStyle w:val="Brdtekst"/>
      </w:pPr>
      <w:r>
        <w:t xml:space="preserve">Progressive resistance exercise training (RT) elicits a range of adaptive responses in the human transcriptome, most of which have been studied in-depth. Several studies have shown that processes such as aging, disease conditions and physical exercise affect the pre-mRNA splicing machinery. There is however limited information about intron retention in healthy human skeletal muscle and how it is impacted by aging and resistance exercise training. This study investigates intron retention in the </w:t>
      </w:r>
      <w:r>
        <w:rPr>
          <w:i/>
          <w:iCs/>
        </w:rPr>
        <w:t>vastus lateralis</w:t>
      </w:r>
      <w:r>
        <w:t xml:space="preserve"> muscle of 446 samples frpm 371 participants ( 195 females aged 19 to 93 ; 176 males aged 19 to 87) ; and explores if and how resistance exercise training affects splicing efficiency in the 338 participants (( 178 females aged 19 to 93 ; 160 males aged 19 to 87) who completed ~ 12 weeks of training . Using SpliceQ, splicing efficiency of introns in paired_end RNA sequence data from six different RT intervention studies involving 367 partricipants was calculated. Differentially spliced introns at baseline and at post exercise were identified using betabinomial generalised linear models allowing for study and participant level intercepts. Our results show that aging affects splicing efficiency in the skeletal muscle, it also shows that RT also affects splicing efficiency</w:t>
      </w:r>
    </w:p>
    <w:p w14:paraId="2EB645B6" w14:textId="77777777" w:rsidR="00683466" w:rsidRPr="003422CB" w:rsidRDefault="00000000">
      <w:pPr>
        <w:pStyle w:val="Overskrift2"/>
        <w:rPr>
          <w:lang w:val="en-GB"/>
        </w:rPr>
      </w:pPr>
      <w:bookmarkStart w:id="0" w:name="introduction"/>
      <w:r w:rsidRPr="003422CB">
        <w:rPr>
          <w:lang w:val="en-GB"/>
        </w:rPr>
        <w:t>Introduction</w:t>
      </w:r>
    </w:p>
    <w:p w14:paraId="219D342E" w14:textId="77777777" w:rsidR="00683466" w:rsidRDefault="00000000">
      <w:pPr>
        <w:pStyle w:val="FirstParagraph"/>
      </w:pPr>
      <w:r>
        <w:t xml:space="preserve">Aging is characterized by a progressive decline in most biological functions leading to increasing morbidity and mortality (Gyenis et al., 2023; Keshavarz et al., </w:t>
      </w:r>
      <w:proofErr w:type="gramStart"/>
      <w:r>
        <w:t>2023 ;</w:t>
      </w:r>
      <w:proofErr w:type="gramEnd"/>
      <w:r>
        <w:t xml:space="preserve"> López-Otín et al., 2013; Schaum et al., 2020) . Physiologically, aging is associated with the induction of different stress response pathways in several cells, tissues and species (Stegeman and Weake, 2017; Welle et al., 2003). Aging and aging-like phenotypes are also associated with increased mis-regulated alternative splicing (Angarola and Anczuków, 2021 ; García-Ruiz et al., 2025 ; Nishida et al., 2015 ; Holly et al., 2013; Latorre and Harries, 2017; Mariotti et al., 2022; Pabis et al., 2024; </w:t>
      </w:r>
      <w:r>
        <w:lastRenderedPageBreak/>
        <w:t>Stegeman and Weake, 2017) as a result of alterations in the expression of splicing factors ; a resilience strategy aimed at counteracting aging-induced damages and loss of function (Ferrucci et al., 2022 ; Ubaida-Mohien et al., 2019b). Most aging-focused research are aimed at reversing or slowing down the unwanted effects of aging such as mis-splicing.</w:t>
      </w:r>
    </w:p>
    <w:p w14:paraId="26E7931E" w14:textId="77777777" w:rsidR="00683466" w:rsidRDefault="00000000">
      <w:pPr>
        <w:pStyle w:val="Brdtekst"/>
      </w:pPr>
      <w:r>
        <w:t xml:space="preserve">Intron retention (IR) is the major type of alternative splicing that is affected by aging (Bhadra et al., 2020; Kodama et al., 2024; Mariotti et al., 2022). IR occurs when a full intron, or parts of an intron in a mature messenger RNA (mRNA) is retained during splicing, resulting in the presence of an unprocessed sequence in the mRNA. This leads either to the degradation of the IR-containing transcripts through nonsense-mediated decay or the action of nucleases; or to frameshifts that cause the generation of alternative protein isoforms (Baralle and Romano, 2023 ; Zheng et al., 2020 ; Jacob and Smith, 2017 ; Mauger et al., 2016; Monteuuis et al., 2019; Wong and Schmitz, 2022 ). IR mostly affects protein-coding genes, thus resulting in a transcriptomic and proteomic diversity that could influence cellular plasticity. IR predominantly occurs in transcripts that lack physiological relevance in cells and tissues they are detected in (Braunschweig et al., 2014). Increased IR is a signature of the aging process (Adusumalli et al., 2019; Baralle and Romano, 2023; Bhadra et al., 2020) and is often measured in terms of splicing efficiency which describes the amount of introns retained in a mature mRNA. Splicing efficiency is cell and tissue specific (Baralle and Romano, 2023; Nishida et al., 2015) but tends to be similar between the introns of a gene (Sánchez-Escabias et al., 2022) . Besides aging, poor splicing efficiency has also been linked to human diseases like alpha thalassemia (Nelson et al., 2005) , inflammatory bowel disease (Häsler et al., 2011) , neurodegenerative diseases (Ong and Adusumalli, 2020 ; Sznajder et al., 2018) and an increased risk of certain cancers (Dvinge and </w:t>
      </w:r>
      <w:r>
        <w:lastRenderedPageBreak/>
        <w:t>Bradley, 2015 ; Inoue et al., 2021 ; Shah et al., 2022). Measures targeted at improving splicing efficiency would most likely be beneficial to health.</w:t>
      </w:r>
    </w:p>
    <w:p w14:paraId="1D03A78A" w14:textId="77777777" w:rsidR="00683466" w:rsidRDefault="00000000">
      <w:pPr>
        <w:pStyle w:val="Brdtekst"/>
      </w:pPr>
      <w:r>
        <w:t>Progressive resistance exercise training (RT) describes the type of physical exercise training where the skeletal muscle is exercised against progressively increased types of resistance (Liu and Latham, 2009). The benefits of RT include improvements in muscle strength, muscle mass, bone density, mRNA splicing (Kodama et al., 2024) and several other major hallmarks of aging (Garatachea et al., 2015 ). RT could thus be a potent preventive or treatment strategy for improving aging-related functional disabilities associated with the aging skeletal muscle (Peterson et al., 2011 ; Kryger and Andersen, 2007 ; Lu et al., 2021 )as well as for reducing all-cause mortality (Ekelund et al., 2019) and improving cardiorespiratory fitness in older persons (Smart et al., 2022). A lot is currently known about adaptive responses to RT. However, intron retention in response to RT in healthy individuals is relatively unexplored . If poor splicing efficiency is linked to disease conditions and RT correlates to improved health, it should be important to investigate if the benefits of RT include improved splicing efficiency. This study is aimed at investigating splicing efficiency in human skeletal muscle and how aging, and how about 12 weeks of RT can affect SE . This study will hopefully generate more insights into the molecular mediators of response to RT.</w:t>
      </w:r>
    </w:p>
    <w:p w14:paraId="303F111B" w14:textId="77777777" w:rsidR="00683466" w:rsidRPr="003422CB" w:rsidRDefault="00000000">
      <w:pPr>
        <w:pStyle w:val="Overskrift1"/>
        <w:rPr>
          <w:lang w:val="en-GB"/>
        </w:rPr>
      </w:pPr>
      <w:bookmarkStart w:id="1" w:name="results"/>
      <w:bookmarkEnd w:id="0"/>
      <w:r w:rsidRPr="003422CB">
        <w:rPr>
          <w:lang w:val="en-GB"/>
        </w:rPr>
        <w:t>Results</w:t>
      </w:r>
    </w:p>
    <w:p w14:paraId="7E800695" w14:textId="77777777" w:rsidR="00683466" w:rsidRPr="003422CB" w:rsidRDefault="00000000">
      <w:pPr>
        <w:pStyle w:val="Overskrift4"/>
        <w:rPr>
          <w:lang w:val="en-GB"/>
        </w:rPr>
      </w:pPr>
      <w:bookmarkStart w:id="2" w:name="X684e4a5287fdd2e9d21fb6d0e2d1485ccc3a29c"/>
      <w:r w:rsidRPr="003422CB">
        <w:rPr>
          <w:lang w:val="en-GB"/>
        </w:rPr>
        <w:t>Splicing efficiency of some introns are same across all samples</w:t>
      </w:r>
    </w:p>
    <w:p w14:paraId="108970CD" w14:textId="77777777" w:rsidR="00683466" w:rsidRDefault="00000000">
      <w:pPr>
        <w:pStyle w:val="FirstParagraph"/>
      </w:pPr>
      <w:r>
        <w:t>IR is said to reduce the expression of physiologically less relevant genes in the tissue or cell they are detected in (Braunschweig et al., 2014), and culminates in functional messenger RNAs (mRNAs) being diluted by their non-functional isoforms (Mariotti et al., 2022</w:t>
      </w:r>
      <w:proofErr w:type="gramStart"/>
      <w:r>
        <w:t>) .</w:t>
      </w:r>
      <w:proofErr w:type="gramEnd"/>
      <w:r>
        <w:t xml:space="preserve"> We explored if </w:t>
      </w:r>
      <w:r>
        <w:lastRenderedPageBreak/>
        <w:t xml:space="preserve">these apply to the </w:t>
      </w:r>
      <w:r>
        <w:rPr>
          <w:i/>
          <w:iCs/>
        </w:rPr>
        <w:t>vastus lateralis</w:t>
      </w:r>
      <w:r>
        <w:t xml:space="preserve"> muscle by investigating the 23063 introns captured by SpliceQ (Melo Costa et al., 2021) across all the pre-exercise samples.</w:t>
      </w:r>
    </w:p>
    <w:p w14:paraId="03B926E4" w14:textId="77777777" w:rsidR="00683466" w:rsidRDefault="00000000">
      <w:pPr>
        <w:pStyle w:val="Brdtekst"/>
      </w:pPr>
      <w:r>
        <w:t xml:space="preserve">To identify introns with characteristically low SE , we filtered the baseline dataset for introns whose splicing efficiency across all baseline samples have a maximum total SE of 0.2 . Six introns belonging to six different transcripts were shown to be almost completely retained in all samples. The introns and their characteristics are as shown in </w:t>
      </w:r>
      <w:r>
        <w:rPr>
          <w:b/>
          <w:bCs/>
        </w:rPr>
        <w:t>Table 1.</w:t>
      </w:r>
      <w:r>
        <w:t xml:space="preserve"> 5 of the 6 transcripts containing the poorly spliced introns are long non-coding RNAs without functional annotation on the org.Hs.eg.db database (Manual) , while the sixth is an alternatively spliced transcript of the MEIOC gene that lacks a coding sequence (CDS). Gene ontology (GO) analysis of MEIOC reveals it is involved in meiotic processes as seen in </w:t>
      </w:r>
      <w:r>
        <w:rPr>
          <w:b/>
          <w:bCs/>
        </w:rPr>
        <w:t>Figure 1</w:t>
      </w:r>
      <w:r>
        <w:t>; a process that’s arguably not relevant in the skeletal muscle.</w:t>
      </w:r>
    </w:p>
    <w:p w14:paraId="07D092C1" w14:textId="77777777" w:rsidR="003422CB" w:rsidRPr="00E12A85" w:rsidRDefault="003422CB" w:rsidP="003422CB">
      <w:pPr>
        <w:rPr>
          <w:sz w:val="20"/>
          <w:szCs w:val="20"/>
        </w:rPr>
      </w:pPr>
      <w:r w:rsidRPr="00E12A85">
        <w:rPr>
          <w:b/>
          <w:bCs/>
          <w:sz w:val="20"/>
          <w:szCs w:val="20"/>
        </w:rPr>
        <w:t>Table 1</w:t>
      </w:r>
      <w:r w:rsidRPr="00E12A85">
        <w:rPr>
          <w:sz w:val="20"/>
          <w:szCs w:val="20"/>
        </w:rPr>
        <w:t>:</w:t>
      </w:r>
      <w:r w:rsidRPr="00E12A85">
        <w:rPr>
          <w:b/>
          <w:bCs/>
          <w:sz w:val="20"/>
          <w:szCs w:val="20"/>
        </w:rPr>
        <w:t xml:space="preserve"> Introns with poor splicing efficiency across all baseline samples</w:t>
      </w:r>
      <w:r w:rsidRPr="00E12A85">
        <w:rPr>
          <w:sz w:val="20"/>
          <w:szCs w:val="20"/>
        </w:rPr>
        <w:t xml:space="preserve">. This table shows the </w:t>
      </w:r>
      <w:proofErr w:type="gramStart"/>
      <w:r w:rsidRPr="00E12A85">
        <w:rPr>
          <w:sz w:val="20"/>
          <w:szCs w:val="20"/>
        </w:rPr>
        <w:t>minimum  and</w:t>
      </w:r>
      <w:proofErr w:type="gramEnd"/>
      <w:r w:rsidRPr="00E12A85">
        <w:rPr>
          <w:sz w:val="20"/>
          <w:szCs w:val="20"/>
        </w:rPr>
        <w:t xml:space="preserve"> maximum SE of these introns across all samples. Five of the six genes containing the retained introns are long non-coding RNAs.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1:Introns with poor splicing efficiency across all baseline samples"/>
      </w:tblPr>
      <w:tblGrid>
        <w:gridCol w:w="2122"/>
        <w:gridCol w:w="850"/>
        <w:gridCol w:w="3402"/>
        <w:gridCol w:w="1276"/>
        <w:gridCol w:w="850"/>
        <w:gridCol w:w="896"/>
      </w:tblGrid>
      <w:tr w:rsidR="003422CB" w:rsidRPr="00E12A85" w14:paraId="72088B8B" w14:textId="77777777" w:rsidTr="00F66F65">
        <w:trPr>
          <w:tblHeader/>
        </w:trPr>
        <w:tc>
          <w:tcPr>
            <w:tcW w:w="2122" w:type="dxa"/>
          </w:tcPr>
          <w:p w14:paraId="679AAB4F" w14:textId="77777777" w:rsidR="003422CB" w:rsidRPr="00E12A85" w:rsidRDefault="003422CB" w:rsidP="00F66F65">
            <w:pPr>
              <w:rPr>
                <w:b/>
                <w:bCs/>
                <w:sz w:val="22"/>
                <w:szCs w:val="22"/>
              </w:rPr>
            </w:pPr>
            <w:r>
              <w:rPr>
                <w:b/>
                <w:bCs/>
                <w:sz w:val="22"/>
                <w:szCs w:val="22"/>
              </w:rPr>
              <w:t>T</w:t>
            </w:r>
            <w:r w:rsidRPr="00E12A85">
              <w:rPr>
                <w:b/>
                <w:bCs/>
                <w:sz w:val="22"/>
                <w:szCs w:val="22"/>
              </w:rPr>
              <w:t>ranscript</w:t>
            </w:r>
            <w:r>
              <w:rPr>
                <w:b/>
                <w:bCs/>
                <w:sz w:val="22"/>
                <w:szCs w:val="22"/>
              </w:rPr>
              <w:t xml:space="preserve"> </w:t>
            </w:r>
            <w:r w:rsidRPr="00E12A85">
              <w:rPr>
                <w:b/>
                <w:bCs/>
                <w:sz w:val="22"/>
                <w:szCs w:val="22"/>
              </w:rPr>
              <w:t>ID</w:t>
            </w:r>
          </w:p>
        </w:tc>
        <w:tc>
          <w:tcPr>
            <w:tcW w:w="850" w:type="dxa"/>
          </w:tcPr>
          <w:p w14:paraId="33AAF48E" w14:textId="77777777" w:rsidR="003422CB" w:rsidRPr="00E12A85" w:rsidRDefault="003422CB" w:rsidP="00F66F65">
            <w:pPr>
              <w:rPr>
                <w:b/>
                <w:bCs/>
                <w:sz w:val="22"/>
                <w:szCs w:val="22"/>
              </w:rPr>
            </w:pPr>
            <w:r w:rsidRPr="00E12A85">
              <w:rPr>
                <w:b/>
                <w:bCs/>
                <w:sz w:val="22"/>
                <w:szCs w:val="22"/>
              </w:rPr>
              <w:t>Intron</w:t>
            </w:r>
            <w:r>
              <w:rPr>
                <w:b/>
                <w:bCs/>
                <w:sz w:val="22"/>
                <w:szCs w:val="22"/>
              </w:rPr>
              <w:t xml:space="preserve"> </w:t>
            </w:r>
            <w:r w:rsidRPr="00E12A85">
              <w:rPr>
                <w:b/>
                <w:bCs/>
                <w:sz w:val="22"/>
                <w:szCs w:val="22"/>
              </w:rPr>
              <w:t>ID</w:t>
            </w:r>
          </w:p>
        </w:tc>
        <w:tc>
          <w:tcPr>
            <w:tcW w:w="3402" w:type="dxa"/>
          </w:tcPr>
          <w:p w14:paraId="4074B2EB" w14:textId="77777777" w:rsidR="003422CB" w:rsidRPr="00E12A85" w:rsidRDefault="003422CB" w:rsidP="00F66F65">
            <w:pPr>
              <w:rPr>
                <w:b/>
                <w:bCs/>
                <w:sz w:val="22"/>
                <w:szCs w:val="22"/>
              </w:rPr>
            </w:pPr>
            <w:r w:rsidRPr="00E12A85">
              <w:rPr>
                <w:b/>
                <w:bCs/>
                <w:sz w:val="22"/>
                <w:szCs w:val="22"/>
              </w:rPr>
              <w:t>Transcript</w:t>
            </w:r>
            <w:r>
              <w:rPr>
                <w:b/>
                <w:bCs/>
                <w:sz w:val="22"/>
                <w:szCs w:val="22"/>
              </w:rPr>
              <w:t xml:space="preserve"> </w:t>
            </w:r>
            <w:r w:rsidRPr="00E12A85">
              <w:rPr>
                <w:b/>
                <w:bCs/>
                <w:sz w:val="22"/>
                <w:szCs w:val="22"/>
              </w:rPr>
              <w:t>biotype</w:t>
            </w:r>
          </w:p>
        </w:tc>
        <w:tc>
          <w:tcPr>
            <w:tcW w:w="1276" w:type="dxa"/>
          </w:tcPr>
          <w:p w14:paraId="5800B836" w14:textId="77777777" w:rsidR="003422CB" w:rsidRPr="00E12A85" w:rsidRDefault="003422CB" w:rsidP="00F66F65">
            <w:pPr>
              <w:rPr>
                <w:b/>
                <w:bCs/>
                <w:sz w:val="22"/>
                <w:szCs w:val="22"/>
              </w:rPr>
            </w:pPr>
            <w:r w:rsidRPr="00E12A85">
              <w:rPr>
                <w:b/>
                <w:bCs/>
                <w:sz w:val="22"/>
                <w:szCs w:val="22"/>
              </w:rPr>
              <w:t>Gene</w:t>
            </w:r>
            <w:r>
              <w:rPr>
                <w:b/>
                <w:bCs/>
                <w:sz w:val="22"/>
                <w:szCs w:val="22"/>
              </w:rPr>
              <w:t xml:space="preserve"> </w:t>
            </w:r>
            <w:r w:rsidRPr="00E12A85">
              <w:rPr>
                <w:b/>
                <w:bCs/>
                <w:sz w:val="22"/>
                <w:szCs w:val="22"/>
              </w:rPr>
              <w:t>name</w:t>
            </w:r>
          </w:p>
        </w:tc>
        <w:tc>
          <w:tcPr>
            <w:tcW w:w="850" w:type="dxa"/>
          </w:tcPr>
          <w:p w14:paraId="2EA7DD77" w14:textId="77777777" w:rsidR="003422CB" w:rsidRPr="00E12A85" w:rsidRDefault="003422CB" w:rsidP="00F66F65">
            <w:pPr>
              <w:jc w:val="right"/>
              <w:rPr>
                <w:b/>
                <w:bCs/>
                <w:sz w:val="22"/>
                <w:szCs w:val="22"/>
              </w:rPr>
            </w:pPr>
            <w:r>
              <w:rPr>
                <w:b/>
                <w:bCs/>
                <w:sz w:val="22"/>
                <w:szCs w:val="22"/>
              </w:rPr>
              <w:t>M</w:t>
            </w:r>
            <w:r w:rsidRPr="00E12A85">
              <w:rPr>
                <w:b/>
                <w:bCs/>
                <w:sz w:val="22"/>
                <w:szCs w:val="22"/>
              </w:rPr>
              <w:t>in</w:t>
            </w:r>
            <w:r>
              <w:rPr>
                <w:b/>
                <w:bCs/>
                <w:sz w:val="22"/>
                <w:szCs w:val="22"/>
              </w:rPr>
              <w:t xml:space="preserve"> SE</w:t>
            </w:r>
          </w:p>
        </w:tc>
        <w:tc>
          <w:tcPr>
            <w:tcW w:w="896" w:type="dxa"/>
          </w:tcPr>
          <w:p w14:paraId="78E7DCA5" w14:textId="77777777" w:rsidR="003422CB" w:rsidRPr="00E12A85" w:rsidRDefault="003422CB" w:rsidP="00F66F65">
            <w:pPr>
              <w:jc w:val="right"/>
              <w:rPr>
                <w:b/>
                <w:bCs/>
                <w:sz w:val="22"/>
                <w:szCs w:val="22"/>
              </w:rPr>
            </w:pPr>
            <w:r>
              <w:rPr>
                <w:b/>
                <w:bCs/>
                <w:sz w:val="22"/>
                <w:szCs w:val="22"/>
              </w:rPr>
              <w:t>M</w:t>
            </w:r>
            <w:r w:rsidRPr="00E12A85">
              <w:rPr>
                <w:b/>
                <w:bCs/>
                <w:sz w:val="22"/>
                <w:szCs w:val="22"/>
              </w:rPr>
              <w:t>ax</w:t>
            </w:r>
            <w:r>
              <w:rPr>
                <w:b/>
                <w:bCs/>
                <w:sz w:val="22"/>
                <w:szCs w:val="22"/>
              </w:rPr>
              <w:t xml:space="preserve"> SE</w:t>
            </w:r>
          </w:p>
        </w:tc>
      </w:tr>
      <w:tr w:rsidR="003422CB" w:rsidRPr="00E12A85" w14:paraId="7F5B1A88" w14:textId="77777777" w:rsidTr="00F66F65">
        <w:tc>
          <w:tcPr>
            <w:tcW w:w="2122" w:type="dxa"/>
          </w:tcPr>
          <w:p w14:paraId="4CDE3906" w14:textId="77777777" w:rsidR="003422CB" w:rsidRPr="00E12A85" w:rsidRDefault="003422CB" w:rsidP="00F66F65">
            <w:pPr>
              <w:rPr>
                <w:sz w:val="20"/>
                <w:szCs w:val="20"/>
              </w:rPr>
            </w:pPr>
            <w:r w:rsidRPr="00E12A85">
              <w:rPr>
                <w:sz w:val="20"/>
                <w:szCs w:val="20"/>
              </w:rPr>
              <w:t>ENST00000566974.1</w:t>
            </w:r>
          </w:p>
        </w:tc>
        <w:tc>
          <w:tcPr>
            <w:tcW w:w="850" w:type="dxa"/>
          </w:tcPr>
          <w:p w14:paraId="043E79D1" w14:textId="77777777" w:rsidR="003422CB" w:rsidRPr="00E12A85" w:rsidRDefault="003422CB" w:rsidP="00F66F65">
            <w:pPr>
              <w:rPr>
                <w:sz w:val="22"/>
                <w:szCs w:val="22"/>
              </w:rPr>
            </w:pPr>
            <w:r w:rsidRPr="00E12A85">
              <w:rPr>
                <w:sz w:val="22"/>
                <w:szCs w:val="22"/>
              </w:rPr>
              <w:t>1</w:t>
            </w:r>
          </w:p>
        </w:tc>
        <w:tc>
          <w:tcPr>
            <w:tcW w:w="3402" w:type="dxa"/>
          </w:tcPr>
          <w:p w14:paraId="6BD40A36" w14:textId="77777777" w:rsidR="003422CB" w:rsidRPr="00E12A85" w:rsidRDefault="003422CB" w:rsidP="00F66F65">
            <w:pPr>
              <w:rPr>
                <w:sz w:val="22"/>
                <w:szCs w:val="22"/>
              </w:rPr>
            </w:pPr>
            <w:r w:rsidRPr="00E12A85">
              <w:rPr>
                <w:sz w:val="22"/>
                <w:szCs w:val="22"/>
              </w:rPr>
              <w:t>lncRNA</w:t>
            </w:r>
          </w:p>
        </w:tc>
        <w:tc>
          <w:tcPr>
            <w:tcW w:w="1276" w:type="dxa"/>
          </w:tcPr>
          <w:p w14:paraId="409897CD" w14:textId="77777777" w:rsidR="003422CB" w:rsidRPr="00E12A85" w:rsidRDefault="003422CB" w:rsidP="00F66F65">
            <w:pPr>
              <w:rPr>
                <w:sz w:val="22"/>
                <w:szCs w:val="22"/>
              </w:rPr>
            </w:pPr>
            <w:r w:rsidRPr="00E12A85">
              <w:rPr>
                <w:sz w:val="22"/>
                <w:szCs w:val="22"/>
              </w:rPr>
              <w:t>SYNM-AS2</w:t>
            </w:r>
          </w:p>
        </w:tc>
        <w:tc>
          <w:tcPr>
            <w:tcW w:w="850" w:type="dxa"/>
          </w:tcPr>
          <w:p w14:paraId="390479C0"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7BBF9243" w14:textId="77777777" w:rsidR="003422CB" w:rsidRPr="00E12A85" w:rsidRDefault="003422CB" w:rsidP="00F66F65">
            <w:pPr>
              <w:jc w:val="right"/>
              <w:rPr>
                <w:sz w:val="22"/>
                <w:szCs w:val="22"/>
              </w:rPr>
            </w:pPr>
            <w:r w:rsidRPr="00E12A85">
              <w:rPr>
                <w:sz w:val="22"/>
                <w:szCs w:val="22"/>
              </w:rPr>
              <w:t>0.01</w:t>
            </w:r>
          </w:p>
        </w:tc>
      </w:tr>
      <w:tr w:rsidR="003422CB" w:rsidRPr="00E12A85" w14:paraId="28A0CEB8" w14:textId="77777777" w:rsidTr="00F66F65">
        <w:tc>
          <w:tcPr>
            <w:tcW w:w="2122" w:type="dxa"/>
          </w:tcPr>
          <w:p w14:paraId="6515DFE5" w14:textId="77777777" w:rsidR="003422CB" w:rsidRPr="00E12A85" w:rsidRDefault="003422CB" w:rsidP="00F66F65">
            <w:pPr>
              <w:rPr>
                <w:sz w:val="20"/>
                <w:szCs w:val="20"/>
              </w:rPr>
            </w:pPr>
            <w:r w:rsidRPr="00E12A85">
              <w:rPr>
                <w:sz w:val="20"/>
                <w:szCs w:val="20"/>
              </w:rPr>
              <w:t>ENST00000583349.1</w:t>
            </w:r>
          </w:p>
        </w:tc>
        <w:tc>
          <w:tcPr>
            <w:tcW w:w="850" w:type="dxa"/>
          </w:tcPr>
          <w:p w14:paraId="133B4436" w14:textId="77777777" w:rsidR="003422CB" w:rsidRPr="00E12A85" w:rsidRDefault="003422CB" w:rsidP="00F66F65">
            <w:pPr>
              <w:rPr>
                <w:sz w:val="22"/>
                <w:szCs w:val="22"/>
              </w:rPr>
            </w:pPr>
            <w:r w:rsidRPr="00E12A85">
              <w:rPr>
                <w:sz w:val="22"/>
                <w:szCs w:val="22"/>
              </w:rPr>
              <w:t>1</w:t>
            </w:r>
          </w:p>
        </w:tc>
        <w:tc>
          <w:tcPr>
            <w:tcW w:w="3402" w:type="dxa"/>
          </w:tcPr>
          <w:p w14:paraId="63B4944C" w14:textId="77777777" w:rsidR="003422CB" w:rsidRPr="00E12A85" w:rsidRDefault="003422CB" w:rsidP="00F66F65">
            <w:pPr>
              <w:rPr>
                <w:sz w:val="22"/>
                <w:szCs w:val="22"/>
              </w:rPr>
            </w:pPr>
            <w:r w:rsidRPr="00E12A85">
              <w:rPr>
                <w:sz w:val="22"/>
                <w:szCs w:val="22"/>
              </w:rPr>
              <w:t>lncRNA</w:t>
            </w:r>
          </w:p>
        </w:tc>
        <w:tc>
          <w:tcPr>
            <w:tcW w:w="1276" w:type="dxa"/>
          </w:tcPr>
          <w:p w14:paraId="21AA08CB" w14:textId="77777777" w:rsidR="003422CB" w:rsidRPr="00E12A85" w:rsidRDefault="003422CB" w:rsidP="00F66F65">
            <w:pPr>
              <w:rPr>
                <w:sz w:val="22"/>
                <w:szCs w:val="22"/>
              </w:rPr>
            </w:pPr>
          </w:p>
        </w:tc>
        <w:tc>
          <w:tcPr>
            <w:tcW w:w="850" w:type="dxa"/>
          </w:tcPr>
          <w:p w14:paraId="13201DC7"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52232073" w14:textId="77777777" w:rsidR="003422CB" w:rsidRPr="00E12A85" w:rsidRDefault="003422CB" w:rsidP="00F66F65">
            <w:pPr>
              <w:jc w:val="right"/>
              <w:rPr>
                <w:sz w:val="22"/>
                <w:szCs w:val="22"/>
              </w:rPr>
            </w:pPr>
            <w:r w:rsidRPr="00E12A85">
              <w:rPr>
                <w:sz w:val="22"/>
                <w:szCs w:val="22"/>
              </w:rPr>
              <w:t>0.13</w:t>
            </w:r>
          </w:p>
        </w:tc>
      </w:tr>
      <w:tr w:rsidR="003422CB" w:rsidRPr="00E12A85" w14:paraId="1DB0FE7B" w14:textId="77777777" w:rsidTr="00F66F65">
        <w:tc>
          <w:tcPr>
            <w:tcW w:w="2122" w:type="dxa"/>
          </w:tcPr>
          <w:p w14:paraId="3C2734BF" w14:textId="77777777" w:rsidR="003422CB" w:rsidRPr="00E12A85" w:rsidRDefault="003422CB" w:rsidP="00F66F65">
            <w:pPr>
              <w:rPr>
                <w:sz w:val="20"/>
                <w:szCs w:val="20"/>
              </w:rPr>
            </w:pPr>
            <w:r w:rsidRPr="00E12A85">
              <w:rPr>
                <w:sz w:val="20"/>
                <w:szCs w:val="20"/>
              </w:rPr>
              <w:t>ENST00000587767.1</w:t>
            </w:r>
          </w:p>
        </w:tc>
        <w:tc>
          <w:tcPr>
            <w:tcW w:w="850" w:type="dxa"/>
          </w:tcPr>
          <w:p w14:paraId="471F5D4D" w14:textId="77777777" w:rsidR="003422CB" w:rsidRPr="00E12A85" w:rsidRDefault="003422CB" w:rsidP="00F66F65">
            <w:pPr>
              <w:rPr>
                <w:sz w:val="22"/>
                <w:szCs w:val="22"/>
              </w:rPr>
            </w:pPr>
            <w:r w:rsidRPr="00E12A85">
              <w:rPr>
                <w:sz w:val="22"/>
                <w:szCs w:val="22"/>
              </w:rPr>
              <w:t>1</w:t>
            </w:r>
          </w:p>
        </w:tc>
        <w:tc>
          <w:tcPr>
            <w:tcW w:w="3402" w:type="dxa"/>
          </w:tcPr>
          <w:p w14:paraId="194B2B9E" w14:textId="77777777" w:rsidR="003422CB" w:rsidRPr="00E12A85" w:rsidRDefault="003422CB" w:rsidP="00F66F65">
            <w:pPr>
              <w:rPr>
                <w:sz w:val="22"/>
                <w:szCs w:val="22"/>
              </w:rPr>
            </w:pPr>
            <w:r w:rsidRPr="00E12A85">
              <w:rPr>
                <w:sz w:val="22"/>
                <w:szCs w:val="22"/>
              </w:rPr>
              <w:t>lncRNA</w:t>
            </w:r>
          </w:p>
        </w:tc>
        <w:tc>
          <w:tcPr>
            <w:tcW w:w="1276" w:type="dxa"/>
          </w:tcPr>
          <w:p w14:paraId="73D4FB4D" w14:textId="77777777" w:rsidR="003422CB" w:rsidRPr="00E12A85" w:rsidRDefault="003422CB" w:rsidP="00F66F65">
            <w:pPr>
              <w:rPr>
                <w:sz w:val="22"/>
                <w:szCs w:val="22"/>
              </w:rPr>
            </w:pPr>
          </w:p>
        </w:tc>
        <w:tc>
          <w:tcPr>
            <w:tcW w:w="850" w:type="dxa"/>
          </w:tcPr>
          <w:p w14:paraId="4CB9ADEF"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0A52987F" w14:textId="77777777" w:rsidR="003422CB" w:rsidRPr="00E12A85" w:rsidRDefault="003422CB" w:rsidP="00F66F65">
            <w:pPr>
              <w:jc w:val="right"/>
              <w:rPr>
                <w:sz w:val="22"/>
                <w:szCs w:val="22"/>
              </w:rPr>
            </w:pPr>
            <w:r w:rsidRPr="00E12A85">
              <w:rPr>
                <w:sz w:val="22"/>
                <w:szCs w:val="22"/>
              </w:rPr>
              <w:t>0.00</w:t>
            </w:r>
          </w:p>
        </w:tc>
      </w:tr>
      <w:tr w:rsidR="003422CB" w:rsidRPr="00E12A85" w14:paraId="5C028E22" w14:textId="77777777" w:rsidTr="00F66F65">
        <w:tc>
          <w:tcPr>
            <w:tcW w:w="2122" w:type="dxa"/>
          </w:tcPr>
          <w:p w14:paraId="2A1F6CF5" w14:textId="77777777" w:rsidR="003422CB" w:rsidRPr="00E12A85" w:rsidRDefault="003422CB" w:rsidP="00F66F65">
            <w:pPr>
              <w:rPr>
                <w:sz w:val="20"/>
                <w:szCs w:val="20"/>
              </w:rPr>
            </w:pPr>
            <w:r w:rsidRPr="00E12A85">
              <w:rPr>
                <w:sz w:val="20"/>
                <w:szCs w:val="20"/>
              </w:rPr>
              <w:t>ENST00000588805.1</w:t>
            </w:r>
          </w:p>
        </w:tc>
        <w:tc>
          <w:tcPr>
            <w:tcW w:w="850" w:type="dxa"/>
          </w:tcPr>
          <w:p w14:paraId="12A3B64B" w14:textId="77777777" w:rsidR="003422CB" w:rsidRPr="00E12A85" w:rsidRDefault="003422CB" w:rsidP="00F66F65">
            <w:pPr>
              <w:rPr>
                <w:sz w:val="22"/>
                <w:szCs w:val="22"/>
              </w:rPr>
            </w:pPr>
            <w:r w:rsidRPr="00E12A85">
              <w:rPr>
                <w:sz w:val="22"/>
                <w:szCs w:val="22"/>
              </w:rPr>
              <w:t>2</w:t>
            </w:r>
          </w:p>
        </w:tc>
        <w:tc>
          <w:tcPr>
            <w:tcW w:w="3402" w:type="dxa"/>
          </w:tcPr>
          <w:p w14:paraId="2D951312" w14:textId="77777777" w:rsidR="003422CB" w:rsidRPr="00E12A85" w:rsidRDefault="003422CB" w:rsidP="00F66F65">
            <w:pPr>
              <w:rPr>
                <w:sz w:val="22"/>
                <w:szCs w:val="22"/>
              </w:rPr>
            </w:pPr>
            <w:proofErr w:type="spellStart"/>
            <w:r w:rsidRPr="00E12A85">
              <w:rPr>
                <w:sz w:val="22"/>
                <w:szCs w:val="22"/>
              </w:rPr>
              <w:t>protein_coding_CDS_not_defined</w:t>
            </w:r>
            <w:proofErr w:type="spellEnd"/>
          </w:p>
        </w:tc>
        <w:tc>
          <w:tcPr>
            <w:tcW w:w="1276" w:type="dxa"/>
          </w:tcPr>
          <w:p w14:paraId="4B095961" w14:textId="77777777" w:rsidR="003422CB" w:rsidRPr="00E12A85" w:rsidRDefault="003422CB" w:rsidP="00F66F65">
            <w:pPr>
              <w:rPr>
                <w:sz w:val="22"/>
                <w:szCs w:val="22"/>
              </w:rPr>
            </w:pPr>
            <w:r w:rsidRPr="00E12A85">
              <w:rPr>
                <w:sz w:val="22"/>
                <w:szCs w:val="22"/>
              </w:rPr>
              <w:t>MEIOC</w:t>
            </w:r>
          </w:p>
        </w:tc>
        <w:tc>
          <w:tcPr>
            <w:tcW w:w="850" w:type="dxa"/>
          </w:tcPr>
          <w:p w14:paraId="40B6AEC9"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3B5C38F9" w14:textId="77777777" w:rsidR="003422CB" w:rsidRPr="00E12A85" w:rsidRDefault="003422CB" w:rsidP="00F66F65">
            <w:pPr>
              <w:jc w:val="right"/>
              <w:rPr>
                <w:sz w:val="22"/>
                <w:szCs w:val="22"/>
              </w:rPr>
            </w:pPr>
            <w:r w:rsidRPr="00E12A85">
              <w:rPr>
                <w:sz w:val="22"/>
                <w:szCs w:val="22"/>
              </w:rPr>
              <w:t>0.07</w:t>
            </w:r>
          </w:p>
        </w:tc>
      </w:tr>
      <w:tr w:rsidR="003422CB" w:rsidRPr="00E12A85" w14:paraId="52070B91" w14:textId="77777777" w:rsidTr="00F66F65">
        <w:tc>
          <w:tcPr>
            <w:tcW w:w="2122" w:type="dxa"/>
          </w:tcPr>
          <w:p w14:paraId="69139AD8" w14:textId="77777777" w:rsidR="003422CB" w:rsidRPr="00E12A85" w:rsidRDefault="003422CB" w:rsidP="00F66F65">
            <w:pPr>
              <w:rPr>
                <w:sz w:val="20"/>
                <w:szCs w:val="20"/>
              </w:rPr>
            </w:pPr>
            <w:r w:rsidRPr="00E12A85">
              <w:rPr>
                <w:sz w:val="20"/>
                <w:szCs w:val="20"/>
              </w:rPr>
              <w:t>ENST00000589355.1</w:t>
            </w:r>
          </w:p>
        </w:tc>
        <w:tc>
          <w:tcPr>
            <w:tcW w:w="850" w:type="dxa"/>
          </w:tcPr>
          <w:p w14:paraId="30285146" w14:textId="77777777" w:rsidR="003422CB" w:rsidRPr="00E12A85" w:rsidRDefault="003422CB" w:rsidP="00F66F65">
            <w:pPr>
              <w:rPr>
                <w:sz w:val="22"/>
                <w:szCs w:val="22"/>
              </w:rPr>
            </w:pPr>
            <w:r w:rsidRPr="00E12A85">
              <w:rPr>
                <w:sz w:val="22"/>
                <w:szCs w:val="22"/>
              </w:rPr>
              <w:t>1</w:t>
            </w:r>
          </w:p>
        </w:tc>
        <w:tc>
          <w:tcPr>
            <w:tcW w:w="3402" w:type="dxa"/>
          </w:tcPr>
          <w:p w14:paraId="15C2A720" w14:textId="77777777" w:rsidR="003422CB" w:rsidRPr="00E12A85" w:rsidRDefault="003422CB" w:rsidP="00F66F65">
            <w:pPr>
              <w:rPr>
                <w:sz w:val="22"/>
                <w:szCs w:val="22"/>
              </w:rPr>
            </w:pPr>
            <w:r w:rsidRPr="00E12A85">
              <w:rPr>
                <w:sz w:val="22"/>
                <w:szCs w:val="22"/>
              </w:rPr>
              <w:t>lncRNA</w:t>
            </w:r>
          </w:p>
        </w:tc>
        <w:tc>
          <w:tcPr>
            <w:tcW w:w="1276" w:type="dxa"/>
          </w:tcPr>
          <w:p w14:paraId="67922F0B" w14:textId="77777777" w:rsidR="003422CB" w:rsidRPr="00E12A85" w:rsidRDefault="003422CB" w:rsidP="00F66F65">
            <w:pPr>
              <w:rPr>
                <w:sz w:val="22"/>
                <w:szCs w:val="22"/>
              </w:rPr>
            </w:pPr>
            <w:r w:rsidRPr="00E12A85">
              <w:rPr>
                <w:sz w:val="22"/>
                <w:szCs w:val="22"/>
              </w:rPr>
              <w:t>TTN-AS1</w:t>
            </w:r>
          </w:p>
        </w:tc>
        <w:tc>
          <w:tcPr>
            <w:tcW w:w="850" w:type="dxa"/>
          </w:tcPr>
          <w:p w14:paraId="6E23B094"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6A3A1A12" w14:textId="77777777" w:rsidR="003422CB" w:rsidRPr="00E12A85" w:rsidRDefault="003422CB" w:rsidP="00F66F65">
            <w:pPr>
              <w:jc w:val="right"/>
              <w:rPr>
                <w:sz w:val="22"/>
                <w:szCs w:val="22"/>
              </w:rPr>
            </w:pPr>
            <w:r w:rsidRPr="00E12A85">
              <w:rPr>
                <w:sz w:val="22"/>
                <w:szCs w:val="22"/>
              </w:rPr>
              <w:t>0.00</w:t>
            </w:r>
          </w:p>
        </w:tc>
      </w:tr>
      <w:tr w:rsidR="003422CB" w:rsidRPr="00E12A85" w14:paraId="17EAB433" w14:textId="77777777" w:rsidTr="00F66F65">
        <w:tc>
          <w:tcPr>
            <w:tcW w:w="2122" w:type="dxa"/>
          </w:tcPr>
          <w:p w14:paraId="73538A25" w14:textId="77777777" w:rsidR="003422CB" w:rsidRPr="00E12A85" w:rsidRDefault="003422CB" w:rsidP="00F66F65">
            <w:pPr>
              <w:rPr>
                <w:sz w:val="20"/>
                <w:szCs w:val="20"/>
              </w:rPr>
            </w:pPr>
            <w:r w:rsidRPr="00E12A85">
              <w:rPr>
                <w:sz w:val="20"/>
                <w:szCs w:val="20"/>
              </w:rPr>
              <w:t>ENST00000592758.1</w:t>
            </w:r>
          </w:p>
        </w:tc>
        <w:tc>
          <w:tcPr>
            <w:tcW w:w="850" w:type="dxa"/>
          </w:tcPr>
          <w:p w14:paraId="66E7B0CA" w14:textId="77777777" w:rsidR="003422CB" w:rsidRPr="00E12A85" w:rsidRDefault="003422CB" w:rsidP="00F66F65">
            <w:pPr>
              <w:rPr>
                <w:sz w:val="22"/>
                <w:szCs w:val="22"/>
              </w:rPr>
            </w:pPr>
            <w:r w:rsidRPr="00E12A85">
              <w:rPr>
                <w:sz w:val="22"/>
                <w:szCs w:val="22"/>
              </w:rPr>
              <w:t>1</w:t>
            </w:r>
          </w:p>
        </w:tc>
        <w:tc>
          <w:tcPr>
            <w:tcW w:w="3402" w:type="dxa"/>
          </w:tcPr>
          <w:p w14:paraId="61761F41" w14:textId="77777777" w:rsidR="003422CB" w:rsidRPr="00E12A85" w:rsidRDefault="003422CB" w:rsidP="00F66F65">
            <w:pPr>
              <w:rPr>
                <w:sz w:val="22"/>
                <w:szCs w:val="22"/>
              </w:rPr>
            </w:pPr>
            <w:r w:rsidRPr="00E12A85">
              <w:rPr>
                <w:sz w:val="22"/>
                <w:szCs w:val="22"/>
              </w:rPr>
              <w:t>lncRNA</w:t>
            </w:r>
          </w:p>
        </w:tc>
        <w:tc>
          <w:tcPr>
            <w:tcW w:w="1276" w:type="dxa"/>
          </w:tcPr>
          <w:p w14:paraId="0B99F3B5" w14:textId="77777777" w:rsidR="003422CB" w:rsidRPr="00E12A85" w:rsidRDefault="003422CB" w:rsidP="00F66F65">
            <w:pPr>
              <w:rPr>
                <w:sz w:val="22"/>
                <w:szCs w:val="22"/>
              </w:rPr>
            </w:pPr>
          </w:p>
        </w:tc>
        <w:tc>
          <w:tcPr>
            <w:tcW w:w="850" w:type="dxa"/>
          </w:tcPr>
          <w:p w14:paraId="2C271A3B" w14:textId="77777777" w:rsidR="003422CB" w:rsidRPr="00E12A85" w:rsidRDefault="003422CB" w:rsidP="00F66F65">
            <w:pPr>
              <w:jc w:val="right"/>
              <w:rPr>
                <w:sz w:val="22"/>
                <w:szCs w:val="22"/>
              </w:rPr>
            </w:pPr>
            <w:r w:rsidRPr="00E12A85">
              <w:rPr>
                <w:sz w:val="22"/>
                <w:szCs w:val="22"/>
              </w:rPr>
              <w:t>0</w:t>
            </w:r>
            <w:r>
              <w:rPr>
                <w:sz w:val="22"/>
                <w:szCs w:val="22"/>
              </w:rPr>
              <w:t>.00</w:t>
            </w:r>
          </w:p>
        </w:tc>
        <w:tc>
          <w:tcPr>
            <w:tcW w:w="896" w:type="dxa"/>
          </w:tcPr>
          <w:p w14:paraId="73261B1A" w14:textId="77777777" w:rsidR="003422CB" w:rsidRPr="00E12A85" w:rsidRDefault="003422CB" w:rsidP="00F66F65">
            <w:pPr>
              <w:jc w:val="right"/>
              <w:rPr>
                <w:sz w:val="22"/>
                <w:szCs w:val="22"/>
              </w:rPr>
            </w:pPr>
            <w:r w:rsidRPr="00E12A85">
              <w:rPr>
                <w:sz w:val="22"/>
                <w:szCs w:val="22"/>
              </w:rPr>
              <w:t>0.20</w:t>
            </w:r>
          </w:p>
        </w:tc>
      </w:tr>
    </w:tbl>
    <w:p w14:paraId="04E95CCC" w14:textId="77777777" w:rsidR="003422CB" w:rsidRDefault="003422CB">
      <w:pPr>
        <w:pStyle w:val="Brdtekst"/>
      </w:pPr>
    </w:p>
    <w:p w14:paraId="78FE142D" w14:textId="77777777" w:rsidR="00683466" w:rsidRDefault="00000000">
      <w:pPr>
        <w:pStyle w:val="Brdtekst"/>
      </w:pPr>
      <w:r>
        <w:t xml:space="preserve">Furthermore, we filtered the baseline data for those with perfect SE scores across all samples 239 introns from 179 transcripts belonging to 26 genes were perfectly spliced across all baseline </w:t>
      </w:r>
      <w:r>
        <w:lastRenderedPageBreak/>
        <w:t xml:space="preserve">samples. These genes were mostly protein_coding genes enriched for biological processes that are physiologically relevant to the skeletal muscle as can be seen in </w:t>
      </w:r>
      <w:r>
        <w:rPr>
          <w:b/>
          <w:bCs/>
        </w:rPr>
        <w:t>Figure 2B</w:t>
      </w:r>
      <w:r>
        <w:t>.</w:t>
      </w:r>
    </w:p>
    <w:p w14:paraId="4658FB35" w14:textId="77777777" w:rsidR="00683466" w:rsidRDefault="00000000">
      <w:pPr>
        <w:pStyle w:val="Brdtekst"/>
      </w:pPr>
      <w:r>
        <w:t xml:space="preserve">In the post-exercise data, 217 of the 9108 introns were perfectly spliced across all samples ,194 of which were among those perfectly spliced at baseline. These perfectly spliced introns belonged to 157 transcripts of 24` genes. The GO analyses of the genes revealed they are involved in some biological processes different from those at baseline as can be seen in </w:t>
      </w:r>
      <w:r>
        <w:rPr>
          <w:b/>
          <w:bCs/>
        </w:rPr>
        <w:t>Figure 2B</w:t>
      </w:r>
      <w:r>
        <w:t xml:space="preserve"> and </w:t>
      </w:r>
      <w:r>
        <w:rPr>
          <w:b/>
          <w:bCs/>
        </w:rPr>
        <w:t>Figure 2D</w:t>
      </w:r>
      <w:r>
        <w:t>.</w:t>
      </w:r>
    </w:p>
    <w:p w14:paraId="5EA9F9A4" w14:textId="77777777" w:rsidR="00683466" w:rsidRDefault="00000000">
      <w:pPr>
        <w:pStyle w:val="Brdtekst"/>
      </w:pPr>
      <w:r>
        <w:t>The ontology of the transcripts containing the characteristically retained or completely spliced introns in the skeletal muscle samples appears to agree with Sánchez-Escabias et al. (2022), Saudemont et al. (2017) and Braunschweig et al. (2014) about a correlation between physiological relevance and splicing efficiency.</w:t>
      </w:r>
    </w:p>
    <w:p w14:paraId="39DAFD2B" w14:textId="77777777" w:rsidR="00683466" w:rsidRPr="003422CB" w:rsidRDefault="00000000">
      <w:pPr>
        <w:pStyle w:val="Overskrift3"/>
        <w:rPr>
          <w:lang w:val="en-GB"/>
        </w:rPr>
      </w:pPr>
      <w:bookmarkStart w:id="3" w:name="X2698705ab50e570a8704024831b9bf144c329f6"/>
      <w:bookmarkEnd w:id="2"/>
      <w:r w:rsidRPr="003422CB">
        <w:rPr>
          <w:lang w:val="en-GB"/>
        </w:rPr>
        <w:t>SE of introns in a gene tend to be similar</w:t>
      </w:r>
    </w:p>
    <w:p w14:paraId="212F2660" w14:textId="585E7C6E" w:rsidR="00683466" w:rsidRDefault="00000000">
      <w:pPr>
        <w:pStyle w:val="FirstParagraph"/>
      </w:pPr>
      <w:r>
        <w:t>According to Sánchez-</w:t>
      </w:r>
      <w:proofErr w:type="spellStart"/>
      <w:r>
        <w:t>Escabias</w:t>
      </w:r>
      <w:proofErr w:type="spellEnd"/>
      <w:r>
        <w:t xml:space="preserve"> et al. (2022) SE tends to be similar between the introns of a gene</w:t>
      </w:r>
      <w:r w:rsidR="00DA5A95">
        <w:t>.</w:t>
      </w:r>
      <w:r>
        <w:t xml:space="preserve"> </w:t>
      </w:r>
      <w:r w:rsidR="00DA5A95">
        <w:t>W</w:t>
      </w:r>
      <w:r>
        <w:t>e investigated the presence of that similarity in the skeletal muscle by filtering for introns with standard deviation of 0.01 across all samples. Our results show that 13671 introns in 6351 transcripts of 776 had similar SE across all samples. This suggests that more than half of the introns were similarly spliced and some, if not most were contained in same transcripts/genes</w:t>
      </w:r>
      <w:r w:rsidR="00DA5A95">
        <w:t>. (</w:t>
      </w:r>
      <w:r w:rsidR="00DA5A95" w:rsidRPr="00DA5A95">
        <w:rPr>
          <w:b/>
          <w:bCs/>
          <w:i/>
          <w:iCs/>
        </w:rPr>
        <w:t>List of similarly spliced introns to be among supplementary materials</w:t>
      </w:r>
      <w:r w:rsidR="00DA5A95">
        <w:t>)</w:t>
      </w:r>
    </w:p>
    <w:p w14:paraId="28DFFCDB" w14:textId="77777777" w:rsidR="00683466" w:rsidRPr="003422CB" w:rsidRDefault="00000000">
      <w:pPr>
        <w:pStyle w:val="Overskrift3"/>
        <w:rPr>
          <w:lang w:val="en-GB"/>
        </w:rPr>
      </w:pPr>
      <w:bookmarkStart w:id="4" w:name="X5a76f4b1499a891a7e21198ac9d0b03115acdce"/>
      <w:bookmarkEnd w:id="3"/>
      <w:r w:rsidRPr="003422CB">
        <w:rPr>
          <w:lang w:val="en-GB"/>
        </w:rPr>
        <w:t>Transcript length does not correlate to splicing efficiency in the skeletal muscle</w:t>
      </w:r>
    </w:p>
    <w:p w14:paraId="33F41814" w14:textId="28EDE138" w:rsidR="00683466" w:rsidRDefault="00000000">
      <w:pPr>
        <w:pStyle w:val="FirstParagraph"/>
      </w:pPr>
      <w:r>
        <w:t xml:space="preserve">There is said to exist a positive correlation between gene length and SE (Sánchez-Escabias et al., </w:t>
      </w:r>
      <w:r w:rsidR="00DA5A95">
        <w:t>2022;</w:t>
      </w:r>
      <w:r>
        <w:t xml:space="preserve"> Braunschweig et al., 2014; Saudemont et al., 2017</w:t>
      </w:r>
      <w:r w:rsidR="00DA5A95">
        <w:t>).</w:t>
      </w:r>
      <w:r>
        <w:t xml:space="preserve"> We investigated this by using Pearson’s product-moment correlation to check for correlations between transcript length and the splicing efficiency of introns in a transcript. A negligible correlation of -0.018 at a pvalue of </w:t>
      </w:r>
      <w:r>
        <w:lastRenderedPageBreak/>
        <w:t>0.007 was found between the transcript length and splicing efficiency of the samples at baseline. When tested in the post exercise data alone , they had a correlation estimate of -0.054 at a p value of 0.0. In the full dataset (baseline and postexercise), the correlation was -0.042 with a p.value of 0.0. All the results completely disagree with reports that suggest a relationship between those two factors, at least in skeletal muscles.</w:t>
      </w:r>
    </w:p>
    <w:p w14:paraId="364C8BC9" w14:textId="77777777" w:rsidR="00683466" w:rsidRPr="003422CB" w:rsidRDefault="00000000">
      <w:pPr>
        <w:pStyle w:val="Overskrift3"/>
        <w:rPr>
          <w:lang w:val="en-GB"/>
        </w:rPr>
      </w:pPr>
      <w:bookmarkStart w:id="5" w:name="X2ec267b14915dd8293f6776f843e6fb9dc1ff3b"/>
      <w:bookmarkEnd w:id="4"/>
      <w:r w:rsidRPr="003422CB">
        <w:rPr>
          <w:lang w:val="en-GB"/>
        </w:rPr>
        <w:t>Splicing efficiency of introns in the skeletal muscle are affected by aging</w:t>
      </w:r>
    </w:p>
    <w:p w14:paraId="33B10BD6" w14:textId="32233376" w:rsidR="00683466" w:rsidRDefault="00000000" w:rsidP="00DA5A95">
      <w:pPr>
        <w:pStyle w:val="FirstParagraph"/>
      </w:pPr>
      <w:r>
        <w:t>Several studies have reported that aging correlates with increased mis-</w:t>
      </w:r>
      <w:proofErr w:type="gramStart"/>
      <w:r>
        <w:t>splicing;</w:t>
      </w:r>
      <w:proofErr w:type="gramEnd"/>
      <w:r>
        <w:t xml:space="preserve"> especially IR. It is also known that the molecular hallmarks of aging are cell, tissue and organ-specific (Baralle and Romano, 2023; García-Ruiz et al., 2025; Mariotti et al., 2022)</w:t>
      </w:r>
      <w:r w:rsidR="00DA5A95">
        <w:t xml:space="preserve">. </w:t>
      </w:r>
      <w:r>
        <w:t>To investigate the effects of aging on SE in the skeletal muscle of individuals of different ages we used the data collected before resumption of RT intervention. This was done to preclude the effects of RT on SE.</w:t>
      </w:r>
    </w:p>
    <w:p w14:paraId="2A1FEABC" w14:textId="52E14817" w:rsidR="00683466" w:rsidRDefault="00000000">
      <w:pPr>
        <w:pStyle w:val="Brdtekst"/>
      </w:pPr>
      <w:r>
        <w:t xml:space="preserve">Of the 23063 introns captured across all samples at baseline, 1158 were differentially spliced by aging. From the model estimate as seen in </w:t>
      </w:r>
      <w:r w:rsidRPr="00DA5A95">
        <w:rPr>
          <w:b/>
          <w:bCs/>
        </w:rPr>
        <w:t>Figure</w:t>
      </w:r>
      <w:r w:rsidR="00DA5A95">
        <w:rPr>
          <w:b/>
          <w:bCs/>
        </w:rPr>
        <w:t>s</w:t>
      </w:r>
      <w:r w:rsidRPr="00DA5A95">
        <w:rPr>
          <w:b/>
          <w:bCs/>
        </w:rPr>
        <w:t xml:space="preserve"> </w:t>
      </w:r>
      <w:r w:rsidR="00DA5A95" w:rsidRPr="00DA5A95">
        <w:rPr>
          <w:b/>
          <w:bCs/>
        </w:rPr>
        <w:t>3</w:t>
      </w:r>
      <w:r w:rsidRPr="00DA5A95">
        <w:rPr>
          <w:b/>
          <w:bCs/>
        </w:rPr>
        <w:t>A</w:t>
      </w:r>
      <w:r w:rsidR="00DA5A95" w:rsidRPr="00DA5A95">
        <w:t xml:space="preserve"> and</w:t>
      </w:r>
      <w:r w:rsidR="00DA5A95">
        <w:rPr>
          <w:b/>
          <w:bCs/>
        </w:rPr>
        <w:t xml:space="preserve"> 3B</w:t>
      </w:r>
      <w:r>
        <w:t>, aging resulted more to poorer SE than it did to improved SE. Across all baseline samples in the study, 1002 introns revealed reduced SE with aging while 156 had better IR with aging.</w:t>
      </w:r>
    </w:p>
    <w:p w14:paraId="257CE78B" w14:textId="0DF854BA" w:rsidR="00683466" w:rsidRDefault="00000000">
      <w:pPr>
        <w:pStyle w:val="Brdtekst"/>
      </w:pPr>
      <w:r>
        <w:t xml:space="preserve">Gene ontology analyses reveal that both the differentially spliced (ds) introns with negative estimates and those with positive estimates are involved in the same biological </w:t>
      </w:r>
      <w:r w:rsidR="00DA5A95">
        <w:t>processes but</w:t>
      </w:r>
      <w:r>
        <w:t xml:space="preserve"> have somewhat different cellular components as can be seen in </w:t>
      </w:r>
      <w:r w:rsidRPr="00DA5A95">
        <w:rPr>
          <w:b/>
          <w:bCs/>
        </w:rPr>
        <w:t xml:space="preserve">Figure </w:t>
      </w:r>
      <w:r w:rsidR="00DA5A95" w:rsidRPr="00DA5A95">
        <w:rPr>
          <w:b/>
          <w:bCs/>
        </w:rPr>
        <w:t>3C</w:t>
      </w:r>
      <w:r w:rsidR="00DA5A95">
        <w:t xml:space="preserve"> and </w:t>
      </w:r>
      <w:r w:rsidR="00DA5A95" w:rsidRPr="00DA5A95">
        <w:rPr>
          <w:b/>
          <w:bCs/>
        </w:rPr>
        <w:t>Figure 3D</w:t>
      </w:r>
      <w:r>
        <w:t>. This suggests that while the two subgroups of ds introns are involved in same biological processes, their functional locations are somewhat different.</w:t>
      </w:r>
    </w:p>
    <w:p w14:paraId="43CB90A5" w14:textId="77777777" w:rsidR="00683466" w:rsidRPr="003422CB" w:rsidRDefault="00000000">
      <w:pPr>
        <w:pStyle w:val="Overskrift3"/>
        <w:rPr>
          <w:lang w:val="en-GB"/>
        </w:rPr>
      </w:pPr>
      <w:bookmarkStart w:id="6" w:name="Xffcc4027ee8e2b6acb91a58f6d36f868cff70f4"/>
      <w:bookmarkEnd w:id="5"/>
      <w:r w:rsidRPr="003422CB">
        <w:rPr>
          <w:lang w:val="en-GB"/>
        </w:rPr>
        <w:lastRenderedPageBreak/>
        <w:t>Resistance Exercise training elicits a different set of ds intron some of which are influenced by aging</w:t>
      </w:r>
    </w:p>
    <w:p w14:paraId="1E395E7F" w14:textId="77777777" w:rsidR="00DA5A95" w:rsidRDefault="00000000">
      <w:pPr>
        <w:pStyle w:val="FirstParagraph"/>
      </w:pPr>
      <w:r>
        <w:t>Several studies have reported different transcriptomic adaptive responses to RT. To the best of our knowledge, as at the time of this research, no peer-reviewed study had investigated IR in response to RT.</w:t>
      </w:r>
    </w:p>
    <w:p w14:paraId="7378D8EA" w14:textId="4FE4E76B" w:rsidR="00683466" w:rsidRDefault="00000000">
      <w:pPr>
        <w:pStyle w:val="FirstParagraph"/>
      </w:pPr>
      <w:r>
        <w:t xml:space="preserve"> To explore how about 12 weeks of RT would affect splicing efficiency in individuals of different ages, we filtered the dataset from the six studies to include only participants who performed RT. Thus the control samples and participants in the ContraTrain study , and the individuals who performed non-RT interventions in Robinson et al. (2017) were excluded from this step. However, the number of samples increased to 796 compared to 446 at baseline . Filtering for introns represented across all samples significantly reduced t</w:t>
      </w:r>
      <w:r w:rsidR="00DA5A95">
        <w:t>he</w:t>
      </w:r>
      <w:r>
        <w:t xml:space="preserve"> number of introns from 23063 in the baseline to </w:t>
      </w:r>
      <w:proofErr w:type="gramStart"/>
      <w:r>
        <w:t>8527 .</w:t>
      </w:r>
      <w:proofErr w:type="gramEnd"/>
    </w:p>
    <w:p w14:paraId="7E267414" w14:textId="1BB6C731" w:rsidR="00683466" w:rsidRDefault="00000000">
      <w:pPr>
        <w:pStyle w:val="Brdtekst"/>
      </w:pPr>
      <w:r>
        <w:t xml:space="preserve">942 introns </w:t>
      </w:r>
      <w:r w:rsidR="00DA5A95">
        <w:t>from</w:t>
      </w:r>
      <w:r>
        <w:t xml:space="preserve"> 580 transcripts </w:t>
      </w:r>
      <w:proofErr w:type="gramStart"/>
      <w:r w:rsidR="00DA5A95">
        <w:t xml:space="preserve">of </w:t>
      </w:r>
      <w:r>
        <w:t xml:space="preserve"> 97</w:t>
      </w:r>
      <w:proofErr w:type="gramEnd"/>
      <w:r>
        <w:t xml:space="preserve"> genes. were differentially spliced </w:t>
      </w:r>
      <w:r w:rsidR="00DA5A95">
        <w:t xml:space="preserve">due </w:t>
      </w:r>
      <w:proofErr w:type="gramStart"/>
      <w:r w:rsidR="00DA5A95">
        <w:t xml:space="preserve">to </w:t>
      </w:r>
      <w:r>
        <w:t xml:space="preserve"> the</w:t>
      </w:r>
      <w:proofErr w:type="gramEnd"/>
      <w:r>
        <w:t xml:space="preserve"> impact of RT, either alone (550) or in interaction with age (392). </w:t>
      </w:r>
      <w:r>
        <w:rPr>
          <w:b/>
          <w:bCs/>
        </w:rPr>
        <w:t xml:space="preserve">Figure </w:t>
      </w:r>
      <w:r w:rsidR="00DA5A95">
        <w:rPr>
          <w:b/>
          <w:bCs/>
        </w:rPr>
        <w:t>4</w:t>
      </w:r>
      <w:r>
        <w:t xml:space="preserve"> shows the enriched biological processes </w:t>
      </w:r>
      <w:proofErr w:type="gramStart"/>
      <w:r>
        <w:t>as a result of</w:t>
      </w:r>
      <w:proofErr w:type="gramEnd"/>
      <w:r>
        <w:t xml:space="preserve"> RT</w:t>
      </w:r>
    </w:p>
    <w:p w14:paraId="244012D6" w14:textId="77777777" w:rsidR="00683466" w:rsidRPr="003422CB" w:rsidRDefault="00000000">
      <w:pPr>
        <w:pStyle w:val="Overskrift2"/>
        <w:rPr>
          <w:lang w:val="en-GB"/>
        </w:rPr>
      </w:pPr>
      <w:bookmarkStart w:id="7" w:name="materials-and-methods"/>
      <w:bookmarkEnd w:id="6"/>
      <w:r w:rsidRPr="003422CB">
        <w:rPr>
          <w:lang w:val="en-GB"/>
        </w:rPr>
        <w:t>Materials and methods</w:t>
      </w:r>
    </w:p>
    <w:p w14:paraId="491F610D" w14:textId="77777777" w:rsidR="00683466" w:rsidRPr="003422CB" w:rsidRDefault="00000000">
      <w:pPr>
        <w:pStyle w:val="Overskrift3"/>
        <w:rPr>
          <w:lang w:val="en-GB"/>
        </w:rPr>
      </w:pPr>
      <w:bookmarkStart w:id="8" w:name="datasets"/>
      <w:r w:rsidRPr="003422CB">
        <w:rPr>
          <w:lang w:val="en-GB"/>
        </w:rPr>
        <w:t>Datasets</w:t>
      </w:r>
    </w:p>
    <w:p w14:paraId="53DB0A3C" w14:textId="77777777" w:rsidR="00683466" w:rsidRDefault="00000000">
      <w:pPr>
        <w:pStyle w:val="FirstParagraph"/>
      </w:pPr>
      <w:r>
        <w:t xml:space="preserve">Six different studies designed to investigate different aspects of adaptive response to RT were included in the analyses. Five of these studies were conducted by our research group, while one is a study by Robinson et al. (2017) with GEO ascension number GSE97084. The studies were selected based on the criteria that they included paired-end Illumina RNA-Seq data from the </w:t>
      </w:r>
      <w:r>
        <w:rPr>
          <w:i/>
          <w:iCs/>
        </w:rPr>
        <w:t>vastus lateralis</w:t>
      </w:r>
      <w:r>
        <w:t xml:space="preserve"> muscle of human subjects who performed at least 10 weeks of RT with samples </w:t>
      </w:r>
      <w:r>
        <w:lastRenderedPageBreak/>
        <w:t>collected at baseline and at the end of the study . Age of all participants was also required to be included in the data. The study protocols of the different studies are described elsewhere.</w:t>
      </w:r>
    </w:p>
    <w:p w14:paraId="152489D3" w14:textId="5171808D" w:rsidR="00683466" w:rsidRDefault="00000000">
      <w:pPr>
        <w:pStyle w:val="Brdtekst"/>
      </w:pPr>
      <w:r>
        <w:t xml:space="preserve">The characteristics of included studies are presented in </w:t>
      </w:r>
      <w:r>
        <w:rPr>
          <w:b/>
          <w:bCs/>
        </w:rPr>
        <w:t xml:space="preserve">Table </w:t>
      </w:r>
      <w:proofErr w:type="gramStart"/>
      <w:r w:rsidR="00336B27">
        <w:rPr>
          <w:b/>
          <w:bCs/>
        </w:rPr>
        <w:t>2</w:t>
      </w:r>
      <w:r>
        <w:t xml:space="preserve"> </w:t>
      </w:r>
      <w:r w:rsidR="00F41EC5">
        <w:t>.</w:t>
      </w:r>
      <w:proofErr w:type="gramEnd"/>
      <w:r w:rsidR="00F41EC5">
        <w:t xml:space="preserve"> The distribution of participants across is studies is as presented in </w:t>
      </w:r>
      <w:r w:rsidR="00F41EC5" w:rsidRPr="00F41EC5">
        <w:rPr>
          <w:b/>
          <w:bCs/>
        </w:rPr>
        <w:t>Figure 5</w:t>
      </w:r>
    </w:p>
    <w:p w14:paraId="35C817F4" w14:textId="5E2E77C7" w:rsidR="00683466" w:rsidRPr="00336B27" w:rsidRDefault="00000000">
      <w:pPr>
        <w:pStyle w:val="Brdtekst"/>
        <w:rPr>
          <w:sz w:val="20"/>
          <w:szCs w:val="20"/>
        </w:rPr>
      </w:pPr>
      <w:r w:rsidRPr="00336B27">
        <w:rPr>
          <w:b/>
          <w:bCs/>
          <w:sz w:val="20"/>
          <w:szCs w:val="20"/>
        </w:rPr>
        <w:t xml:space="preserve">Table </w:t>
      </w:r>
      <w:r w:rsidR="00336B27" w:rsidRPr="00336B27">
        <w:rPr>
          <w:b/>
          <w:bCs/>
          <w:sz w:val="20"/>
          <w:szCs w:val="20"/>
        </w:rPr>
        <w:t>2</w:t>
      </w:r>
      <w:r w:rsidRPr="00336B27">
        <w:rPr>
          <w:sz w:val="20"/>
          <w:szCs w:val="20"/>
        </w:rPr>
        <w:t xml:space="preserve">: </w:t>
      </w:r>
      <w:r w:rsidR="00336B27" w:rsidRPr="00336B27">
        <w:rPr>
          <w:sz w:val="20"/>
          <w:szCs w:val="20"/>
        </w:rPr>
        <w:t>B</w:t>
      </w:r>
      <w:r w:rsidRPr="00336B27">
        <w:rPr>
          <w:sz w:val="20"/>
          <w:szCs w:val="20"/>
        </w:rPr>
        <w:t>asic characteristics of RT intervention studies included in this analysis: primary results from three of the RT intervention studies (COPD, Volume; SRP102542) have been previously published. Results from ContraTrain, Alpha &amp; Omega, and ReLiEf are yet to be published but links to description of their study protocols, or their clinical identifier numbers are provided</w:t>
      </w:r>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5"/>
        <w:gridCol w:w="1701"/>
        <w:gridCol w:w="1746"/>
        <w:gridCol w:w="1690"/>
        <w:gridCol w:w="2501"/>
      </w:tblGrid>
      <w:tr w:rsidR="00683466" w14:paraId="077AA5EF" w14:textId="77777777" w:rsidTr="00F41EC5">
        <w:trPr>
          <w:tblHeader/>
        </w:trPr>
        <w:tc>
          <w:tcPr>
            <w:tcW w:w="1555" w:type="dxa"/>
          </w:tcPr>
          <w:p w14:paraId="584BBD3D" w14:textId="77777777" w:rsidR="00683466" w:rsidRPr="00F41EC5" w:rsidRDefault="00000000">
            <w:pPr>
              <w:rPr>
                <w:b/>
                <w:bCs/>
              </w:rPr>
            </w:pPr>
            <w:r w:rsidRPr="00F41EC5">
              <w:rPr>
                <w:b/>
                <w:bCs/>
              </w:rPr>
              <w:t>Study</w:t>
            </w:r>
          </w:p>
        </w:tc>
        <w:tc>
          <w:tcPr>
            <w:tcW w:w="1701" w:type="dxa"/>
          </w:tcPr>
          <w:p w14:paraId="6CA79F94" w14:textId="77777777" w:rsidR="00683466" w:rsidRPr="00F41EC5" w:rsidRDefault="00000000">
            <w:pPr>
              <w:rPr>
                <w:b/>
                <w:bCs/>
              </w:rPr>
            </w:pPr>
            <w:r w:rsidRPr="00F41EC5">
              <w:rPr>
                <w:b/>
                <w:bCs/>
              </w:rPr>
              <w:t>Participants at baseline</w:t>
            </w:r>
          </w:p>
        </w:tc>
        <w:tc>
          <w:tcPr>
            <w:tcW w:w="1746" w:type="dxa"/>
          </w:tcPr>
          <w:p w14:paraId="75A1E979" w14:textId="77777777" w:rsidR="00683466" w:rsidRPr="00F41EC5" w:rsidRDefault="00000000">
            <w:pPr>
              <w:rPr>
                <w:b/>
                <w:bCs/>
              </w:rPr>
            </w:pPr>
            <w:r w:rsidRPr="00F41EC5">
              <w:rPr>
                <w:b/>
                <w:bCs/>
              </w:rPr>
              <w:t>participants at post-exercise</w:t>
            </w:r>
          </w:p>
        </w:tc>
        <w:tc>
          <w:tcPr>
            <w:tcW w:w="1690" w:type="dxa"/>
          </w:tcPr>
          <w:p w14:paraId="5F86B8C6" w14:textId="77777777" w:rsidR="00683466" w:rsidRPr="00F41EC5" w:rsidRDefault="00000000">
            <w:pPr>
              <w:rPr>
                <w:b/>
                <w:bCs/>
              </w:rPr>
            </w:pPr>
            <w:r w:rsidRPr="00F41EC5">
              <w:rPr>
                <w:b/>
                <w:bCs/>
              </w:rPr>
              <w:t>Age range</w:t>
            </w:r>
          </w:p>
        </w:tc>
        <w:tc>
          <w:tcPr>
            <w:tcW w:w="2501" w:type="dxa"/>
          </w:tcPr>
          <w:p w14:paraId="4E6B5A79" w14:textId="77777777" w:rsidR="00683466" w:rsidRPr="00F41EC5" w:rsidRDefault="00000000">
            <w:pPr>
              <w:rPr>
                <w:b/>
                <w:bCs/>
              </w:rPr>
            </w:pPr>
            <w:r w:rsidRPr="00F41EC5">
              <w:rPr>
                <w:b/>
                <w:bCs/>
              </w:rPr>
              <w:t>Publication or clinical identifier</w:t>
            </w:r>
          </w:p>
        </w:tc>
      </w:tr>
      <w:tr w:rsidR="00683466" w14:paraId="737CF0F2" w14:textId="77777777" w:rsidTr="00F41EC5">
        <w:tc>
          <w:tcPr>
            <w:tcW w:w="1555" w:type="dxa"/>
          </w:tcPr>
          <w:p w14:paraId="073C6A5D" w14:textId="77777777" w:rsidR="00683466" w:rsidRDefault="00000000">
            <w:r>
              <w:t>COPD</w:t>
            </w:r>
          </w:p>
        </w:tc>
        <w:tc>
          <w:tcPr>
            <w:tcW w:w="1701" w:type="dxa"/>
          </w:tcPr>
          <w:p w14:paraId="33C92F87" w14:textId="77777777" w:rsidR="00683466" w:rsidRDefault="00000000">
            <w:r>
              <w:t>53</w:t>
            </w:r>
          </w:p>
        </w:tc>
        <w:tc>
          <w:tcPr>
            <w:tcW w:w="1746" w:type="dxa"/>
          </w:tcPr>
          <w:p w14:paraId="48311B4B" w14:textId="77777777" w:rsidR="00683466" w:rsidRDefault="00000000">
            <w:r>
              <w:t>53</w:t>
            </w:r>
          </w:p>
        </w:tc>
        <w:tc>
          <w:tcPr>
            <w:tcW w:w="1690" w:type="dxa"/>
          </w:tcPr>
          <w:p w14:paraId="1EF0F081" w14:textId="77777777" w:rsidR="00683466" w:rsidRDefault="00000000">
            <w:r>
              <w:t>56-79</w:t>
            </w:r>
          </w:p>
        </w:tc>
        <w:tc>
          <w:tcPr>
            <w:tcW w:w="2501" w:type="dxa"/>
          </w:tcPr>
          <w:p w14:paraId="1C4739B1" w14:textId="77777777" w:rsidR="00683466" w:rsidRDefault="00000000">
            <w:r>
              <w:t>Mølmen et al. (2021)</w:t>
            </w:r>
          </w:p>
        </w:tc>
      </w:tr>
      <w:tr w:rsidR="00683466" w14:paraId="0E65A588" w14:textId="77777777" w:rsidTr="00F41EC5">
        <w:tc>
          <w:tcPr>
            <w:tcW w:w="1555" w:type="dxa"/>
          </w:tcPr>
          <w:p w14:paraId="1B347638" w14:textId="77777777" w:rsidR="00683466" w:rsidRDefault="00000000">
            <w:r>
              <w:t>Volume</w:t>
            </w:r>
          </w:p>
        </w:tc>
        <w:tc>
          <w:tcPr>
            <w:tcW w:w="1701" w:type="dxa"/>
          </w:tcPr>
          <w:p w14:paraId="46A7F106" w14:textId="77777777" w:rsidR="00683466" w:rsidRDefault="00000000">
            <w:r>
              <w:t>25</w:t>
            </w:r>
          </w:p>
        </w:tc>
        <w:tc>
          <w:tcPr>
            <w:tcW w:w="1746" w:type="dxa"/>
          </w:tcPr>
          <w:p w14:paraId="33D6533D" w14:textId="77777777" w:rsidR="00683466" w:rsidRDefault="00000000">
            <w:r>
              <w:t>25</w:t>
            </w:r>
          </w:p>
        </w:tc>
        <w:tc>
          <w:tcPr>
            <w:tcW w:w="1690" w:type="dxa"/>
          </w:tcPr>
          <w:p w14:paraId="40441FC1" w14:textId="77777777" w:rsidR="00683466" w:rsidRDefault="00000000">
            <w:r>
              <w:t>20-37</w:t>
            </w:r>
          </w:p>
        </w:tc>
        <w:tc>
          <w:tcPr>
            <w:tcW w:w="2501" w:type="dxa"/>
          </w:tcPr>
          <w:p w14:paraId="10830BBA" w14:textId="77777777" w:rsidR="00683466" w:rsidRDefault="00000000">
            <w:r>
              <w:t>Khan et al. (2020)</w:t>
            </w:r>
          </w:p>
        </w:tc>
      </w:tr>
      <w:tr w:rsidR="00683466" w14:paraId="0F0383C8" w14:textId="77777777" w:rsidTr="00F41EC5">
        <w:tc>
          <w:tcPr>
            <w:tcW w:w="1555" w:type="dxa"/>
          </w:tcPr>
          <w:p w14:paraId="6C8C0667" w14:textId="014E95EB" w:rsidR="00683466" w:rsidRDefault="00000000">
            <w:proofErr w:type="spellStart"/>
            <w:r>
              <w:t>Contra</w:t>
            </w:r>
            <w:r w:rsidR="00F41EC5">
              <w:t>T</w:t>
            </w:r>
            <w:r>
              <w:t>rain</w:t>
            </w:r>
            <w:proofErr w:type="spellEnd"/>
          </w:p>
        </w:tc>
        <w:tc>
          <w:tcPr>
            <w:tcW w:w="1701" w:type="dxa"/>
          </w:tcPr>
          <w:p w14:paraId="52DE9FDE" w14:textId="77777777" w:rsidR="00683466" w:rsidRDefault="00000000">
            <w:r>
              <w:t>32</w:t>
            </w:r>
          </w:p>
        </w:tc>
        <w:tc>
          <w:tcPr>
            <w:tcW w:w="1746" w:type="dxa"/>
          </w:tcPr>
          <w:p w14:paraId="41A7EAA1" w14:textId="77777777" w:rsidR="00683466" w:rsidRDefault="00000000">
            <w:r>
              <w:t>26</w:t>
            </w:r>
          </w:p>
        </w:tc>
        <w:tc>
          <w:tcPr>
            <w:tcW w:w="1690" w:type="dxa"/>
          </w:tcPr>
          <w:p w14:paraId="61E0FA4D" w14:textId="77777777" w:rsidR="00683466" w:rsidRDefault="00000000">
            <w:r>
              <w:t>19-35</w:t>
            </w:r>
          </w:p>
        </w:tc>
        <w:tc>
          <w:tcPr>
            <w:tcW w:w="2501" w:type="dxa"/>
          </w:tcPr>
          <w:p w14:paraId="0EEF57AF" w14:textId="77777777" w:rsidR="00683466" w:rsidRDefault="00000000">
            <w:r>
              <w:t>NCT03795025</w:t>
            </w:r>
          </w:p>
        </w:tc>
      </w:tr>
      <w:tr w:rsidR="00683466" w14:paraId="131E829B" w14:textId="77777777" w:rsidTr="00F41EC5">
        <w:tc>
          <w:tcPr>
            <w:tcW w:w="1555" w:type="dxa"/>
          </w:tcPr>
          <w:p w14:paraId="14E353C5" w14:textId="77777777" w:rsidR="00683466" w:rsidRDefault="00000000">
            <w:r>
              <w:t>Alpha/ Omega</w:t>
            </w:r>
          </w:p>
        </w:tc>
        <w:tc>
          <w:tcPr>
            <w:tcW w:w="1701" w:type="dxa"/>
          </w:tcPr>
          <w:p w14:paraId="7011644F" w14:textId="77777777" w:rsidR="00683466" w:rsidRDefault="00000000">
            <w:r>
              <w:t>143</w:t>
            </w:r>
          </w:p>
        </w:tc>
        <w:tc>
          <w:tcPr>
            <w:tcW w:w="1746" w:type="dxa"/>
          </w:tcPr>
          <w:p w14:paraId="6642304B" w14:textId="77777777" w:rsidR="00683466" w:rsidRDefault="00000000">
            <w:r>
              <w:t>143</w:t>
            </w:r>
          </w:p>
        </w:tc>
        <w:tc>
          <w:tcPr>
            <w:tcW w:w="1690" w:type="dxa"/>
          </w:tcPr>
          <w:p w14:paraId="1443A85B" w14:textId="77777777" w:rsidR="00683466" w:rsidRDefault="00000000">
            <w:r>
              <w:t>23-60</w:t>
            </w:r>
          </w:p>
        </w:tc>
        <w:tc>
          <w:tcPr>
            <w:tcW w:w="2501" w:type="dxa"/>
          </w:tcPr>
          <w:p w14:paraId="029E6F3F" w14:textId="77777777" w:rsidR="00683466" w:rsidRDefault="00000000">
            <w:r>
              <w:t>NCT04279951</w:t>
            </w:r>
          </w:p>
        </w:tc>
      </w:tr>
      <w:tr w:rsidR="00683466" w14:paraId="39D6CD0C" w14:textId="77777777" w:rsidTr="00F41EC5">
        <w:tc>
          <w:tcPr>
            <w:tcW w:w="1555" w:type="dxa"/>
          </w:tcPr>
          <w:p w14:paraId="14852910" w14:textId="77777777" w:rsidR="00683466" w:rsidRDefault="00000000">
            <w:r>
              <w:t>SRP102542</w:t>
            </w:r>
          </w:p>
          <w:p w14:paraId="5385107F" w14:textId="77777777" w:rsidR="00683466" w:rsidRDefault="00000000">
            <w:r>
              <w:t>(GSE97084)</w:t>
            </w:r>
          </w:p>
        </w:tc>
        <w:tc>
          <w:tcPr>
            <w:tcW w:w="1701" w:type="dxa"/>
          </w:tcPr>
          <w:p w14:paraId="32D6AF21" w14:textId="77777777" w:rsidR="00683466" w:rsidRDefault="00000000">
            <w:r>
              <w:t>52</w:t>
            </w:r>
          </w:p>
        </w:tc>
        <w:tc>
          <w:tcPr>
            <w:tcW w:w="1746" w:type="dxa"/>
          </w:tcPr>
          <w:p w14:paraId="71095A67" w14:textId="77777777" w:rsidR="00683466" w:rsidRDefault="00000000">
            <w:r>
              <w:t>52</w:t>
            </w:r>
          </w:p>
        </w:tc>
        <w:tc>
          <w:tcPr>
            <w:tcW w:w="1690" w:type="dxa"/>
          </w:tcPr>
          <w:p w14:paraId="0EDE2452" w14:textId="77777777" w:rsidR="00683466" w:rsidRDefault="00000000">
            <w:r>
              <w:t>19-30 (Young cohort)</w:t>
            </w:r>
          </w:p>
          <w:p w14:paraId="7B241DD9" w14:textId="77777777" w:rsidR="00683466" w:rsidRDefault="00000000">
            <w:r>
              <w:t>65-78 (Old cohort)</w:t>
            </w:r>
          </w:p>
        </w:tc>
        <w:tc>
          <w:tcPr>
            <w:tcW w:w="2501" w:type="dxa"/>
          </w:tcPr>
          <w:p w14:paraId="339A19A6" w14:textId="77777777" w:rsidR="00683466" w:rsidRDefault="00000000">
            <w:r>
              <w:t>Robinson et al. (2017)</w:t>
            </w:r>
          </w:p>
        </w:tc>
      </w:tr>
      <w:tr w:rsidR="00683466" w14:paraId="1DAFB87C" w14:textId="77777777" w:rsidTr="00F41EC5">
        <w:tc>
          <w:tcPr>
            <w:tcW w:w="1555" w:type="dxa"/>
          </w:tcPr>
          <w:p w14:paraId="008513BD" w14:textId="77777777" w:rsidR="00683466" w:rsidRDefault="00000000">
            <w:r>
              <w:t>ReLiEf</w:t>
            </w:r>
          </w:p>
        </w:tc>
        <w:tc>
          <w:tcPr>
            <w:tcW w:w="1701" w:type="dxa"/>
          </w:tcPr>
          <w:p w14:paraId="0C52ECFD" w14:textId="77777777" w:rsidR="00683466" w:rsidRDefault="00000000">
            <w:r>
              <w:t>73</w:t>
            </w:r>
          </w:p>
        </w:tc>
        <w:tc>
          <w:tcPr>
            <w:tcW w:w="1746" w:type="dxa"/>
          </w:tcPr>
          <w:p w14:paraId="645A69A5" w14:textId="77777777" w:rsidR="00683466" w:rsidRDefault="00000000">
            <w:r>
              <w:t>66</w:t>
            </w:r>
          </w:p>
        </w:tc>
        <w:tc>
          <w:tcPr>
            <w:tcW w:w="1690" w:type="dxa"/>
          </w:tcPr>
          <w:p w14:paraId="7B93CC12" w14:textId="77777777" w:rsidR="00683466" w:rsidRDefault="00000000">
            <w:r>
              <w:t>20 - 29 (Young cohort)</w:t>
            </w:r>
          </w:p>
          <w:p w14:paraId="7008D110" w14:textId="77777777" w:rsidR="00683466" w:rsidRDefault="00000000">
            <w:r>
              <w:t>72 - 93 (Old cohort)</w:t>
            </w:r>
          </w:p>
        </w:tc>
        <w:tc>
          <w:tcPr>
            <w:tcW w:w="2501" w:type="dxa"/>
          </w:tcPr>
          <w:p w14:paraId="1D493CD7" w14:textId="5F9F1D38" w:rsidR="00683466" w:rsidRPr="00336B27" w:rsidRDefault="00336B27">
            <w:r w:rsidRPr="00336B27">
              <w:t>L</w:t>
            </w:r>
            <w:r w:rsidR="00000000" w:rsidRPr="00336B27">
              <w:t>ian</w:t>
            </w:r>
            <w:r w:rsidRPr="00336B27">
              <w:t xml:space="preserve"> and Ellefsen, </w:t>
            </w:r>
            <w:r>
              <w:t>(</w:t>
            </w:r>
            <w:r w:rsidRPr="00336B27">
              <w:t>2021</w:t>
            </w:r>
            <w:r w:rsidR="00000000" w:rsidRPr="00336B27">
              <w:t>)</w:t>
            </w:r>
          </w:p>
        </w:tc>
      </w:tr>
    </w:tbl>
    <w:p w14:paraId="79451F3F" w14:textId="77777777" w:rsidR="00683466" w:rsidRDefault="00000000">
      <w:pPr>
        <w:pStyle w:val="Overskrift3"/>
      </w:pPr>
      <w:bookmarkStart w:id="9" w:name="rna-sequence-data-processing"/>
      <w:bookmarkEnd w:id="8"/>
      <w:r>
        <w:t>RNA sequence data processing</w:t>
      </w:r>
    </w:p>
    <w:p w14:paraId="6BCCA88C" w14:textId="44654BEF" w:rsidR="00683466" w:rsidRDefault="00000000">
      <w:pPr>
        <w:pStyle w:val="FirstParagraph"/>
      </w:pPr>
      <w:r>
        <w:t>The quality of the reads were checked using FASTQC(v0.11.9) to ensure all sequences were of expected quality. STAR (2.7.9a) (</w:t>
      </w:r>
      <w:r>
        <w:rPr>
          <w:b/>
          <w:bCs/>
        </w:rPr>
        <w:t>dobin2013?</w:t>
      </w:r>
      <w:r>
        <w:t xml:space="preserve">) was used to map the RNA Sequence reads to the </w:t>
      </w:r>
      <w:r>
        <w:lastRenderedPageBreak/>
        <w:t xml:space="preserve">human reference genome (GRCh38, gencode v47 primary annotaion ) using the 2-pass alignment method described by Veeneman et al. (2016). This method is said to advance the quantification and discovery of splicing events. Splicing efficiency of each intron was calculated using the default settings in </w:t>
      </w:r>
      <w:proofErr w:type="spellStart"/>
      <w:r>
        <w:t>SpliceQ</w:t>
      </w:r>
      <w:proofErr w:type="spellEnd"/>
      <w:r>
        <w:t xml:space="preserve"> </w:t>
      </w:r>
      <w:r w:rsidR="00F41EC5">
        <w:t>(</w:t>
      </w:r>
      <w:r>
        <w:t>Melo Costa et al. 2021). SpliceQ awards each intron an SE score ranging from zero to one. An SE of 0 indicates that the intron is fully retained, while 1 indicates the complete splicing-out of the intron. SE values inbetween 0 and 1 indicate the approximate fraction of nucleotides of an intron that was retained .</w:t>
      </w:r>
    </w:p>
    <w:p w14:paraId="256AFC05" w14:textId="77777777" w:rsidR="00683466" w:rsidRPr="003422CB" w:rsidRDefault="00000000">
      <w:pPr>
        <w:pStyle w:val="Overskrift3"/>
        <w:rPr>
          <w:lang w:val="en-GB"/>
        </w:rPr>
      </w:pPr>
      <w:bookmarkStart w:id="10" w:name="data-analyses"/>
      <w:bookmarkEnd w:id="9"/>
      <w:r w:rsidRPr="003422CB">
        <w:rPr>
          <w:lang w:val="en-GB"/>
        </w:rPr>
        <w:t>Data analyses</w:t>
      </w:r>
    </w:p>
    <w:p w14:paraId="14531AB8" w14:textId="4643B3F6" w:rsidR="00683466" w:rsidRDefault="00000000">
      <w:pPr>
        <w:pStyle w:val="FirstParagraph"/>
      </w:pPr>
      <w:r>
        <w:t xml:space="preserve">Analyses of the extracted SpliceQ data for all participants in the six studies were done using R version 4.4.1 on RStudio 2024.04.2+764 “Chocolate Cosmos” </w:t>
      </w:r>
      <w:r w:rsidR="00F41EC5">
        <w:t>Release.</w:t>
      </w:r>
      <w:r>
        <w:t xml:space="preserve"> Introns included in each data analyses step were only those whose splicing efficiency was captured across all samples.</w:t>
      </w:r>
    </w:p>
    <w:p w14:paraId="5334C295" w14:textId="77777777" w:rsidR="00683466" w:rsidRPr="003422CB" w:rsidRDefault="00000000">
      <w:pPr>
        <w:pStyle w:val="Overskrift3"/>
        <w:rPr>
          <w:lang w:val="en-GB"/>
        </w:rPr>
      </w:pPr>
      <w:bookmarkStart w:id="11" w:name="Xd71e779c98493c1eca0aee1921abb2ba2f83261"/>
      <w:bookmarkEnd w:id="10"/>
      <w:r w:rsidRPr="003422CB">
        <w:rPr>
          <w:lang w:val="en-GB"/>
        </w:rPr>
        <w:t xml:space="preserve">Investigating the impact of </w:t>
      </w:r>
      <w:proofErr w:type="gramStart"/>
      <w:r w:rsidRPr="003422CB">
        <w:rPr>
          <w:lang w:val="en-GB"/>
        </w:rPr>
        <w:t>aging ,</w:t>
      </w:r>
      <w:proofErr w:type="gramEnd"/>
      <w:r w:rsidRPr="003422CB">
        <w:rPr>
          <w:lang w:val="en-GB"/>
        </w:rPr>
        <w:t xml:space="preserve"> and RT on splicing efficiency</w:t>
      </w:r>
    </w:p>
    <w:p w14:paraId="2A19C1BF" w14:textId="77777777" w:rsidR="00683466" w:rsidRDefault="00000000">
      <w:pPr>
        <w:pStyle w:val="FirstParagraph"/>
      </w:pPr>
      <w:r>
        <w:t>To examine the effect of aging on splicing efficiency, we transformed participants’ age to a scale of 0 to 1 and fitted a generalized linear mixed model using a Beta distribution. The model included random intercepts for study and participants to account for random variations at the study and participant levels. The model also included random slopes for age within each study . The differentially spliced introns were defined as those with p values at or below 0.05 and log2Fc above 0.5. This was done using only baseline (pre-exercise) data.</w:t>
      </w:r>
    </w:p>
    <w:p w14:paraId="392A7A47" w14:textId="77777777" w:rsidR="00683466" w:rsidRDefault="00000000">
      <w:pPr>
        <w:pStyle w:val="Brdtekst"/>
      </w:pPr>
      <w:r>
        <w:t xml:space="preserve">To examine the effect of ~12 weeks RT on SE, we fitted a GLMM to examine the effect of RT. The model included fixed interactive effects for aging and RT, and random intercepts for study and participant, as well as random slopes for age within each study. Only samples that performed RT were included in post-exercise data were included in this analyses. Thus, the control samples </w:t>
      </w:r>
      <w:r>
        <w:lastRenderedPageBreak/>
        <w:t>in ContraTrain and the non-RT samples in Robinson et al. (2017) were not included in the second model.</w:t>
      </w:r>
    </w:p>
    <w:p w14:paraId="2DA1D0FB" w14:textId="77777777" w:rsidR="00683466" w:rsidRPr="003422CB" w:rsidRDefault="00000000">
      <w:pPr>
        <w:pStyle w:val="Overskrift2"/>
        <w:rPr>
          <w:lang w:val="en-GB"/>
        </w:rPr>
      </w:pPr>
      <w:bookmarkStart w:id="12" w:name="discussion"/>
      <w:bookmarkEnd w:id="7"/>
      <w:bookmarkEnd w:id="11"/>
      <w:r w:rsidRPr="003422CB">
        <w:rPr>
          <w:lang w:val="en-GB"/>
        </w:rPr>
        <w:t>Discussion</w:t>
      </w:r>
    </w:p>
    <w:p w14:paraId="33DB0932" w14:textId="77777777" w:rsidR="00683466" w:rsidRDefault="00000000">
      <w:pPr>
        <w:pStyle w:val="FirstParagraph"/>
      </w:pPr>
      <w:r>
        <w:t xml:space="preserve">IR is a physiological mechanism that controls gene expression (Wong et al., </w:t>
      </w:r>
      <w:proofErr w:type="gramStart"/>
      <w:r>
        <w:t>2016 ;</w:t>
      </w:r>
      <w:proofErr w:type="gramEnd"/>
      <w:r>
        <w:t xml:space="preserve"> Schmitz et al., 2017 ). Exercise counteracts the effects of aging and can offset aging-related changes to the splicing machinery (Ubaida-Mohien et al., 2019a; Ubaida-Mohien et al., 2022). In this study, we show that intron retention occurs in the </w:t>
      </w:r>
      <w:r>
        <w:rPr>
          <w:i/>
          <w:iCs/>
        </w:rPr>
        <w:t>vastus lateralis</w:t>
      </w:r>
      <w:r>
        <w:t xml:space="preserve"> muscle, and is affected by aging, and by resistance exercise training. We also show that splicing efficiency has a relationship with the relevance of a gene to a particular tissue it is detected in, and that IR occurs more in protein-coding genes; a result that appears backed up mainly by short-read RNA sequencing data. However, similar to Stokes et al. (2023) debunking the long-held belief that long non-coding RNAs are sparsly expressed in comparison to protein-coding genes, it might be necessary to explore IR using microarray data. Results from García-Ruiz et al. (2025) suggest that RNA sequencing may be underestimating IR.</w:t>
      </w:r>
    </w:p>
    <w:p w14:paraId="74FC9F19" w14:textId="77777777" w:rsidR="00683466" w:rsidRPr="003422CB" w:rsidRDefault="00000000">
      <w:pPr>
        <w:pStyle w:val="Overskrift3"/>
        <w:rPr>
          <w:lang w:val="en-GB"/>
        </w:rPr>
      </w:pPr>
      <w:bookmarkStart w:id="13" w:name="shortcoming"/>
      <w:r w:rsidRPr="003422CB">
        <w:rPr>
          <w:lang w:val="en-GB"/>
        </w:rPr>
        <w:t>Shortcoming</w:t>
      </w:r>
    </w:p>
    <w:p w14:paraId="1A707D6B" w14:textId="77777777" w:rsidR="00683466" w:rsidRDefault="00000000">
      <w:pPr>
        <w:pStyle w:val="FirstParagraph"/>
      </w:pPr>
      <w:r>
        <w:t>This study did not group RT into conditions of volume of exercise done. The benefits of RT are known to be volume-dependent and the 6 studies involved varying RT conditions. We are thus unable to explore which RT conditions would offer the optimal splicing efficiency outcome</w:t>
      </w:r>
    </w:p>
    <w:p w14:paraId="2CACFDA1" w14:textId="77777777" w:rsidR="00F41EC5" w:rsidRDefault="00F41EC5" w:rsidP="00F41EC5">
      <w:pPr>
        <w:pStyle w:val="Brdtekst"/>
      </w:pPr>
    </w:p>
    <w:p w14:paraId="30FBC61B" w14:textId="353ADAB3" w:rsidR="00F41EC5" w:rsidRPr="00F41EC5" w:rsidRDefault="00F41EC5" w:rsidP="00F41EC5">
      <w:pPr>
        <w:pStyle w:val="Brdtekst"/>
        <w:jc w:val="center"/>
        <w:rPr>
          <w:b/>
          <w:bCs/>
        </w:rPr>
      </w:pPr>
      <w:r w:rsidRPr="00F41EC5">
        <w:rPr>
          <w:b/>
          <w:bCs/>
        </w:rPr>
        <w:t>References</w:t>
      </w:r>
    </w:p>
    <w:p w14:paraId="688824BF" w14:textId="77777777" w:rsidR="00683466" w:rsidRDefault="00000000">
      <w:bookmarkStart w:id="14" w:name="ref-adusumalli_increased_2019"/>
      <w:bookmarkStart w:id="15" w:name="refs"/>
      <w:r>
        <w:rPr>
          <w:b/>
          <w:bCs/>
        </w:rPr>
        <w:t>Adusumalli, S., Ngian, Z.-K., Lin, W.-Q., Benoukraf, T. and Ong, C.-T.</w:t>
      </w:r>
      <w:r>
        <w:t xml:space="preserve"> (2019). </w:t>
      </w:r>
      <w:hyperlink r:id="rId8">
        <w:r>
          <w:t>Increased intron retention is a post-transcriptional signature associated with progressive aging and alzheimer’s disease.</w:t>
        </w:r>
      </w:hyperlink>
      <w:r>
        <w:t xml:space="preserve"> </w:t>
      </w:r>
      <w:r>
        <w:rPr>
          <w:i/>
          <w:iCs/>
        </w:rPr>
        <w:t>Aging Cell</w:t>
      </w:r>
      <w:r>
        <w:t xml:space="preserve"> </w:t>
      </w:r>
      <w:r>
        <w:rPr>
          <w:b/>
          <w:bCs/>
        </w:rPr>
        <w:t>18</w:t>
      </w:r>
      <w:r>
        <w:t>, e12928.</w:t>
      </w:r>
    </w:p>
    <w:p w14:paraId="49F69A0A" w14:textId="77777777" w:rsidR="00683466" w:rsidRDefault="00000000">
      <w:bookmarkStart w:id="16" w:name="ref-angarola_splicing_2021"/>
      <w:bookmarkEnd w:id="14"/>
      <w:r>
        <w:rPr>
          <w:b/>
          <w:bCs/>
        </w:rPr>
        <w:lastRenderedPageBreak/>
        <w:t>Angarola, B. L. and Anczuków, O.</w:t>
      </w:r>
      <w:r>
        <w:t xml:space="preserve"> (2021). Splicing alterations in healthy aging and disease. </w:t>
      </w:r>
      <w:r>
        <w:rPr>
          <w:i/>
          <w:iCs/>
        </w:rPr>
        <w:t>Wiley Interdisciplinary Reviews: RNA</w:t>
      </w:r>
      <w:r>
        <w:t xml:space="preserve"> </w:t>
      </w:r>
      <w:r>
        <w:rPr>
          <w:b/>
          <w:bCs/>
        </w:rPr>
        <w:t>12</w:t>
      </w:r>
      <w:r>
        <w:t>, e1643.</w:t>
      </w:r>
    </w:p>
    <w:p w14:paraId="148045A1" w14:textId="77777777" w:rsidR="00683466" w:rsidRDefault="00000000">
      <w:bookmarkStart w:id="17" w:name="ref-baralle_age-related_2023"/>
      <w:bookmarkEnd w:id="16"/>
      <w:r>
        <w:rPr>
          <w:b/>
          <w:bCs/>
        </w:rPr>
        <w:t>Baralle, M. and Romano, M.</w:t>
      </w:r>
      <w:r>
        <w:t xml:space="preserve"> (2023). </w:t>
      </w:r>
      <w:hyperlink r:id="rId9">
        <w:r>
          <w:t>Age-related alternative splicing: Driver or passenger in the aging process?</w:t>
        </w:r>
      </w:hyperlink>
      <w:r>
        <w:t xml:space="preserve"> </w:t>
      </w:r>
      <w:r>
        <w:rPr>
          <w:i/>
          <w:iCs/>
        </w:rPr>
        <w:t>Cells</w:t>
      </w:r>
      <w:r>
        <w:t xml:space="preserve"> </w:t>
      </w:r>
      <w:r>
        <w:rPr>
          <w:b/>
          <w:bCs/>
        </w:rPr>
        <w:t>12</w:t>
      </w:r>
      <w:r>
        <w:t>,.</w:t>
      </w:r>
    </w:p>
    <w:p w14:paraId="17FBFCB8" w14:textId="77777777" w:rsidR="00683466" w:rsidRDefault="00000000">
      <w:bookmarkStart w:id="18" w:name="ref-bhadra_alternative_2020"/>
      <w:bookmarkEnd w:id="17"/>
      <w:r>
        <w:rPr>
          <w:b/>
          <w:bCs/>
        </w:rPr>
        <w:t>Bhadra, M., Howell, P., Dutta, S., Heintz, C. and Mair, W. B.</w:t>
      </w:r>
      <w:r>
        <w:t xml:space="preserve"> (2020). Alternative splicing in aging and longevity. </w:t>
      </w:r>
      <w:r>
        <w:rPr>
          <w:i/>
          <w:iCs/>
        </w:rPr>
        <w:t>Human genetics</w:t>
      </w:r>
      <w:r>
        <w:t xml:space="preserve"> </w:t>
      </w:r>
      <w:r>
        <w:rPr>
          <w:b/>
          <w:bCs/>
        </w:rPr>
        <w:t>139</w:t>
      </w:r>
      <w:r>
        <w:t>, 357–369.</w:t>
      </w:r>
    </w:p>
    <w:p w14:paraId="391AE068" w14:textId="77777777" w:rsidR="00683466" w:rsidRDefault="00000000">
      <w:bookmarkStart w:id="19" w:name="ref-braunschweig_widespread_2014"/>
      <w:bookmarkEnd w:id="18"/>
      <w:r>
        <w:rPr>
          <w:b/>
          <w:bCs/>
        </w:rPr>
        <w:t>Braunschweig, U., Barbosa-Morais, N. L., Pan, Q., Nachman, E. N., Alipanahi, B., Gonatopoulos-Pournatzis, T., Frey, B., Irimia, M. and Blencowe, B. J.</w:t>
      </w:r>
      <w:r>
        <w:t xml:space="preserve"> (2014). </w:t>
      </w:r>
      <w:hyperlink r:id="rId10">
        <w:r>
          <w:t>Widespread intron retention in mammals functionally tunes transcriptomes.</w:t>
        </w:r>
      </w:hyperlink>
      <w:r>
        <w:t xml:space="preserve"> </w:t>
      </w:r>
      <w:r>
        <w:rPr>
          <w:i/>
          <w:iCs/>
        </w:rPr>
        <w:t>Genome Res</w:t>
      </w:r>
      <w:r>
        <w:t xml:space="preserve"> </w:t>
      </w:r>
      <w:r>
        <w:rPr>
          <w:b/>
          <w:bCs/>
        </w:rPr>
        <w:t>24</w:t>
      </w:r>
      <w:r>
        <w:t>, 1774–1786.</w:t>
      </w:r>
    </w:p>
    <w:p w14:paraId="571FCD26" w14:textId="77777777" w:rsidR="00683466" w:rsidRDefault="00000000">
      <w:bookmarkStart w:id="20" w:name="ref-dvinge_widespread_2015"/>
      <w:bookmarkEnd w:id="19"/>
      <w:r>
        <w:rPr>
          <w:b/>
          <w:bCs/>
        </w:rPr>
        <w:t>Dvinge, H. and Bradley, R. K.</w:t>
      </w:r>
      <w:r>
        <w:t xml:space="preserve"> (2015). Widespread intron retention diversifies most cancer transcriptomes. </w:t>
      </w:r>
      <w:r>
        <w:rPr>
          <w:i/>
          <w:iCs/>
        </w:rPr>
        <w:t>Genome medicine</w:t>
      </w:r>
      <w:r>
        <w:t xml:space="preserve"> </w:t>
      </w:r>
      <w:r>
        <w:rPr>
          <w:b/>
          <w:bCs/>
        </w:rPr>
        <w:t>7</w:t>
      </w:r>
      <w:r>
        <w:t>, 1–13.</w:t>
      </w:r>
    </w:p>
    <w:p w14:paraId="7A0DFCB3" w14:textId="77777777" w:rsidR="00683466" w:rsidRDefault="00000000">
      <w:bookmarkStart w:id="21" w:name="ref-ekelund_dose-response_2019"/>
      <w:bookmarkEnd w:id="20"/>
      <w:r>
        <w:rPr>
          <w:b/>
          <w:bCs/>
        </w:rPr>
        <w:t>Ekelund, U., Tarp, J., Steene-Johannessen, J., Hansen, B. H., Jefferis, B., Fagerland, M. W., Whincup, P., Diaz, K. M., Hooker, S. P., Chernofsky, A., et al.</w:t>
      </w:r>
      <w:r>
        <w:t xml:space="preserve"> (2019). </w:t>
      </w:r>
      <w:hyperlink r:id="rId11">
        <w:r>
          <w:t>Dose-response associations between accelerometry measured physical activity and sedentary time and all cause mortality: Systematic review and harmonised meta-analysis.</w:t>
        </w:r>
      </w:hyperlink>
      <w:r>
        <w:t xml:space="preserve"> </w:t>
      </w:r>
      <w:r>
        <w:rPr>
          <w:i/>
          <w:iCs/>
        </w:rPr>
        <w:t>BMJ</w:t>
      </w:r>
      <w:r>
        <w:t xml:space="preserve"> </w:t>
      </w:r>
      <w:r>
        <w:rPr>
          <w:b/>
          <w:bCs/>
        </w:rPr>
        <w:t>366</w:t>
      </w:r>
      <w:r>
        <w:t>, l4570.</w:t>
      </w:r>
    </w:p>
    <w:p w14:paraId="05A44D53" w14:textId="77777777" w:rsidR="00683466" w:rsidRDefault="00000000">
      <w:bookmarkStart w:id="22" w:name="ref-ferrucci_energysplicing_2022"/>
      <w:bookmarkEnd w:id="21"/>
      <w:r>
        <w:rPr>
          <w:b/>
          <w:bCs/>
        </w:rPr>
        <w:t>Ferrucci, L., Wilson, D. M., Donegà, S. and Gorospe, M.</w:t>
      </w:r>
      <w:r>
        <w:t xml:space="preserve"> (2022). </w:t>
      </w:r>
      <w:hyperlink r:id="rId12">
        <w:r>
          <w:t>The energy–splicing resilience axis hypothesis of aging</w:t>
        </w:r>
      </w:hyperlink>
      <w:r>
        <w:t xml:space="preserve">. </w:t>
      </w:r>
      <w:r>
        <w:rPr>
          <w:i/>
          <w:iCs/>
        </w:rPr>
        <w:t>Nature Aging</w:t>
      </w:r>
      <w:r>
        <w:t xml:space="preserve"> </w:t>
      </w:r>
      <w:r>
        <w:rPr>
          <w:b/>
          <w:bCs/>
        </w:rPr>
        <w:t>2</w:t>
      </w:r>
      <w:r>
        <w:t>, 182–185.</w:t>
      </w:r>
    </w:p>
    <w:p w14:paraId="0B372B05" w14:textId="77777777" w:rsidR="00683466" w:rsidRDefault="00000000">
      <w:bookmarkStart w:id="23" w:name="ref-garatachea_exercise_2015"/>
      <w:bookmarkEnd w:id="22"/>
      <w:r>
        <w:rPr>
          <w:b/>
          <w:bCs/>
        </w:rPr>
        <w:t>Garatachea, N., Pareja-Galeano, H., Sanchis-Gomar, F., Santos-Lozano, A., Fiuza-Luces, C., Morán, M., Emanuele, E., Joyner, M. J. and Lucia, A.</w:t>
      </w:r>
      <w:r>
        <w:t xml:space="preserve"> (2015). Exercise attenuates the major hallmarks of aging. </w:t>
      </w:r>
      <w:r>
        <w:rPr>
          <w:i/>
          <w:iCs/>
        </w:rPr>
        <w:t>Rejuvenation research</w:t>
      </w:r>
      <w:r>
        <w:t xml:space="preserve"> </w:t>
      </w:r>
      <w:r>
        <w:rPr>
          <w:b/>
          <w:bCs/>
        </w:rPr>
        <w:t>18</w:t>
      </w:r>
      <w:r>
        <w:t>, 57–89.</w:t>
      </w:r>
    </w:p>
    <w:p w14:paraId="5E7A0554" w14:textId="77777777" w:rsidR="00683466" w:rsidRDefault="00000000">
      <w:bookmarkStart w:id="24" w:name="ref-garcia-ruiz_splicing_2025"/>
      <w:bookmarkEnd w:id="23"/>
      <w:r>
        <w:rPr>
          <w:b/>
          <w:bCs/>
        </w:rPr>
        <w:t>García-Ruiz, S., Zhang, D., Gustavsson, E. K., Rocamora-Perez, G., Grant-Peters, M., Fairbrother-Browne, A., Reynolds, R. H., Brenton, J. W., Gil-Martínez, A. L., Chen, Z., et al.</w:t>
      </w:r>
      <w:r>
        <w:t xml:space="preserve"> (2025). </w:t>
      </w:r>
      <w:hyperlink r:id="rId13">
        <w:r>
          <w:t>Splicing accuracy varies across human introns, tissues, age and disease</w:t>
        </w:r>
      </w:hyperlink>
      <w:r>
        <w:t xml:space="preserve">. </w:t>
      </w:r>
      <w:r>
        <w:rPr>
          <w:i/>
          <w:iCs/>
        </w:rPr>
        <w:t>Nature Communications</w:t>
      </w:r>
      <w:r>
        <w:t xml:space="preserve"> </w:t>
      </w:r>
      <w:r>
        <w:rPr>
          <w:b/>
          <w:bCs/>
        </w:rPr>
        <w:t>16</w:t>
      </w:r>
      <w:r>
        <w:t>, 1068.</w:t>
      </w:r>
    </w:p>
    <w:p w14:paraId="0A2B4F4B" w14:textId="77777777" w:rsidR="00683466" w:rsidRDefault="00000000">
      <w:bookmarkStart w:id="25" w:name="ref-gyenis_genome-wide_2023"/>
      <w:bookmarkEnd w:id="24"/>
      <w:r>
        <w:rPr>
          <w:b/>
          <w:bCs/>
        </w:rPr>
        <w:t>Gyenis, A., Chang, J., Demmers, J. J. P. G., Bruens, S. T., Barnhoorn, S., Brandt, R. M. C., Baar, M. P., Raseta, M., Derks, K. W. J., Hoeijmakers, J. H. J., et al.</w:t>
      </w:r>
      <w:r>
        <w:t xml:space="preserve"> (2023). </w:t>
      </w:r>
      <w:hyperlink r:id="rId14">
        <w:r>
          <w:t>Genome-wide RNA polymerase stalling shapes the transcriptome during aging</w:t>
        </w:r>
      </w:hyperlink>
      <w:r>
        <w:t xml:space="preserve">. </w:t>
      </w:r>
      <w:r>
        <w:rPr>
          <w:i/>
          <w:iCs/>
        </w:rPr>
        <w:t>Nature Genetics</w:t>
      </w:r>
      <w:r>
        <w:t>.</w:t>
      </w:r>
    </w:p>
    <w:p w14:paraId="3A8DB9AD" w14:textId="77777777" w:rsidR="00683466" w:rsidRDefault="00000000">
      <w:bookmarkStart w:id="26" w:name="ref-hasler_alterations_2011"/>
      <w:bookmarkEnd w:id="25"/>
      <w:r>
        <w:rPr>
          <w:b/>
          <w:bCs/>
        </w:rPr>
        <w:t>Häsler, R., Kerick, M., Mah, N., Hultschig, C., Richter, G., Bretz, F., Sina, C., Lehrach, H., Nietfeld, W. and Schreiber, S.</w:t>
      </w:r>
      <w:r>
        <w:t xml:space="preserve"> (2011). Alterations of pre-mRNA splicing in human inflammatory bowel disease. </w:t>
      </w:r>
      <w:r>
        <w:rPr>
          <w:i/>
          <w:iCs/>
        </w:rPr>
        <w:t>European journal of cell biology</w:t>
      </w:r>
      <w:r>
        <w:t xml:space="preserve"> </w:t>
      </w:r>
      <w:r>
        <w:rPr>
          <w:b/>
          <w:bCs/>
        </w:rPr>
        <w:t>90</w:t>
      </w:r>
      <w:r>
        <w:t>, 603–611.</w:t>
      </w:r>
    </w:p>
    <w:p w14:paraId="6A18FBFC" w14:textId="77777777" w:rsidR="00683466" w:rsidRDefault="00000000">
      <w:bookmarkStart w:id="27" w:name="ref-holly_changes_2013"/>
      <w:bookmarkEnd w:id="26"/>
      <w:r>
        <w:rPr>
          <w:b/>
          <w:bCs/>
        </w:rPr>
        <w:t>Holly, A. C., Melzer, D., Pilling, L. C., Fellows, A. C., Tanaka, T., Ferrucci, L. and Harries, L. W.</w:t>
      </w:r>
      <w:r>
        <w:t xml:space="preserve"> (2013). Changes in splicing factor expression are associated with advancing age in man. </w:t>
      </w:r>
      <w:r>
        <w:rPr>
          <w:i/>
          <w:iCs/>
        </w:rPr>
        <w:t>Mechanisms of ageing and development</w:t>
      </w:r>
      <w:r>
        <w:t xml:space="preserve"> </w:t>
      </w:r>
      <w:r>
        <w:rPr>
          <w:b/>
          <w:bCs/>
        </w:rPr>
        <w:t>134</w:t>
      </w:r>
      <w:r>
        <w:t>, 356–366.</w:t>
      </w:r>
    </w:p>
    <w:p w14:paraId="5B87E017" w14:textId="77777777" w:rsidR="00683466" w:rsidRDefault="00000000">
      <w:bookmarkStart w:id="28" w:name="ref-inoue_minor_2021"/>
      <w:bookmarkEnd w:id="27"/>
      <w:r>
        <w:rPr>
          <w:b/>
          <w:bCs/>
        </w:rPr>
        <w:t>Inoue, D., Polaski, J. T., Taylor, J., Castel, P., Chen, S., Kobayashi, S., Hogg, S. J., Hayashi, Y., Pineda, J. M. B., El Marabti, E., et al.</w:t>
      </w:r>
      <w:r>
        <w:t xml:space="preserve"> (2021). </w:t>
      </w:r>
      <w:hyperlink r:id="rId15">
        <w:r>
          <w:t>Minor intron retention drives clonal hematopoietic disorders and diverse cancer predisposition</w:t>
        </w:r>
      </w:hyperlink>
      <w:r>
        <w:t xml:space="preserve">. </w:t>
      </w:r>
      <w:r>
        <w:rPr>
          <w:i/>
          <w:iCs/>
        </w:rPr>
        <w:t>Nature Genetics</w:t>
      </w:r>
      <w:r>
        <w:t xml:space="preserve"> </w:t>
      </w:r>
      <w:r>
        <w:rPr>
          <w:b/>
          <w:bCs/>
        </w:rPr>
        <w:t>53</w:t>
      </w:r>
      <w:r>
        <w:t>, 707–718.</w:t>
      </w:r>
    </w:p>
    <w:p w14:paraId="06ACC1A1" w14:textId="77777777" w:rsidR="00683466" w:rsidRDefault="00000000">
      <w:bookmarkStart w:id="29" w:name="ref-jacob_intron_2017"/>
      <w:bookmarkEnd w:id="28"/>
      <w:r>
        <w:rPr>
          <w:b/>
          <w:bCs/>
        </w:rPr>
        <w:lastRenderedPageBreak/>
        <w:t>Jacob, A. G. and Smith, C. W. J.</w:t>
      </w:r>
      <w:r>
        <w:t xml:space="preserve"> (2017). </w:t>
      </w:r>
      <w:hyperlink r:id="rId16">
        <w:r>
          <w:t>Intron retention as a component of regulated gene expression programs</w:t>
        </w:r>
      </w:hyperlink>
      <w:r>
        <w:t xml:space="preserve">. </w:t>
      </w:r>
      <w:r>
        <w:rPr>
          <w:i/>
          <w:iCs/>
        </w:rPr>
        <w:t>Human Genetics</w:t>
      </w:r>
      <w:r>
        <w:t xml:space="preserve"> </w:t>
      </w:r>
      <w:r>
        <w:rPr>
          <w:b/>
          <w:bCs/>
        </w:rPr>
        <w:t>136</w:t>
      </w:r>
      <w:r>
        <w:t>, 1043–1057.</w:t>
      </w:r>
    </w:p>
    <w:p w14:paraId="2C8CE6DA" w14:textId="77777777" w:rsidR="00683466" w:rsidRPr="003422CB" w:rsidRDefault="00000000">
      <w:pPr>
        <w:rPr>
          <w:lang w:val="nb-NO"/>
        </w:rPr>
      </w:pPr>
      <w:bookmarkStart w:id="30" w:name="ref-keshavarz_targeting_2023"/>
      <w:bookmarkEnd w:id="29"/>
      <w:r>
        <w:rPr>
          <w:b/>
          <w:bCs/>
        </w:rPr>
        <w:t>Keshavarz, M., Xie, K., Schaaf, K., Bano, D. and Ehninger, D.</w:t>
      </w:r>
      <w:r>
        <w:t xml:space="preserve"> (2023). Targeting the “hallmarks of aging” to slow aging and treat age-related disease: Fact or fiction? </w:t>
      </w:r>
      <w:proofErr w:type="spellStart"/>
      <w:r w:rsidRPr="003422CB">
        <w:rPr>
          <w:i/>
          <w:iCs/>
          <w:lang w:val="nb-NO"/>
        </w:rPr>
        <w:t>Molecular</w:t>
      </w:r>
      <w:proofErr w:type="spellEnd"/>
      <w:r w:rsidRPr="003422CB">
        <w:rPr>
          <w:i/>
          <w:iCs/>
          <w:lang w:val="nb-NO"/>
        </w:rPr>
        <w:t xml:space="preserve"> </w:t>
      </w:r>
      <w:proofErr w:type="spellStart"/>
      <w:r w:rsidRPr="003422CB">
        <w:rPr>
          <w:i/>
          <w:iCs/>
          <w:lang w:val="nb-NO"/>
        </w:rPr>
        <w:t>Psychiatry</w:t>
      </w:r>
      <w:proofErr w:type="spellEnd"/>
      <w:r w:rsidRPr="003422CB">
        <w:rPr>
          <w:lang w:val="nb-NO"/>
        </w:rPr>
        <w:t xml:space="preserve"> </w:t>
      </w:r>
      <w:r w:rsidRPr="003422CB">
        <w:rPr>
          <w:b/>
          <w:bCs/>
          <w:lang w:val="nb-NO"/>
        </w:rPr>
        <w:t>28</w:t>
      </w:r>
      <w:r w:rsidRPr="003422CB">
        <w:rPr>
          <w:lang w:val="nb-NO"/>
        </w:rPr>
        <w:t>, 242–255.</w:t>
      </w:r>
    </w:p>
    <w:p w14:paraId="3480F6DD" w14:textId="77777777" w:rsidR="00683466" w:rsidRDefault="00000000">
      <w:bookmarkStart w:id="31" w:name="ref-khan_increased_2020"/>
      <w:bookmarkEnd w:id="30"/>
      <w:r w:rsidRPr="003422CB">
        <w:rPr>
          <w:b/>
          <w:bCs/>
          <w:lang w:val="nb-NO"/>
        </w:rPr>
        <w:t>Khan, Y., Hammarström, D., Rønnestad, B. R., Ellefsen, S. and Ahmad, R.</w:t>
      </w:r>
      <w:r w:rsidRPr="003422CB">
        <w:rPr>
          <w:lang w:val="nb-NO"/>
        </w:rPr>
        <w:t xml:space="preserve"> (2020). </w:t>
      </w:r>
      <w:hyperlink r:id="rId17">
        <w:r w:rsidRPr="003422CB">
          <w:rPr>
            <w:lang w:val="nb-NO"/>
          </w:rPr>
          <w:t>Increased biological relevance of transcriptome analyses in human skeletal muscle using a model-specific pipeline</w:t>
        </w:r>
      </w:hyperlink>
      <w:r w:rsidRPr="003422CB">
        <w:rPr>
          <w:lang w:val="nb-NO"/>
        </w:rPr>
        <w:t xml:space="preserve">. </w:t>
      </w:r>
      <w:r>
        <w:rPr>
          <w:i/>
          <w:iCs/>
        </w:rPr>
        <w:t>BMC Bioinformatics</w:t>
      </w:r>
      <w:r>
        <w:t xml:space="preserve"> </w:t>
      </w:r>
      <w:r>
        <w:rPr>
          <w:b/>
          <w:bCs/>
        </w:rPr>
        <w:t>21</w:t>
      </w:r>
      <w:r>
        <w:t>, 548.</w:t>
      </w:r>
    </w:p>
    <w:p w14:paraId="528B4291" w14:textId="77777777" w:rsidR="00683466" w:rsidRDefault="00000000">
      <w:bookmarkStart w:id="32" w:name="ref-kodama_systematic_2024"/>
      <w:bookmarkEnd w:id="31"/>
      <w:r>
        <w:rPr>
          <w:b/>
          <w:bCs/>
        </w:rPr>
        <w:t>Kodama, H., Ijima, H. and Matsui, Y.</w:t>
      </w:r>
      <w:r>
        <w:t xml:space="preserve"> (2024). </w:t>
      </w:r>
      <w:hyperlink r:id="rId18">
        <w:r>
          <w:t>Systematic identification of exercise-induced anti-aging processes involving intron retention</w:t>
        </w:r>
      </w:hyperlink>
      <w:r>
        <w:t xml:space="preserve">. </w:t>
      </w:r>
      <w:r>
        <w:rPr>
          <w:i/>
          <w:iCs/>
        </w:rPr>
        <w:t>bioRxiv</w:t>
      </w:r>
      <w:r>
        <w:t xml:space="preserve"> 2024.04.25.591048.</w:t>
      </w:r>
    </w:p>
    <w:p w14:paraId="43859D0D" w14:textId="77777777" w:rsidR="00683466" w:rsidRDefault="00000000">
      <w:bookmarkStart w:id="33" w:name="ref-kryger_resistance_2007"/>
      <w:bookmarkEnd w:id="32"/>
      <w:r w:rsidRPr="003422CB">
        <w:rPr>
          <w:b/>
          <w:bCs/>
          <w:lang w:val="nb-NO"/>
        </w:rPr>
        <w:t>Kryger, A. I. and Andersen, J. L.</w:t>
      </w:r>
      <w:r w:rsidRPr="003422CB">
        <w:rPr>
          <w:lang w:val="nb-NO"/>
        </w:rPr>
        <w:t xml:space="preserve"> (2007). </w:t>
      </w:r>
      <w:hyperlink r:id="rId19">
        <w:r w:rsidRPr="003422CB">
          <w:rPr>
            <w:lang w:val="nb-NO"/>
          </w:rPr>
          <w:t>Resistance training in the oldest old: Consequences for muscle strength, fiber types, fiber size, and MHC isoforms.</w:t>
        </w:r>
      </w:hyperlink>
      <w:r w:rsidRPr="003422CB">
        <w:rPr>
          <w:lang w:val="nb-NO"/>
        </w:rPr>
        <w:t xml:space="preserve"> </w:t>
      </w:r>
      <w:r>
        <w:rPr>
          <w:i/>
          <w:iCs/>
        </w:rPr>
        <w:t>Scand J Med Sci Sports</w:t>
      </w:r>
      <w:r>
        <w:t xml:space="preserve"> </w:t>
      </w:r>
      <w:r>
        <w:rPr>
          <w:b/>
          <w:bCs/>
        </w:rPr>
        <w:t>17</w:t>
      </w:r>
      <w:r>
        <w:t>, 422–430.</w:t>
      </w:r>
    </w:p>
    <w:p w14:paraId="77E6D688" w14:textId="77777777" w:rsidR="00683466" w:rsidRDefault="00000000">
      <w:bookmarkStart w:id="34" w:name="ref-latorre_splicing_2017"/>
      <w:bookmarkEnd w:id="33"/>
      <w:r>
        <w:rPr>
          <w:b/>
          <w:bCs/>
        </w:rPr>
        <w:t>Latorre, E. and Harries, Lorna. W.</w:t>
      </w:r>
      <w:r>
        <w:t xml:space="preserve"> (2017). </w:t>
      </w:r>
      <w:hyperlink r:id="rId20">
        <w:r>
          <w:t>Splicing regulatory factors, ageing and age-related disease</w:t>
        </w:r>
      </w:hyperlink>
      <w:r>
        <w:t xml:space="preserve">. </w:t>
      </w:r>
      <w:r>
        <w:rPr>
          <w:i/>
          <w:iCs/>
        </w:rPr>
        <w:t>Ageing Research Reviews</w:t>
      </w:r>
      <w:r>
        <w:t xml:space="preserve"> </w:t>
      </w:r>
      <w:r>
        <w:rPr>
          <w:b/>
          <w:bCs/>
        </w:rPr>
        <w:t>36</w:t>
      </w:r>
      <w:r>
        <w:t>, 165–170.</w:t>
      </w:r>
    </w:p>
    <w:p w14:paraId="6DC1254D" w14:textId="77777777" w:rsidR="00683466" w:rsidRPr="003422CB" w:rsidRDefault="00000000">
      <w:pPr>
        <w:rPr>
          <w:lang w:val="nb-NO"/>
        </w:rPr>
      </w:pPr>
      <w:bookmarkStart w:id="35" w:name="ref-liu_progressive_2009"/>
      <w:bookmarkEnd w:id="34"/>
      <w:r>
        <w:rPr>
          <w:b/>
          <w:bCs/>
        </w:rPr>
        <w:t>Liu, C.-J. and Latham, N. K.</w:t>
      </w:r>
      <w:r>
        <w:t xml:space="preserve"> (2009). </w:t>
      </w:r>
      <w:hyperlink r:id="rId21">
        <w:r>
          <w:t>Progressive resistance strength training for improving physical function in older adults.</w:t>
        </w:r>
      </w:hyperlink>
      <w:r>
        <w:t xml:space="preserve"> </w:t>
      </w:r>
      <w:proofErr w:type="spellStart"/>
      <w:r w:rsidRPr="003422CB">
        <w:rPr>
          <w:i/>
          <w:iCs/>
          <w:lang w:val="nb-NO"/>
        </w:rPr>
        <w:t>Cochrane</w:t>
      </w:r>
      <w:proofErr w:type="spellEnd"/>
      <w:r w:rsidRPr="003422CB">
        <w:rPr>
          <w:i/>
          <w:iCs/>
          <w:lang w:val="nb-NO"/>
        </w:rPr>
        <w:t xml:space="preserve"> Database </w:t>
      </w:r>
      <w:proofErr w:type="spellStart"/>
      <w:r w:rsidRPr="003422CB">
        <w:rPr>
          <w:i/>
          <w:iCs/>
          <w:lang w:val="nb-NO"/>
        </w:rPr>
        <w:t>Syst</w:t>
      </w:r>
      <w:proofErr w:type="spellEnd"/>
      <w:r w:rsidRPr="003422CB">
        <w:rPr>
          <w:i/>
          <w:iCs/>
          <w:lang w:val="nb-NO"/>
        </w:rPr>
        <w:t xml:space="preserve"> Rev</w:t>
      </w:r>
      <w:r w:rsidRPr="003422CB">
        <w:rPr>
          <w:lang w:val="nb-NO"/>
        </w:rPr>
        <w:t xml:space="preserve"> </w:t>
      </w:r>
      <w:r w:rsidRPr="003422CB">
        <w:rPr>
          <w:b/>
          <w:bCs/>
          <w:lang w:val="nb-NO"/>
        </w:rPr>
        <w:t>2009</w:t>
      </w:r>
      <w:r w:rsidRPr="003422CB">
        <w:rPr>
          <w:lang w:val="nb-NO"/>
        </w:rPr>
        <w:t>, CD002759.</w:t>
      </w:r>
    </w:p>
    <w:p w14:paraId="25C0EB98" w14:textId="77777777" w:rsidR="00683466" w:rsidRDefault="00000000">
      <w:bookmarkStart w:id="36" w:name="ref-lopez-otin_hallmarks_2013"/>
      <w:bookmarkEnd w:id="35"/>
      <w:proofErr w:type="spellStart"/>
      <w:r w:rsidRPr="003422CB">
        <w:rPr>
          <w:b/>
          <w:bCs/>
          <w:lang w:val="nb-NO"/>
        </w:rPr>
        <w:t>López-Otín</w:t>
      </w:r>
      <w:proofErr w:type="spellEnd"/>
      <w:r w:rsidRPr="003422CB">
        <w:rPr>
          <w:b/>
          <w:bCs/>
          <w:lang w:val="nb-NO"/>
        </w:rPr>
        <w:t xml:space="preserve">, C., </w:t>
      </w:r>
      <w:proofErr w:type="spellStart"/>
      <w:r w:rsidRPr="003422CB">
        <w:rPr>
          <w:b/>
          <w:bCs/>
          <w:lang w:val="nb-NO"/>
        </w:rPr>
        <w:t>Blasco</w:t>
      </w:r>
      <w:proofErr w:type="spellEnd"/>
      <w:r w:rsidRPr="003422CB">
        <w:rPr>
          <w:b/>
          <w:bCs/>
          <w:lang w:val="nb-NO"/>
        </w:rPr>
        <w:t xml:space="preserve">, M. A., </w:t>
      </w:r>
      <w:proofErr w:type="spellStart"/>
      <w:r w:rsidRPr="003422CB">
        <w:rPr>
          <w:b/>
          <w:bCs/>
          <w:lang w:val="nb-NO"/>
        </w:rPr>
        <w:t>Partridge</w:t>
      </w:r>
      <w:proofErr w:type="spellEnd"/>
      <w:r w:rsidRPr="003422CB">
        <w:rPr>
          <w:b/>
          <w:bCs/>
          <w:lang w:val="nb-NO"/>
        </w:rPr>
        <w:t xml:space="preserve">, L., </w:t>
      </w:r>
      <w:proofErr w:type="spellStart"/>
      <w:r w:rsidRPr="003422CB">
        <w:rPr>
          <w:b/>
          <w:bCs/>
          <w:lang w:val="nb-NO"/>
        </w:rPr>
        <w:t>Serrano</w:t>
      </w:r>
      <w:proofErr w:type="spellEnd"/>
      <w:r w:rsidRPr="003422CB">
        <w:rPr>
          <w:b/>
          <w:bCs/>
          <w:lang w:val="nb-NO"/>
        </w:rPr>
        <w:t xml:space="preserve">, M. and </w:t>
      </w:r>
      <w:proofErr w:type="spellStart"/>
      <w:r w:rsidRPr="003422CB">
        <w:rPr>
          <w:b/>
          <w:bCs/>
          <w:lang w:val="nb-NO"/>
        </w:rPr>
        <w:t>Kroemer</w:t>
      </w:r>
      <w:proofErr w:type="spellEnd"/>
      <w:r w:rsidRPr="003422CB">
        <w:rPr>
          <w:b/>
          <w:bCs/>
          <w:lang w:val="nb-NO"/>
        </w:rPr>
        <w:t>, G.</w:t>
      </w:r>
      <w:r w:rsidRPr="003422CB">
        <w:rPr>
          <w:lang w:val="nb-NO"/>
        </w:rPr>
        <w:t xml:space="preserve"> (2013). </w:t>
      </w:r>
      <w:r>
        <w:t xml:space="preserve">The hallmarks of aging. </w:t>
      </w:r>
      <w:r>
        <w:rPr>
          <w:i/>
          <w:iCs/>
        </w:rPr>
        <w:t>Cell</w:t>
      </w:r>
      <w:r>
        <w:t xml:space="preserve"> </w:t>
      </w:r>
      <w:r>
        <w:rPr>
          <w:b/>
          <w:bCs/>
        </w:rPr>
        <w:t>153</w:t>
      </w:r>
      <w:r>
        <w:t>, 1194–1217.</w:t>
      </w:r>
    </w:p>
    <w:p w14:paraId="751AD9FE" w14:textId="77777777" w:rsidR="00683466" w:rsidRDefault="00000000">
      <w:bookmarkStart w:id="37" w:name="ref-lu_effects_2021"/>
      <w:bookmarkEnd w:id="36"/>
      <w:r>
        <w:rPr>
          <w:b/>
          <w:bCs/>
        </w:rPr>
        <w:t>Lu, L., Mao, L., Feng, Y., Ainsworth, B. E., Liu, Y. and Chen, N.</w:t>
      </w:r>
      <w:r>
        <w:t xml:space="preserve"> (2021). Effects of different exercise training modes on muscle strength and physical performance in older people with sarcopenia: A systematic review and meta-analysis. </w:t>
      </w:r>
      <w:r>
        <w:rPr>
          <w:i/>
          <w:iCs/>
        </w:rPr>
        <w:t>BMC geriatrics</w:t>
      </w:r>
      <w:r>
        <w:t xml:space="preserve"> </w:t>
      </w:r>
      <w:r>
        <w:rPr>
          <w:b/>
          <w:bCs/>
        </w:rPr>
        <w:t>21</w:t>
      </w:r>
      <w:r>
        <w:t>, 708.</w:t>
      </w:r>
    </w:p>
    <w:p w14:paraId="2229D2D2" w14:textId="77777777" w:rsidR="00683466" w:rsidRDefault="00000000">
      <w:bookmarkStart w:id="38" w:name="ref-manual_orghsegdb_nodate"/>
      <w:bookmarkEnd w:id="37"/>
      <w:r>
        <w:rPr>
          <w:b/>
          <w:bCs/>
        </w:rPr>
        <w:t>Manual, C.</w:t>
      </w:r>
      <w:r>
        <w:t xml:space="preserve"> Org.hs.eg.db: Genome wide annotation for human.</w:t>
      </w:r>
    </w:p>
    <w:p w14:paraId="39898B58" w14:textId="77777777" w:rsidR="00683466" w:rsidRPr="003422CB" w:rsidRDefault="00000000">
      <w:pPr>
        <w:rPr>
          <w:lang w:val="nb-NO"/>
        </w:rPr>
      </w:pPr>
      <w:bookmarkStart w:id="39" w:name="ref-mariotti_deterioration_2022"/>
      <w:bookmarkEnd w:id="38"/>
      <w:proofErr w:type="spellStart"/>
      <w:r w:rsidRPr="003422CB">
        <w:rPr>
          <w:b/>
          <w:bCs/>
          <w:lang w:val="nb-NO"/>
        </w:rPr>
        <w:t>Mariotti</w:t>
      </w:r>
      <w:proofErr w:type="spellEnd"/>
      <w:r w:rsidRPr="003422CB">
        <w:rPr>
          <w:b/>
          <w:bCs/>
          <w:lang w:val="nb-NO"/>
        </w:rPr>
        <w:t xml:space="preserve">, M., </w:t>
      </w:r>
      <w:proofErr w:type="spellStart"/>
      <w:r w:rsidRPr="003422CB">
        <w:rPr>
          <w:b/>
          <w:bCs/>
          <w:lang w:val="nb-NO"/>
        </w:rPr>
        <w:t>Kerepesi</w:t>
      </w:r>
      <w:proofErr w:type="spellEnd"/>
      <w:r w:rsidRPr="003422CB">
        <w:rPr>
          <w:b/>
          <w:bCs/>
          <w:lang w:val="nb-NO"/>
        </w:rPr>
        <w:t xml:space="preserve">, C., </w:t>
      </w:r>
      <w:proofErr w:type="spellStart"/>
      <w:r w:rsidRPr="003422CB">
        <w:rPr>
          <w:b/>
          <w:bCs/>
          <w:lang w:val="nb-NO"/>
        </w:rPr>
        <w:t>Oliveros</w:t>
      </w:r>
      <w:proofErr w:type="spellEnd"/>
      <w:r w:rsidRPr="003422CB">
        <w:rPr>
          <w:b/>
          <w:bCs/>
          <w:lang w:val="nb-NO"/>
        </w:rPr>
        <w:t xml:space="preserve">, W., Mele, M. and </w:t>
      </w:r>
      <w:proofErr w:type="spellStart"/>
      <w:r w:rsidRPr="003422CB">
        <w:rPr>
          <w:b/>
          <w:bCs/>
          <w:lang w:val="nb-NO"/>
        </w:rPr>
        <w:t>Gladyshev</w:t>
      </w:r>
      <w:proofErr w:type="spellEnd"/>
      <w:r w:rsidRPr="003422CB">
        <w:rPr>
          <w:b/>
          <w:bCs/>
          <w:lang w:val="nb-NO"/>
        </w:rPr>
        <w:t>, V. N.</w:t>
      </w:r>
      <w:r w:rsidRPr="003422CB">
        <w:rPr>
          <w:lang w:val="nb-NO"/>
        </w:rPr>
        <w:t xml:space="preserve"> (2022). </w:t>
      </w:r>
      <w:hyperlink r:id="rId22">
        <w:r w:rsidRPr="003422CB">
          <w:rPr>
            <w:lang w:val="nb-NO"/>
          </w:rPr>
          <w:t>Deterioration of the human transcriptome with age due to increasing intron retention and spurious splicing</w:t>
        </w:r>
      </w:hyperlink>
      <w:r w:rsidRPr="003422CB">
        <w:rPr>
          <w:lang w:val="nb-NO"/>
        </w:rPr>
        <w:t xml:space="preserve">. </w:t>
      </w:r>
      <w:proofErr w:type="spellStart"/>
      <w:r w:rsidRPr="003422CB">
        <w:rPr>
          <w:i/>
          <w:iCs/>
          <w:lang w:val="nb-NO"/>
        </w:rPr>
        <w:t>bioRxiv</w:t>
      </w:r>
      <w:proofErr w:type="spellEnd"/>
      <w:r w:rsidRPr="003422CB">
        <w:rPr>
          <w:lang w:val="nb-NO"/>
        </w:rPr>
        <w:t xml:space="preserve"> 2022.03.14.484341.</w:t>
      </w:r>
    </w:p>
    <w:p w14:paraId="6CB38CA0" w14:textId="77777777" w:rsidR="00683466" w:rsidRDefault="00000000">
      <w:bookmarkStart w:id="40" w:name="ref-mauger_targeted_2016"/>
      <w:bookmarkEnd w:id="39"/>
      <w:r>
        <w:rPr>
          <w:b/>
          <w:bCs/>
        </w:rPr>
        <w:t>Mauger, O., Lemoine, F. and Scheiffele, P.</w:t>
      </w:r>
      <w:r>
        <w:t xml:space="preserve"> (2016). Targeted intron retention and excision for rapid gene regulation in response to neuronal activity. </w:t>
      </w:r>
      <w:r>
        <w:rPr>
          <w:i/>
          <w:iCs/>
        </w:rPr>
        <w:t>Neuron</w:t>
      </w:r>
      <w:r>
        <w:t xml:space="preserve"> </w:t>
      </w:r>
      <w:r>
        <w:rPr>
          <w:b/>
          <w:bCs/>
        </w:rPr>
        <w:t>92</w:t>
      </w:r>
      <w:r>
        <w:t>, 1266–1278.</w:t>
      </w:r>
    </w:p>
    <w:p w14:paraId="3F26D847" w14:textId="77777777" w:rsidR="00683466" w:rsidRPr="003422CB" w:rsidRDefault="00000000">
      <w:pPr>
        <w:rPr>
          <w:lang w:val="nb-NO"/>
        </w:rPr>
      </w:pPr>
      <w:bookmarkStart w:id="41" w:name="ref-de_melo_costa_splice-q_2021"/>
      <w:bookmarkEnd w:id="40"/>
      <w:r>
        <w:rPr>
          <w:b/>
          <w:bCs/>
        </w:rPr>
        <w:t>Melo Costa, V. R. de, Pfeuffer, J., Louloupi, A., Ørom, U. A. and Piro, R. M.</w:t>
      </w:r>
      <w:r>
        <w:t xml:space="preserve"> (2021). SPLICE-q: A python tool for genome-wide quantification of splicing efficiency. </w:t>
      </w:r>
      <w:r w:rsidRPr="003422CB">
        <w:rPr>
          <w:i/>
          <w:iCs/>
          <w:lang w:val="nb-NO"/>
        </w:rPr>
        <w:t>BMC bioinformatics</w:t>
      </w:r>
      <w:r w:rsidRPr="003422CB">
        <w:rPr>
          <w:lang w:val="nb-NO"/>
        </w:rPr>
        <w:t xml:space="preserve"> </w:t>
      </w:r>
      <w:r w:rsidRPr="003422CB">
        <w:rPr>
          <w:b/>
          <w:bCs/>
          <w:lang w:val="nb-NO"/>
        </w:rPr>
        <w:t>22</w:t>
      </w:r>
      <w:r w:rsidRPr="003422CB">
        <w:rPr>
          <w:lang w:val="nb-NO"/>
        </w:rPr>
        <w:t>, 1–14.</w:t>
      </w:r>
    </w:p>
    <w:p w14:paraId="5043E2E6" w14:textId="77777777" w:rsidR="00683466" w:rsidRDefault="00000000">
      <w:bookmarkStart w:id="42" w:name="ref-molmen_chronic_2021"/>
      <w:bookmarkEnd w:id="41"/>
      <w:r w:rsidRPr="003422CB">
        <w:rPr>
          <w:b/>
          <w:bCs/>
          <w:lang w:val="nb-NO"/>
        </w:rPr>
        <w:t xml:space="preserve">Mølmen, K. S., Hammarström, D., Falch, G. S., Grundtvig, M., Koll, L., Hanestadhaugen, M., Khan, Y., Ahmad, R., Malerbakken, B., </w:t>
      </w:r>
      <w:proofErr w:type="spellStart"/>
      <w:r w:rsidRPr="003422CB">
        <w:rPr>
          <w:b/>
          <w:bCs/>
          <w:lang w:val="nb-NO"/>
        </w:rPr>
        <w:t>Rødølen</w:t>
      </w:r>
      <w:proofErr w:type="spellEnd"/>
      <w:r w:rsidRPr="003422CB">
        <w:rPr>
          <w:b/>
          <w:bCs/>
          <w:lang w:val="nb-NO"/>
        </w:rPr>
        <w:t>, T. J., et al.</w:t>
      </w:r>
      <w:r w:rsidRPr="003422CB">
        <w:rPr>
          <w:lang w:val="nb-NO"/>
        </w:rPr>
        <w:t xml:space="preserve"> </w:t>
      </w:r>
      <w:r>
        <w:t xml:space="preserve">(2021). </w:t>
      </w:r>
      <w:hyperlink r:id="rId23">
        <w:r>
          <w:t>Chronic obstructive pulmonary disease does not impair responses to resistance training.</w:t>
        </w:r>
      </w:hyperlink>
      <w:r>
        <w:t xml:space="preserve"> </w:t>
      </w:r>
      <w:r>
        <w:rPr>
          <w:i/>
          <w:iCs/>
        </w:rPr>
        <w:t>J Transl Med</w:t>
      </w:r>
      <w:r>
        <w:t xml:space="preserve"> </w:t>
      </w:r>
      <w:r>
        <w:rPr>
          <w:b/>
          <w:bCs/>
        </w:rPr>
        <w:t>19</w:t>
      </w:r>
      <w:r>
        <w:t>, 292.</w:t>
      </w:r>
    </w:p>
    <w:p w14:paraId="576479DB" w14:textId="77777777" w:rsidR="00683466" w:rsidRDefault="00000000">
      <w:bookmarkStart w:id="43" w:name="ref-monteuuis_changing_2019"/>
      <w:bookmarkEnd w:id="42"/>
      <w:r>
        <w:rPr>
          <w:b/>
          <w:bCs/>
        </w:rPr>
        <w:lastRenderedPageBreak/>
        <w:t>Monteuuis, G., Wong, J. J. L., Bailey, C. G., Schmitz, U. and Rasko, J. E. J.</w:t>
      </w:r>
      <w:r>
        <w:t xml:space="preserve"> (2019). </w:t>
      </w:r>
      <w:hyperlink r:id="rId24">
        <w:r>
          <w:t>The changing paradigm of intron retention: Regulation, ramifications and recipes</w:t>
        </w:r>
      </w:hyperlink>
      <w:r>
        <w:t xml:space="preserve">. </w:t>
      </w:r>
      <w:r>
        <w:rPr>
          <w:i/>
          <w:iCs/>
        </w:rPr>
        <w:t>Nucleic Acids Research</w:t>
      </w:r>
      <w:r>
        <w:t xml:space="preserve"> </w:t>
      </w:r>
      <w:r>
        <w:rPr>
          <w:b/>
          <w:bCs/>
        </w:rPr>
        <w:t>47</w:t>
      </w:r>
      <w:r>
        <w:t>, 11497–11513.</w:t>
      </w:r>
    </w:p>
    <w:p w14:paraId="44A39A67" w14:textId="77777777" w:rsidR="00683466" w:rsidRDefault="00000000">
      <w:bookmarkStart w:id="44" w:name="ref-nelson_novel_2005"/>
      <w:bookmarkEnd w:id="43"/>
      <w:r>
        <w:rPr>
          <w:b/>
          <w:bCs/>
        </w:rPr>
        <w:t>Nelson, M. E., Thurmes, P. J., Hoyer, J. D. and Steensma, D. P.</w:t>
      </w:r>
      <w:r>
        <w:t xml:space="preserve"> (2005). A novel 5’ATRX mutation with splicing consequences in acquired alpha thalassemia-myelodysplastic syndrome. </w:t>
      </w:r>
      <w:r>
        <w:rPr>
          <w:i/>
          <w:iCs/>
        </w:rPr>
        <w:t>haematologica</w:t>
      </w:r>
      <w:r>
        <w:t xml:space="preserve"> </w:t>
      </w:r>
      <w:r>
        <w:rPr>
          <w:b/>
          <w:bCs/>
        </w:rPr>
        <w:t>90</w:t>
      </w:r>
      <w:r>
        <w:t>, 1463–1470.</w:t>
      </w:r>
    </w:p>
    <w:p w14:paraId="53674512" w14:textId="77777777" w:rsidR="00683466" w:rsidRDefault="00000000">
      <w:bookmarkStart w:id="45" w:name="ref-nishida_tissue-_2015"/>
      <w:bookmarkEnd w:id="44"/>
      <w:r>
        <w:rPr>
          <w:b/>
          <w:bCs/>
        </w:rPr>
        <w:t>Nishida, A., Minegishi, M., Takeuchi, A., Niba, E. T. E., Awano, H., Lee, T., Iijima, K., Takeshima, Y. and Matsuo, M.</w:t>
      </w:r>
      <w:r>
        <w:t xml:space="preserve"> (2015). </w:t>
      </w:r>
      <w:hyperlink r:id="rId25">
        <w:r>
          <w:t>Tissue- and case-specific retention of intron 40 in mature dystrophin mRNA</w:t>
        </w:r>
      </w:hyperlink>
      <w:r>
        <w:t xml:space="preserve">. </w:t>
      </w:r>
      <w:r>
        <w:rPr>
          <w:i/>
          <w:iCs/>
        </w:rPr>
        <w:t>Journal of Human Genetics</w:t>
      </w:r>
      <w:r>
        <w:t xml:space="preserve"> </w:t>
      </w:r>
      <w:r>
        <w:rPr>
          <w:b/>
          <w:bCs/>
        </w:rPr>
        <w:t>60</w:t>
      </w:r>
      <w:r>
        <w:t>, 327–333.</w:t>
      </w:r>
    </w:p>
    <w:p w14:paraId="3BD1B3B5" w14:textId="77777777" w:rsidR="00683466" w:rsidRDefault="00000000">
      <w:bookmarkStart w:id="46" w:name="ref-ong_increased_2020"/>
      <w:bookmarkEnd w:id="45"/>
      <w:r>
        <w:rPr>
          <w:b/>
          <w:bCs/>
        </w:rPr>
        <w:t>Ong, C.-T. and Adusumalli, S.</w:t>
      </w:r>
      <w:r>
        <w:t xml:space="preserve"> (2020). Increased intron retention is linked to alzheimer’s disease. </w:t>
      </w:r>
      <w:r>
        <w:rPr>
          <w:i/>
          <w:iCs/>
        </w:rPr>
        <w:t>Neural regeneration research</w:t>
      </w:r>
      <w:r>
        <w:t xml:space="preserve"> </w:t>
      </w:r>
      <w:r>
        <w:rPr>
          <w:b/>
          <w:bCs/>
        </w:rPr>
        <w:t>15</w:t>
      </w:r>
      <w:r>
        <w:t>, 259–260.</w:t>
      </w:r>
    </w:p>
    <w:p w14:paraId="76E7FD5E" w14:textId="77777777" w:rsidR="00683466" w:rsidRDefault="00000000">
      <w:bookmarkStart w:id="47" w:name="ref-pabis_concerted_2024"/>
      <w:bookmarkEnd w:id="46"/>
      <w:r>
        <w:rPr>
          <w:b/>
          <w:bCs/>
        </w:rPr>
        <w:t>Pabis, K., Barardo, D., Sirbu, O., Selvarajoo, K., Gruber, J. and Kennedy, B. K.</w:t>
      </w:r>
      <w:r>
        <w:t xml:space="preserve"> (2024). </w:t>
      </w:r>
      <w:hyperlink r:id="rId26">
        <w:r>
          <w:t>A concerted increase in readthrough and intron retention drives transposon expression during aging and senescence</w:t>
        </w:r>
      </w:hyperlink>
      <w:r>
        <w:t>.</w:t>
      </w:r>
    </w:p>
    <w:p w14:paraId="3CEFFE74" w14:textId="77777777" w:rsidR="00683466" w:rsidRDefault="00000000">
      <w:bookmarkStart w:id="48" w:name="ref-peterson_influence_2011"/>
      <w:bookmarkEnd w:id="47"/>
      <w:r>
        <w:rPr>
          <w:b/>
          <w:bCs/>
        </w:rPr>
        <w:t>Peterson, M. D., Sen, A. and Gordon, P. M.</w:t>
      </w:r>
      <w:r>
        <w:t xml:space="preserve"> (2011). </w:t>
      </w:r>
      <w:hyperlink r:id="rId27">
        <w:r>
          <w:t>Influence of resistance exercise on lean body mass in aging adults: A meta-analysis.</w:t>
        </w:r>
      </w:hyperlink>
      <w:r>
        <w:t xml:space="preserve"> </w:t>
      </w:r>
      <w:r>
        <w:rPr>
          <w:i/>
          <w:iCs/>
        </w:rPr>
        <w:t>Med Sci Sports Exerc</w:t>
      </w:r>
      <w:r>
        <w:t xml:space="preserve"> </w:t>
      </w:r>
      <w:r>
        <w:rPr>
          <w:b/>
          <w:bCs/>
        </w:rPr>
        <w:t>43</w:t>
      </w:r>
      <w:r>
        <w:t>, 249–258.</w:t>
      </w:r>
    </w:p>
    <w:p w14:paraId="5E0172FE" w14:textId="77777777" w:rsidR="00683466" w:rsidRDefault="00000000">
      <w:bookmarkStart w:id="49" w:name="ref-robinson_enhanced_2017"/>
      <w:bookmarkEnd w:id="48"/>
      <w:r>
        <w:rPr>
          <w:b/>
          <w:bCs/>
        </w:rPr>
        <w:t>Robinson, M. M., Dasari, S., Konopka, A. R., Johnson, M. L., Manjunatha, S., Esponda, R. R., Carter, R. E., Lanza, I. R. and Nair, K. S.</w:t>
      </w:r>
      <w:r>
        <w:t xml:space="preserve"> (2017). Enhanced protein translation underlies improved metabolic and physical adaptations to different exercise training modes in young and old humans. </w:t>
      </w:r>
      <w:r>
        <w:rPr>
          <w:i/>
          <w:iCs/>
        </w:rPr>
        <w:t>Cell metabolism</w:t>
      </w:r>
      <w:r>
        <w:t xml:space="preserve"> </w:t>
      </w:r>
      <w:r>
        <w:rPr>
          <w:b/>
          <w:bCs/>
        </w:rPr>
        <w:t>25</w:t>
      </w:r>
      <w:r>
        <w:t>, 581–592.</w:t>
      </w:r>
    </w:p>
    <w:p w14:paraId="78A565B8" w14:textId="77777777" w:rsidR="00683466" w:rsidRDefault="00000000">
      <w:bookmarkStart w:id="50" w:name="X9abc3901ca7f09d6e15f6daefa88aae206ffc58"/>
      <w:bookmarkEnd w:id="49"/>
      <w:r>
        <w:rPr>
          <w:b/>
          <w:bCs/>
        </w:rPr>
        <w:t>Sánchez-Escabias, E., Guerrero-Martínez, J. A. and Reyes, J. C.</w:t>
      </w:r>
      <w:r>
        <w:t xml:space="preserve"> (2022). </w:t>
      </w:r>
      <w:hyperlink r:id="rId28">
        <w:r>
          <w:t>Co-transcriptional splicing efficiency is a gene-specific feature that can be regulated by TGFβ</w:t>
        </w:r>
      </w:hyperlink>
      <w:r>
        <w:t xml:space="preserve">. </w:t>
      </w:r>
      <w:r>
        <w:rPr>
          <w:i/>
          <w:iCs/>
        </w:rPr>
        <w:t>Communications Biology</w:t>
      </w:r>
      <w:r>
        <w:t xml:space="preserve"> </w:t>
      </w:r>
      <w:r>
        <w:rPr>
          <w:b/>
          <w:bCs/>
        </w:rPr>
        <w:t>5</w:t>
      </w:r>
      <w:r>
        <w:t>, 277.</w:t>
      </w:r>
    </w:p>
    <w:p w14:paraId="7C3C2FD0" w14:textId="77777777" w:rsidR="00683466" w:rsidRDefault="00000000">
      <w:bookmarkStart w:id="51" w:name="ref-saudemont_fitness_2017"/>
      <w:bookmarkEnd w:id="50"/>
      <w:r>
        <w:rPr>
          <w:b/>
          <w:bCs/>
        </w:rPr>
        <w:t>Saudemont, B., Popa, A., Parmley, J. L., Rocher, V., Blugeon, C., Necsulea, A., Meyer, E. and Duret, L.</w:t>
      </w:r>
      <w:r>
        <w:t xml:space="preserve"> (2017). The fitness cost of mis-splicing is the main determinant of alternative splicing patterns. </w:t>
      </w:r>
      <w:r>
        <w:rPr>
          <w:i/>
          <w:iCs/>
        </w:rPr>
        <w:t>Genome biology</w:t>
      </w:r>
      <w:r>
        <w:t xml:space="preserve"> </w:t>
      </w:r>
      <w:r>
        <w:rPr>
          <w:b/>
          <w:bCs/>
        </w:rPr>
        <w:t>18</w:t>
      </w:r>
      <w:r>
        <w:t>, 1–15.</w:t>
      </w:r>
    </w:p>
    <w:p w14:paraId="2C033507" w14:textId="77777777" w:rsidR="00683466" w:rsidRDefault="00000000">
      <w:bookmarkStart w:id="52" w:name="ref-schaum_ageing_2020"/>
      <w:bookmarkEnd w:id="51"/>
      <w:r>
        <w:rPr>
          <w:b/>
          <w:bCs/>
        </w:rPr>
        <w:t>Schaum, N., Lehallier, B., Hahn, O., Pálovics, R., Hosseinzadeh, S., Lee, S. E., Sit, R., Lee, D. P., Losada, P. M., Zardeneta, M. E., et al.</w:t>
      </w:r>
      <w:r>
        <w:t xml:space="preserve"> (2020). </w:t>
      </w:r>
      <w:hyperlink r:id="rId29">
        <w:r>
          <w:t>Ageing hallmarks exhibit organ-specific temporal signatures</w:t>
        </w:r>
      </w:hyperlink>
      <w:r>
        <w:t xml:space="preserve">. </w:t>
      </w:r>
      <w:r>
        <w:rPr>
          <w:i/>
          <w:iCs/>
        </w:rPr>
        <w:t>Nature</w:t>
      </w:r>
      <w:r>
        <w:t xml:space="preserve"> </w:t>
      </w:r>
      <w:r>
        <w:rPr>
          <w:b/>
          <w:bCs/>
        </w:rPr>
        <w:t>583</w:t>
      </w:r>
      <w:r>
        <w:t>, 596–602.</w:t>
      </w:r>
    </w:p>
    <w:p w14:paraId="121607C4" w14:textId="77777777" w:rsidR="00683466" w:rsidRDefault="00000000">
      <w:bookmarkStart w:id="53" w:name="ref-schmitz_intron_2017"/>
      <w:bookmarkEnd w:id="52"/>
      <w:r>
        <w:rPr>
          <w:b/>
          <w:bCs/>
        </w:rPr>
        <w:t>Schmitz, U., Pinello, N., Jia, F., Alasmari, S., Ritchie, W., Keightley, M.-C., Shini, S., Lieschke, G. J., Wong, J. J.-L. and Rasko, J. E. J.</w:t>
      </w:r>
      <w:r>
        <w:t xml:space="preserve"> (2017). </w:t>
      </w:r>
      <w:hyperlink r:id="rId30">
        <w:r>
          <w:t>Intron retention enhances gene regulatory complexity in vertebrates</w:t>
        </w:r>
      </w:hyperlink>
      <w:r>
        <w:t xml:space="preserve">. </w:t>
      </w:r>
      <w:r>
        <w:rPr>
          <w:i/>
          <w:iCs/>
        </w:rPr>
        <w:t>Genome Biology</w:t>
      </w:r>
      <w:r>
        <w:t xml:space="preserve"> </w:t>
      </w:r>
      <w:r>
        <w:rPr>
          <w:b/>
          <w:bCs/>
        </w:rPr>
        <w:t>18</w:t>
      </w:r>
      <w:r>
        <w:t>, 216.</w:t>
      </w:r>
    </w:p>
    <w:p w14:paraId="7234A2D9" w14:textId="77777777" w:rsidR="00683466" w:rsidRDefault="00000000">
      <w:bookmarkStart w:id="54" w:name="ref-shah_towards_2022"/>
      <w:bookmarkEnd w:id="53"/>
      <w:r>
        <w:rPr>
          <w:b/>
          <w:bCs/>
        </w:rPr>
        <w:t>Shah, J. S., Milevskiy, M. J., Petrova, V., Au, A. Y., Wong, J. J., Visvader, J. E., Schmitz, U. and Rasko, J. E.</w:t>
      </w:r>
      <w:r>
        <w:t xml:space="preserve"> (2022). Towards resolution of the intron retention paradox in breast cancer. </w:t>
      </w:r>
      <w:r>
        <w:rPr>
          <w:i/>
          <w:iCs/>
        </w:rPr>
        <w:t>Breast Cancer Research</w:t>
      </w:r>
      <w:r>
        <w:t xml:space="preserve"> </w:t>
      </w:r>
      <w:r>
        <w:rPr>
          <w:b/>
          <w:bCs/>
        </w:rPr>
        <w:t>24</w:t>
      </w:r>
      <w:r>
        <w:t>, 100.</w:t>
      </w:r>
    </w:p>
    <w:p w14:paraId="685844F5" w14:textId="77777777" w:rsidR="00683466" w:rsidRDefault="00000000">
      <w:bookmarkStart w:id="55" w:name="ref-smart_role_2022"/>
      <w:bookmarkEnd w:id="54"/>
      <w:r>
        <w:rPr>
          <w:b/>
          <w:bCs/>
        </w:rPr>
        <w:t>Smart, T. F. F., Doleman, B., Hatt, J., Paul, M., Toft, S., Lund, J. N. and Phillips, B. E.</w:t>
      </w:r>
      <w:r>
        <w:t xml:space="preserve"> (2022). </w:t>
      </w:r>
      <w:hyperlink r:id="rId31">
        <w:r>
          <w:t>The role of resistance exercise training for improving cardiorespiratory fitness in healthy older adults: A systematic review and meta-analysis</w:t>
        </w:r>
      </w:hyperlink>
      <w:r>
        <w:t xml:space="preserve">. </w:t>
      </w:r>
      <w:r>
        <w:rPr>
          <w:i/>
          <w:iCs/>
        </w:rPr>
        <w:t>Age and Ageing</w:t>
      </w:r>
      <w:r>
        <w:t xml:space="preserve"> </w:t>
      </w:r>
      <w:r>
        <w:rPr>
          <w:b/>
          <w:bCs/>
        </w:rPr>
        <w:t>51</w:t>
      </w:r>
      <w:r>
        <w:t>, afac143.</w:t>
      </w:r>
    </w:p>
    <w:p w14:paraId="1D5A5B06" w14:textId="77777777" w:rsidR="00683466" w:rsidRDefault="00000000">
      <w:bookmarkStart w:id="56" w:name="ref-stegeman_transcriptional_2017"/>
      <w:bookmarkEnd w:id="55"/>
      <w:r>
        <w:rPr>
          <w:b/>
          <w:bCs/>
        </w:rPr>
        <w:lastRenderedPageBreak/>
        <w:t>Stegeman, R. and Weake, V. M.</w:t>
      </w:r>
      <w:r>
        <w:t xml:space="preserve"> (2017). </w:t>
      </w:r>
      <w:hyperlink r:id="rId32">
        <w:r>
          <w:t>Transcriptional signatures of aging</w:t>
        </w:r>
      </w:hyperlink>
      <w:r>
        <w:t xml:space="preserve">. </w:t>
      </w:r>
      <w:r>
        <w:rPr>
          <w:i/>
          <w:iCs/>
        </w:rPr>
        <w:t>Journal of Molecular Biology</w:t>
      </w:r>
      <w:r>
        <w:t xml:space="preserve"> </w:t>
      </w:r>
      <w:r>
        <w:rPr>
          <w:b/>
          <w:bCs/>
        </w:rPr>
        <w:t>429</w:t>
      </w:r>
      <w:r>
        <w:t>, 2427–2437.</w:t>
      </w:r>
    </w:p>
    <w:p w14:paraId="2E62BDDD" w14:textId="77777777" w:rsidR="00683466" w:rsidRDefault="00000000">
      <w:bookmarkStart w:id="57" w:name="ref-stokes_transcriptomics_2023"/>
      <w:bookmarkEnd w:id="56"/>
      <w:r>
        <w:rPr>
          <w:b/>
          <w:bCs/>
        </w:rPr>
        <w:t>Stokes, T., Cen, H. H., Kapranov, P., Gallagher, I. J., Pitsillides, A. A., Volmar, C.-H., Kraus, W. E., Johnson, J. D., Phillips, S. M. and Wahlestedt, C.</w:t>
      </w:r>
      <w:r>
        <w:t xml:space="preserve"> (2023). Transcriptomics for clinical and experimental biology research: Hang on a seq. </w:t>
      </w:r>
      <w:r>
        <w:rPr>
          <w:i/>
          <w:iCs/>
        </w:rPr>
        <w:t>Advanced Genetics</w:t>
      </w:r>
      <w:r>
        <w:t xml:space="preserve"> </w:t>
      </w:r>
      <w:r>
        <w:rPr>
          <w:b/>
          <w:bCs/>
        </w:rPr>
        <w:t>4</w:t>
      </w:r>
      <w:r>
        <w:t>, 2200024.</w:t>
      </w:r>
    </w:p>
    <w:p w14:paraId="1D1A821B" w14:textId="77777777" w:rsidR="00683466" w:rsidRDefault="00000000">
      <w:bookmarkStart w:id="58" w:name="ref-sznajder_intron_2018"/>
      <w:bookmarkEnd w:id="57"/>
      <w:r>
        <w:rPr>
          <w:b/>
          <w:bCs/>
        </w:rPr>
        <w:t>Sznajder, Ł. J., Thomas, J. D., Carrell, E. M., Reid, T., McFarland, K. N., Cleary, J. D., Oliveira, R., Nutter, C. A., Bhatt, K. and Sobczak, K.</w:t>
      </w:r>
      <w:r>
        <w:t xml:space="preserve"> (2018). Intron retention induced by microsatellite expansions as a disease biomarker. </w:t>
      </w:r>
      <w:r>
        <w:rPr>
          <w:i/>
          <w:iCs/>
        </w:rPr>
        <w:t>Proceedings of the National Academy of Sciences</w:t>
      </w:r>
      <w:r>
        <w:t xml:space="preserve"> </w:t>
      </w:r>
      <w:r>
        <w:rPr>
          <w:b/>
          <w:bCs/>
        </w:rPr>
        <w:t>115</w:t>
      </w:r>
      <w:r>
        <w:t>, 4234–4239.</w:t>
      </w:r>
    </w:p>
    <w:p w14:paraId="1CFE0FD7" w14:textId="77777777" w:rsidR="00683466" w:rsidRDefault="00000000">
      <w:bookmarkStart w:id="59" w:name="ref-ubaida-mohien_physical_2019"/>
      <w:bookmarkEnd w:id="58"/>
      <w:r>
        <w:rPr>
          <w:b/>
          <w:bCs/>
        </w:rPr>
        <w:t>Ubaida-Mohien, C., Gonzalez-Freire, M., Lyashkov, A., Moaddel, R., Chia, C. W., Simonsick, E. M., Sen, R. and Ferrucci, L.</w:t>
      </w:r>
      <w:r>
        <w:t xml:space="preserve"> (2019a). Physical activity associated proteomics of skeletal muscle: Being physically active in daily life may protect skeletal muscle from aging. </w:t>
      </w:r>
      <w:r>
        <w:rPr>
          <w:i/>
          <w:iCs/>
        </w:rPr>
        <w:t>Frontiers in physiology</w:t>
      </w:r>
      <w:r>
        <w:t xml:space="preserve"> </w:t>
      </w:r>
      <w:r>
        <w:rPr>
          <w:b/>
          <w:bCs/>
        </w:rPr>
        <w:t>10</w:t>
      </w:r>
      <w:r>
        <w:t>, 312.</w:t>
      </w:r>
    </w:p>
    <w:p w14:paraId="59B27043" w14:textId="77777777" w:rsidR="00683466" w:rsidRDefault="00000000">
      <w:bookmarkStart w:id="60" w:name="ref-ubaida-mohien_discovery_2019"/>
      <w:bookmarkEnd w:id="59"/>
      <w:r>
        <w:rPr>
          <w:b/>
          <w:bCs/>
        </w:rPr>
        <w:t>Ubaida-Mohien, C., Lyashkov, A., Gonzalez-Freire, M., Tharakan, R., Shardell, M., Moaddel, R., Semba, R. D., Chia, C. W., Gorospe, M., Sen, R., et al.</w:t>
      </w:r>
      <w:r>
        <w:t xml:space="preserve"> (2019b). </w:t>
      </w:r>
      <w:hyperlink r:id="rId33">
        <w:r>
          <w:t>Discovery proteomics in aging human skeletal muscle finds change in spliceosome, immunity, proteostasis and mitochondria</w:t>
        </w:r>
      </w:hyperlink>
      <w:r>
        <w:t xml:space="preserve">. </w:t>
      </w:r>
      <w:r>
        <w:rPr>
          <w:i/>
          <w:iCs/>
        </w:rPr>
        <w:t>eLife</w:t>
      </w:r>
      <w:r>
        <w:t xml:space="preserve"> </w:t>
      </w:r>
      <w:r>
        <w:rPr>
          <w:b/>
          <w:bCs/>
        </w:rPr>
        <w:t>8</w:t>
      </w:r>
      <w:r>
        <w:t>, e49874.</w:t>
      </w:r>
    </w:p>
    <w:p w14:paraId="2D89AD48" w14:textId="77777777" w:rsidR="00683466" w:rsidRDefault="00000000">
      <w:bookmarkStart w:id="61" w:name="ref-ubaida-mohien_unbiased_2022"/>
      <w:bookmarkEnd w:id="60"/>
      <w:r>
        <w:rPr>
          <w:b/>
          <w:bCs/>
        </w:rPr>
        <w:t>Ubaida-Mohien, C., Spendiff, S., Lyashkov, A., Moaddel, R., MacMillan, N. J., Filion, M.-E., Morais, J. A., Taivassalo, T., Ferrucci, L. and Hepple, R. T.</w:t>
      </w:r>
      <w:r>
        <w:t xml:space="preserve"> (2022). </w:t>
      </w:r>
      <w:hyperlink r:id="rId34">
        <w:r>
          <w:t>Unbiased proteomics, histochemistry, and mitochondrial DNA copy number reveal better mitochondrial health in muscle of high-functioning octogenarians</w:t>
        </w:r>
      </w:hyperlink>
      <w:r>
        <w:t xml:space="preserve">. </w:t>
      </w:r>
      <w:r>
        <w:rPr>
          <w:i/>
          <w:iCs/>
        </w:rPr>
        <w:t>eLife</w:t>
      </w:r>
      <w:r>
        <w:t xml:space="preserve"> </w:t>
      </w:r>
      <w:r>
        <w:rPr>
          <w:b/>
          <w:bCs/>
        </w:rPr>
        <w:t>11</w:t>
      </w:r>
      <w:r>
        <w:t>, e74335.</w:t>
      </w:r>
    </w:p>
    <w:p w14:paraId="15C96F10" w14:textId="77777777" w:rsidR="00683466" w:rsidRDefault="00000000">
      <w:bookmarkStart w:id="62" w:name="ref-veeneman_two-pass_2016"/>
      <w:bookmarkEnd w:id="61"/>
      <w:r>
        <w:rPr>
          <w:b/>
          <w:bCs/>
        </w:rPr>
        <w:t>Veeneman, B. A., Shukla, S., Dhanasekaran, S. M., Chinnaiyan, A. M. and Nesvizhskii, A. I.</w:t>
      </w:r>
      <w:r>
        <w:t xml:space="preserve"> (2016). </w:t>
      </w:r>
      <w:hyperlink r:id="rId35">
        <w:r>
          <w:t>Two-pass alignment improves novel splice junction quantification.</w:t>
        </w:r>
      </w:hyperlink>
      <w:r>
        <w:t xml:space="preserve"> </w:t>
      </w:r>
      <w:r>
        <w:rPr>
          <w:i/>
          <w:iCs/>
        </w:rPr>
        <w:t>Bioinformatics</w:t>
      </w:r>
      <w:r>
        <w:t xml:space="preserve"> </w:t>
      </w:r>
      <w:r>
        <w:rPr>
          <w:b/>
          <w:bCs/>
        </w:rPr>
        <w:t>32</w:t>
      </w:r>
      <w:r>
        <w:t>, 43–49.</w:t>
      </w:r>
    </w:p>
    <w:p w14:paraId="6BB66C5C" w14:textId="77777777" w:rsidR="00683466" w:rsidRDefault="00000000">
      <w:bookmarkStart w:id="63" w:name="ref-welle_gene_2003"/>
      <w:bookmarkEnd w:id="62"/>
      <w:r>
        <w:rPr>
          <w:b/>
          <w:bCs/>
        </w:rPr>
        <w:t>Welle, S., Brooks, A. I., Delehanty, J. M., Needler, N. and Thornton, C. A.</w:t>
      </w:r>
      <w:r>
        <w:t xml:space="preserve"> (2003). Gene expression profile of aging in human muscle. </w:t>
      </w:r>
      <w:r>
        <w:rPr>
          <w:i/>
          <w:iCs/>
        </w:rPr>
        <w:t>Physiological genomics</w:t>
      </w:r>
      <w:r>
        <w:t xml:space="preserve"> </w:t>
      </w:r>
      <w:r>
        <w:rPr>
          <w:b/>
          <w:bCs/>
        </w:rPr>
        <w:t>14</w:t>
      </w:r>
      <w:r>
        <w:t>, 149–159.</w:t>
      </w:r>
    </w:p>
    <w:p w14:paraId="5068046D" w14:textId="77777777" w:rsidR="00683466" w:rsidRDefault="00000000">
      <w:bookmarkStart w:id="64" w:name="ref-wong_intron_2022"/>
      <w:bookmarkEnd w:id="63"/>
      <w:r>
        <w:rPr>
          <w:b/>
          <w:bCs/>
        </w:rPr>
        <w:t>Wong, J. J.-L. and Schmitz, U.</w:t>
      </w:r>
      <w:r>
        <w:t xml:space="preserve"> (2022). Intron retention: Importance, challenges, and opportunities. </w:t>
      </w:r>
      <w:r>
        <w:rPr>
          <w:i/>
          <w:iCs/>
        </w:rPr>
        <w:t>Trends in Genetics</w:t>
      </w:r>
      <w:r>
        <w:t xml:space="preserve"> </w:t>
      </w:r>
      <w:r>
        <w:rPr>
          <w:b/>
          <w:bCs/>
        </w:rPr>
        <w:t>38</w:t>
      </w:r>
      <w:r>
        <w:t>, 789–792.</w:t>
      </w:r>
    </w:p>
    <w:p w14:paraId="417E9EF1" w14:textId="77777777" w:rsidR="00683466" w:rsidRDefault="00000000">
      <w:bookmarkStart w:id="65" w:name="ref-wong_intron_2016"/>
      <w:bookmarkEnd w:id="64"/>
      <w:r>
        <w:rPr>
          <w:b/>
          <w:bCs/>
        </w:rPr>
        <w:t>Wong, J. J.-L., Au, A. Y. M., Ritchie, W. and Rasko, J. E. J.</w:t>
      </w:r>
      <w:r>
        <w:t xml:space="preserve"> (2016). </w:t>
      </w:r>
      <w:hyperlink r:id="rId36">
        <w:r>
          <w:t>Intron retention in mRNA: No longer nonsense: Known and putative roles of intron retention in normal and disease biology.</w:t>
        </w:r>
      </w:hyperlink>
      <w:r>
        <w:t xml:space="preserve"> </w:t>
      </w:r>
      <w:r>
        <w:rPr>
          <w:i/>
          <w:iCs/>
        </w:rPr>
        <w:t>Bioessays</w:t>
      </w:r>
      <w:r>
        <w:t xml:space="preserve"> </w:t>
      </w:r>
      <w:r>
        <w:rPr>
          <w:b/>
          <w:bCs/>
        </w:rPr>
        <w:t>38</w:t>
      </w:r>
      <w:r>
        <w:t>, 41–49.</w:t>
      </w:r>
    </w:p>
    <w:p w14:paraId="31A4591F" w14:textId="77777777" w:rsidR="00683466" w:rsidRDefault="00000000">
      <w:bookmarkStart w:id="66" w:name="ref-zheng_intron_2020"/>
      <w:bookmarkEnd w:id="65"/>
      <w:r>
        <w:rPr>
          <w:b/>
          <w:bCs/>
        </w:rPr>
        <w:t>Zheng, J.-T., Lin, C.-X., Fang, Z.-Y. and Li, H.-D.</w:t>
      </w:r>
      <w:r>
        <w:t xml:space="preserve"> (2020). Intron retention as a mode for RNA-seq data analysis. </w:t>
      </w:r>
      <w:r>
        <w:rPr>
          <w:i/>
          <w:iCs/>
        </w:rPr>
        <w:t>Frontiers in genetics</w:t>
      </w:r>
      <w:r>
        <w:t xml:space="preserve"> </w:t>
      </w:r>
      <w:r>
        <w:rPr>
          <w:b/>
          <w:bCs/>
        </w:rPr>
        <w:t>11</w:t>
      </w:r>
      <w:r>
        <w:t>, 586.</w:t>
      </w:r>
      <w:bookmarkEnd w:id="1"/>
      <w:bookmarkEnd w:id="12"/>
      <w:bookmarkEnd w:id="13"/>
      <w:bookmarkEnd w:id="15"/>
      <w:bookmarkEnd w:id="66"/>
    </w:p>
    <w:sectPr w:rsidR="00683466" w:rsidSect="00664515">
      <w:headerReference w:type="default" r:id="rId37"/>
      <w:pgSz w:w="12240" w:h="15840"/>
      <w:pgMar w:top="1417" w:right="1417" w:bottom="1417" w:left="1417" w:header="708" w:footer="708" w:gutter="0"/>
      <w:lnNumType w:countBy="1"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6F8C" w14:textId="77777777" w:rsidR="00B37B42" w:rsidRDefault="00B37B42">
      <w:pPr>
        <w:spacing w:after="0"/>
      </w:pPr>
      <w:r>
        <w:separator/>
      </w:r>
    </w:p>
  </w:endnote>
  <w:endnote w:type="continuationSeparator" w:id="0">
    <w:p w14:paraId="2AEEFB19" w14:textId="77777777" w:rsidR="00B37B42" w:rsidRDefault="00B37B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6D7C" w14:textId="77777777" w:rsidR="00B37B42" w:rsidRDefault="00B37B42">
      <w:r>
        <w:separator/>
      </w:r>
    </w:p>
  </w:footnote>
  <w:footnote w:type="continuationSeparator" w:id="0">
    <w:p w14:paraId="4D53319F" w14:textId="77777777" w:rsidR="00B37B42" w:rsidRDefault="00B37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0397" w14:textId="77777777" w:rsidR="00683466" w:rsidRDefault="00683466">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8CC5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0224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66"/>
    <w:rsid w:val="00336B27"/>
    <w:rsid w:val="003422CB"/>
    <w:rsid w:val="005576E0"/>
    <w:rsid w:val="00683466"/>
    <w:rsid w:val="00B37B42"/>
    <w:rsid w:val="00DA5A95"/>
    <w:rsid w:val="00F41EC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ED00"/>
  <w15:docId w15:val="{D6B66094-DD60-4C3C-9124-F2C273EB8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515"/>
    <w:pPr>
      <w:spacing w:after="200" w:line="240" w:lineRule="auto"/>
    </w:pPr>
    <w:rPr>
      <w:kern w:val="0"/>
      <w:sz w:val="24"/>
      <w:szCs w:val="24"/>
      <w:lang w:val="en-US"/>
      <w14:ligatures w14:val="none"/>
    </w:rPr>
  </w:style>
  <w:style w:type="paragraph" w:styleId="Overskrift1">
    <w:name w:val="heading 1"/>
    <w:basedOn w:val="Normal"/>
    <w:next w:val="Normal"/>
    <w:link w:val="Overskrift1Tegn"/>
    <w:uiPriority w:val="9"/>
    <w:qFormat/>
    <w:rsid w:val="0066451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nb-NO"/>
      <w14:ligatures w14:val="standardContextual"/>
    </w:rPr>
  </w:style>
  <w:style w:type="paragraph" w:styleId="Overskrift2">
    <w:name w:val="heading 2"/>
    <w:basedOn w:val="Normal"/>
    <w:next w:val="Normal"/>
    <w:link w:val="Overskrift2Tegn"/>
    <w:uiPriority w:val="9"/>
    <w:unhideWhenUsed/>
    <w:qFormat/>
    <w:rsid w:val="0066451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nb-NO"/>
      <w14:ligatures w14:val="standardContextual"/>
    </w:rPr>
  </w:style>
  <w:style w:type="paragraph" w:styleId="Overskrift3">
    <w:name w:val="heading 3"/>
    <w:basedOn w:val="Normal"/>
    <w:next w:val="Normal"/>
    <w:link w:val="Overskrift3Tegn"/>
    <w:uiPriority w:val="9"/>
    <w:unhideWhenUsed/>
    <w:qFormat/>
    <w:rsid w:val="00664515"/>
    <w:pPr>
      <w:keepNext/>
      <w:keepLines/>
      <w:spacing w:before="160" w:after="80" w:line="259" w:lineRule="auto"/>
      <w:outlineLvl w:val="2"/>
    </w:pPr>
    <w:rPr>
      <w:rFonts w:eastAsiaTheme="majorEastAsia" w:cstheme="majorBidi"/>
      <w:color w:val="0F4761" w:themeColor="accent1" w:themeShade="BF"/>
      <w:kern w:val="2"/>
      <w:sz w:val="28"/>
      <w:szCs w:val="28"/>
      <w:lang w:val="nb-NO"/>
      <w14:ligatures w14:val="standardContextual"/>
    </w:rPr>
  </w:style>
  <w:style w:type="paragraph" w:styleId="Overskrift4">
    <w:name w:val="heading 4"/>
    <w:basedOn w:val="Normal"/>
    <w:next w:val="Normal"/>
    <w:link w:val="Overskrift4Tegn"/>
    <w:uiPriority w:val="9"/>
    <w:unhideWhenUsed/>
    <w:qFormat/>
    <w:rsid w:val="00664515"/>
    <w:pPr>
      <w:keepNext/>
      <w:keepLines/>
      <w:spacing w:before="80" w:after="40" w:line="259" w:lineRule="auto"/>
      <w:outlineLvl w:val="3"/>
    </w:pPr>
    <w:rPr>
      <w:rFonts w:eastAsiaTheme="majorEastAsia" w:cstheme="majorBidi"/>
      <w:i/>
      <w:iCs/>
      <w:color w:val="0F4761" w:themeColor="accent1" w:themeShade="BF"/>
      <w:kern w:val="2"/>
      <w:sz w:val="22"/>
      <w:szCs w:val="22"/>
      <w:lang w:val="nb-NO"/>
      <w14:ligatures w14:val="standardContextual"/>
    </w:rPr>
  </w:style>
  <w:style w:type="paragraph" w:styleId="Overskrift5">
    <w:name w:val="heading 5"/>
    <w:basedOn w:val="Normal"/>
    <w:next w:val="Normal"/>
    <w:link w:val="Overskrift5Tegn"/>
    <w:uiPriority w:val="9"/>
    <w:semiHidden/>
    <w:unhideWhenUsed/>
    <w:qFormat/>
    <w:rsid w:val="00664515"/>
    <w:pPr>
      <w:keepNext/>
      <w:keepLines/>
      <w:spacing w:before="80" w:after="40" w:line="259" w:lineRule="auto"/>
      <w:outlineLvl w:val="4"/>
    </w:pPr>
    <w:rPr>
      <w:rFonts w:eastAsiaTheme="majorEastAsia" w:cstheme="majorBidi"/>
      <w:color w:val="0F4761" w:themeColor="accent1" w:themeShade="BF"/>
      <w:kern w:val="2"/>
      <w:sz w:val="22"/>
      <w:szCs w:val="22"/>
      <w:lang w:val="nb-NO"/>
      <w14:ligatures w14:val="standardContextual"/>
    </w:rPr>
  </w:style>
  <w:style w:type="paragraph" w:styleId="Overskrift6">
    <w:name w:val="heading 6"/>
    <w:basedOn w:val="Normal"/>
    <w:next w:val="Normal"/>
    <w:link w:val="Overskrift6Tegn"/>
    <w:uiPriority w:val="9"/>
    <w:semiHidden/>
    <w:unhideWhenUsed/>
    <w:qFormat/>
    <w:rsid w:val="00664515"/>
    <w:pPr>
      <w:keepNext/>
      <w:keepLines/>
      <w:spacing w:before="40" w:after="0" w:line="259" w:lineRule="auto"/>
      <w:outlineLvl w:val="5"/>
    </w:pPr>
    <w:rPr>
      <w:rFonts w:eastAsiaTheme="majorEastAsia" w:cstheme="majorBidi"/>
      <w:i/>
      <w:iCs/>
      <w:color w:val="595959" w:themeColor="text1" w:themeTint="A6"/>
      <w:kern w:val="2"/>
      <w:sz w:val="22"/>
      <w:szCs w:val="22"/>
      <w:lang w:val="nb-NO"/>
      <w14:ligatures w14:val="standardContextual"/>
    </w:rPr>
  </w:style>
  <w:style w:type="paragraph" w:styleId="Overskrift7">
    <w:name w:val="heading 7"/>
    <w:basedOn w:val="Normal"/>
    <w:next w:val="Normal"/>
    <w:link w:val="Overskrift7Tegn"/>
    <w:uiPriority w:val="9"/>
    <w:semiHidden/>
    <w:unhideWhenUsed/>
    <w:qFormat/>
    <w:rsid w:val="00664515"/>
    <w:pPr>
      <w:keepNext/>
      <w:keepLines/>
      <w:spacing w:before="40" w:after="0" w:line="259" w:lineRule="auto"/>
      <w:outlineLvl w:val="6"/>
    </w:pPr>
    <w:rPr>
      <w:rFonts w:eastAsiaTheme="majorEastAsia" w:cstheme="majorBidi"/>
      <w:color w:val="595959" w:themeColor="text1" w:themeTint="A6"/>
      <w:kern w:val="2"/>
      <w:sz w:val="22"/>
      <w:szCs w:val="22"/>
      <w:lang w:val="nb-NO"/>
      <w14:ligatures w14:val="standardContextual"/>
    </w:rPr>
  </w:style>
  <w:style w:type="paragraph" w:styleId="Overskrift8">
    <w:name w:val="heading 8"/>
    <w:basedOn w:val="Normal"/>
    <w:next w:val="Normal"/>
    <w:link w:val="Overskrift8Tegn"/>
    <w:uiPriority w:val="9"/>
    <w:semiHidden/>
    <w:unhideWhenUsed/>
    <w:qFormat/>
    <w:rsid w:val="00664515"/>
    <w:pPr>
      <w:keepNext/>
      <w:keepLines/>
      <w:spacing w:after="0" w:line="259" w:lineRule="auto"/>
      <w:outlineLvl w:val="7"/>
    </w:pPr>
    <w:rPr>
      <w:rFonts w:eastAsiaTheme="majorEastAsia" w:cstheme="majorBidi"/>
      <w:i/>
      <w:iCs/>
      <w:color w:val="272727" w:themeColor="text1" w:themeTint="D8"/>
      <w:kern w:val="2"/>
      <w:sz w:val="22"/>
      <w:szCs w:val="22"/>
      <w:lang w:val="nb-NO"/>
      <w14:ligatures w14:val="standardContextual"/>
    </w:rPr>
  </w:style>
  <w:style w:type="paragraph" w:styleId="Overskrift9">
    <w:name w:val="heading 9"/>
    <w:basedOn w:val="Normal"/>
    <w:next w:val="Normal"/>
    <w:link w:val="Overskrift9Tegn"/>
    <w:uiPriority w:val="9"/>
    <w:semiHidden/>
    <w:unhideWhenUsed/>
    <w:qFormat/>
    <w:rsid w:val="00664515"/>
    <w:pPr>
      <w:keepNext/>
      <w:keepLines/>
      <w:spacing w:after="0" w:line="259" w:lineRule="auto"/>
      <w:outlineLvl w:val="8"/>
    </w:pPr>
    <w:rPr>
      <w:rFonts w:eastAsiaTheme="majorEastAsia" w:cstheme="majorBidi"/>
      <w:color w:val="272727" w:themeColor="text1" w:themeTint="D8"/>
      <w:kern w:val="2"/>
      <w:sz w:val="22"/>
      <w:szCs w:val="22"/>
      <w:lang w:val="nb-NO"/>
      <w14:ligatures w14:val="standardContextual"/>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6451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66451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6451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6451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6451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6451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6451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6451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64515"/>
    <w:rPr>
      <w:rFonts w:eastAsiaTheme="majorEastAsia" w:cstheme="majorBidi"/>
      <w:color w:val="272727" w:themeColor="text1" w:themeTint="D8"/>
    </w:rPr>
  </w:style>
  <w:style w:type="paragraph" w:styleId="Tittel">
    <w:name w:val="Title"/>
    <w:basedOn w:val="Normal"/>
    <w:next w:val="Normal"/>
    <w:link w:val="TittelTegn"/>
    <w:qFormat/>
    <w:rsid w:val="00664515"/>
    <w:pPr>
      <w:spacing w:after="80"/>
      <w:contextualSpacing/>
    </w:pPr>
    <w:rPr>
      <w:rFonts w:asciiTheme="majorHAnsi" w:eastAsiaTheme="majorEastAsia" w:hAnsiTheme="majorHAnsi" w:cstheme="majorBidi"/>
      <w:spacing w:val="-10"/>
      <w:kern w:val="28"/>
      <w:sz w:val="56"/>
      <w:szCs w:val="56"/>
      <w:lang w:val="nb-NO"/>
      <w14:ligatures w14:val="standardContextual"/>
    </w:rPr>
  </w:style>
  <w:style w:type="character" w:customStyle="1" w:styleId="TittelTegn">
    <w:name w:val="Tittel Tegn"/>
    <w:basedOn w:val="Standardskriftforavsnitt"/>
    <w:link w:val="Tittel"/>
    <w:uiPriority w:val="10"/>
    <w:rsid w:val="0066451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64515"/>
    <w:pPr>
      <w:numPr>
        <w:ilvl w:val="1"/>
      </w:numPr>
      <w:spacing w:after="160" w:line="259" w:lineRule="auto"/>
    </w:pPr>
    <w:rPr>
      <w:rFonts w:eastAsiaTheme="majorEastAsia" w:cstheme="majorBidi"/>
      <w:color w:val="595959" w:themeColor="text1" w:themeTint="A6"/>
      <w:spacing w:val="15"/>
      <w:kern w:val="2"/>
      <w:sz w:val="28"/>
      <w:szCs w:val="28"/>
      <w:lang w:val="nb-NO"/>
      <w14:ligatures w14:val="standardContextual"/>
    </w:rPr>
  </w:style>
  <w:style w:type="character" w:customStyle="1" w:styleId="UndertittelTegn">
    <w:name w:val="Undertittel Tegn"/>
    <w:basedOn w:val="Standardskriftforavsnitt"/>
    <w:link w:val="Undertittel"/>
    <w:uiPriority w:val="11"/>
    <w:rsid w:val="0066451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64515"/>
    <w:pPr>
      <w:spacing w:before="160" w:after="160" w:line="259" w:lineRule="auto"/>
      <w:jc w:val="center"/>
    </w:pPr>
    <w:rPr>
      <w:i/>
      <w:iCs/>
      <w:color w:val="404040" w:themeColor="text1" w:themeTint="BF"/>
      <w:kern w:val="2"/>
      <w:sz w:val="22"/>
      <w:szCs w:val="22"/>
      <w:lang w:val="nb-NO"/>
      <w14:ligatures w14:val="standardContextual"/>
    </w:rPr>
  </w:style>
  <w:style w:type="character" w:customStyle="1" w:styleId="SitatTegn">
    <w:name w:val="Sitat Tegn"/>
    <w:basedOn w:val="Standardskriftforavsnitt"/>
    <w:link w:val="Sitat"/>
    <w:uiPriority w:val="29"/>
    <w:rsid w:val="00664515"/>
    <w:rPr>
      <w:i/>
      <w:iCs/>
      <w:color w:val="404040" w:themeColor="text1" w:themeTint="BF"/>
    </w:rPr>
  </w:style>
  <w:style w:type="paragraph" w:styleId="Listeavsnitt">
    <w:name w:val="List Paragraph"/>
    <w:basedOn w:val="Normal"/>
    <w:uiPriority w:val="34"/>
    <w:qFormat/>
    <w:rsid w:val="00664515"/>
    <w:pPr>
      <w:spacing w:after="160" w:line="259" w:lineRule="auto"/>
      <w:ind w:left="720"/>
      <w:contextualSpacing/>
    </w:pPr>
    <w:rPr>
      <w:kern w:val="2"/>
      <w:sz w:val="22"/>
      <w:szCs w:val="22"/>
      <w:lang w:val="nb-NO"/>
      <w14:ligatures w14:val="standardContextual"/>
    </w:rPr>
  </w:style>
  <w:style w:type="character" w:styleId="Sterkutheving">
    <w:name w:val="Intense Emphasis"/>
    <w:basedOn w:val="Standardskriftforavsnitt"/>
    <w:uiPriority w:val="21"/>
    <w:qFormat/>
    <w:rsid w:val="00664515"/>
    <w:rPr>
      <w:i/>
      <w:iCs/>
      <w:color w:val="0F4761" w:themeColor="accent1" w:themeShade="BF"/>
    </w:rPr>
  </w:style>
  <w:style w:type="paragraph" w:styleId="Sterktsitat">
    <w:name w:val="Intense Quote"/>
    <w:basedOn w:val="Normal"/>
    <w:next w:val="Normal"/>
    <w:link w:val="SterktsitatTegn"/>
    <w:uiPriority w:val="30"/>
    <w:qFormat/>
    <w:rsid w:val="0066451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sz w:val="22"/>
      <w:szCs w:val="22"/>
      <w:lang w:val="nb-NO"/>
      <w14:ligatures w14:val="standardContextual"/>
    </w:rPr>
  </w:style>
  <w:style w:type="character" w:customStyle="1" w:styleId="SterktsitatTegn">
    <w:name w:val="Sterkt sitat Tegn"/>
    <w:basedOn w:val="Standardskriftforavsnitt"/>
    <w:link w:val="Sterktsitat"/>
    <w:uiPriority w:val="30"/>
    <w:rsid w:val="00664515"/>
    <w:rPr>
      <w:i/>
      <w:iCs/>
      <w:color w:val="0F4761" w:themeColor="accent1" w:themeShade="BF"/>
    </w:rPr>
  </w:style>
  <w:style w:type="character" w:styleId="Sterkreferanse">
    <w:name w:val="Intense Reference"/>
    <w:basedOn w:val="Standardskriftforavsnitt"/>
    <w:uiPriority w:val="32"/>
    <w:qFormat/>
    <w:rsid w:val="00664515"/>
    <w:rPr>
      <w:b/>
      <w:bCs/>
      <w:smallCaps/>
      <w:color w:val="0F4761" w:themeColor="accent1" w:themeShade="BF"/>
      <w:spacing w:val="5"/>
    </w:rPr>
  </w:style>
  <w:style w:type="paragraph" w:styleId="Brdtekst">
    <w:name w:val="Body Text"/>
    <w:basedOn w:val="Normal"/>
    <w:link w:val="BrdtekstTegn"/>
    <w:qFormat/>
    <w:rsid w:val="00664515"/>
    <w:pPr>
      <w:spacing w:before="180" w:after="180" w:line="480" w:lineRule="auto"/>
    </w:pPr>
    <w:rPr>
      <w:rFonts w:ascii="Times New Roman" w:hAnsi="Times New Roman"/>
    </w:rPr>
  </w:style>
  <w:style w:type="character" w:customStyle="1" w:styleId="BrdtekstTegn">
    <w:name w:val="Brødtekst Tegn"/>
    <w:basedOn w:val="Standardskriftforavsnitt"/>
    <w:link w:val="Brdtekst"/>
    <w:rsid w:val="00664515"/>
    <w:rPr>
      <w:rFonts w:ascii="Times New Roman" w:hAnsi="Times New Roman"/>
      <w:kern w:val="0"/>
      <w:sz w:val="24"/>
      <w:szCs w:val="24"/>
      <w:lang w:val="en-US"/>
      <w14:ligatures w14:val="none"/>
    </w:rPr>
  </w:style>
  <w:style w:type="paragraph" w:customStyle="1" w:styleId="FirstParagraph">
    <w:name w:val="First Paragraph"/>
    <w:basedOn w:val="Brdtekst"/>
    <w:next w:val="Brdtekst"/>
    <w:qFormat/>
    <w:rsid w:val="00664515"/>
  </w:style>
  <w:style w:type="paragraph" w:customStyle="1" w:styleId="Author">
    <w:name w:val="Author"/>
    <w:next w:val="Brdtekst"/>
    <w:qFormat/>
    <w:rsid w:val="00664515"/>
    <w:pPr>
      <w:keepNext/>
      <w:keepLines/>
      <w:spacing w:before="480" w:after="480" w:line="240" w:lineRule="auto"/>
      <w:ind w:left="567"/>
      <w:contextualSpacing/>
    </w:pPr>
    <w:rPr>
      <w:rFonts w:ascii="Times New Roman" w:hAnsi="Times New Roman"/>
      <w:kern w:val="0"/>
      <w:sz w:val="24"/>
      <w:szCs w:val="24"/>
      <w:lang w:val="en-US"/>
      <w14:ligatures w14:val="none"/>
    </w:rPr>
  </w:style>
  <w:style w:type="paragraph" w:customStyle="1" w:styleId="abstracttitle">
    <w:name w:val="abstracttitle"/>
    <w:basedOn w:val="Normal"/>
    <w:next w:val="Abstract"/>
    <w:qFormat/>
    <w:rsid w:val="00664515"/>
    <w:pPr>
      <w:keepNext/>
      <w:keepLines/>
      <w:pageBreakBefore/>
      <w:spacing w:before="300" w:after="0"/>
      <w:ind w:left="284"/>
    </w:pPr>
    <w:rPr>
      <w:rFonts w:ascii="Times New Roman" w:hAnsi="Times New Roman"/>
      <w:b/>
      <w:szCs w:val="20"/>
    </w:rPr>
  </w:style>
  <w:style w:type="paragraph" w:customStyle="1" w:styleId="Abstract">
    <w:name w:val="Abstract"/>
    <w:basedOn w:val="Normal"/>
    <w:next w:val="Brdtekst"/>
    <w:qFormat/>
    <w:rsid w:val="00664515"/>
    <w:pPr>
      <w:keepNext/>
      <w:keepLines/>
      <w:spacing w:before="100" w:after="300" w:line="480" w:lineRule="auto"/>
      <w:ind w:left="284"/>
    </w:pPr>
    <w:rPr>
      <w:rFonts w:ascii="Times New Roman" w:hAnsi="Times New Roman"/>
      <w:szCs w:val="20"/>
    </w:rPr>
  </w:style>
  <w:style w:type="paragraph" w:customStyle="1" w:styleId="author-meta">
    <w:name w:val="author-meta"/>
    <w:basedOn w:val="Overskrift2"/>
    <w:link w:val="author-metaTegn"/>
    <w:qFormat/>
    <w:rsid w:val="00664515"/>
    <w:pPr>
      <w:spacing w:before="0" w:after="0" w:line="240" w:lineRule="auto"/>
      <w:ind w:left="567"/>
      <w:contextualSpacing/>
    </w:pPr>
    <w:rPr>
      <w:rFonts w:ascii="Times New Roman" w:hAnsi="Times New Roman"/>
      <w:bCs/>
      <w:kern w:val="0"/>
      <w:sz w:val="24"/>
      <w:szCs w:val="28"/>
      <w:lang w:val="en-US"/>
      <w14:ligatures w14:val="none"/>
    </w:rPr>
  </w:style>
  <w:style w:type="character" w:customStyle="1" w:styleId="author-metaTegn">
    <w:name w:val="author-meta Tegn"/>
    <w:basedOn w:val="Overskrift2Tegn"/>
    <w:link w:val="author-meta"/>
    <w:rsid w:val="00664515"/>
    <w:rPr>
      <w:rFonts w:ascii="Times New Roman" w:eastAsiaTheme="majorEastAsia" w:hAnsi="Times New Roman" w:cstheme="majorBidi"/>
      <w:bCs/>
      <w:color w:val="0F4761" w:themeColor="accent1" w:themeShade="BF"/>
      <w:kern w:val="0"/>
      <w:sz w:val="24"/>
      <w:szCs w:val="28"/>
      <w:lang w:val="en-US"/>
      <w14:ligatures w14:val="none"/>
    </w:rPr>
  </w:style>
  <w:style w:type="paragraph" w:styleId="Topptekst">
    <w:name w:val="header"/>
    <w:basedOn w:val="Normal"/>
    <w:link w:val="TopptekstTegn"/>
    <w:uiPriority w:val="99"/>
    <w:rsid w:val="00664515"/>
    <w:pPr>
      <w:tabs>
        <w:tab w:val="center" w:pos="4536"/>
        <w:tab w:val="right" w:pos="9072"/>
      </w:tabs>
      <w:spacing w:after="0"/>
    </w:pPr>
  </w:style>
  <w:style w:type="character" w:customStyle="1" w:styleId="TopptekstTegn">
    <w:name w:val="Topptekst Tegn"/>
    <w:basedOn w:val="Standardskriftforavsnitt"/>
    <w:link w:val="Topptekst"/>
    <w:uiPriority w:val="99"/>
    <w:rsid w:val="00664515"/>
    <w:rPr>
      <w:kern w:val="0"/>
      <w:sz w:val="24"/>
      <w:szCs w:val="24"/>
      <w:lang w:val="en-US"/>
      <w14:ligatures w14:val="none"/>
    </w:rPr>
  </w:style>
  <w:style w:type="character" w:styleId="Linjenummer">
    <w:name w:val="line number"/>
    <w:basedOn w:val="Standardskriftforavsnitt"/>
    <w:uiPriority w:val="99"/>
    <w:semiHidden/>
    <w:unhideWhenUsed/>
    <w:rsid w:val="00664515"/>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Bildetekst">
    <w:name w:val="caption"/>
    <w:basedOn w:val="Normal"/>
    <w:next w:val="Normal"/>
    <w:uiPriority w:val="35"/>
    <w:semiHidden/>
    <w:unhideWhenUsed/>
    <w:qFormat/>
    <w:rsid w:val="00336B27"/>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4-55607-x" TargetMode="External"/><Relationship Id="rId18" Type="http://schemas.openxmlformats.org/officeDocument/2006/relationships/hyperlink" Target="https://doi.org/10.1101/2024.04.25.591048" TargetMode="External"/><Relationship Id="rId26" Type="http://schemas.openxmlformats.org/officeDocument/2006/relationships/hyperlink" Target="https://doi.org/10.7554/elife.87811.2" TargetMode="External"/><Relationship Id="rId39" Type="http://schemas.openxmlformats.org/officeDocument/2006/relationships/theme" Target="theme/theme1.xml"/><Relationship Id="rId21" Type="http://schemas.openxmlformats.org/officeDocument/2006/relationships/hyperlink" Target="https://doi.org/10.1002/14651858.CD002759.pub2" TargetMode="External"/><Relationship Id="rId34" Type="http://schemas.openxmlformats.org/officeDocument/2006/relationships/hyperlink" Target="https://doi.org/10.7554/eLife.74335" TargetMode="External"/><Relationship Id="rId7" Type="http://schemas.openxmlformats.org/officeDocument/2006/relationships/endnotes" Target="endnotes.xml"/><Relationship Id="rId12" Type="http://schemas.openxmlformats.org/officeDocument/2006/relationships/hyperlink" Target="https://doi.org/10.1038/s43587-022-00189-w" TargetMode="External"/><Relationship Id="rId17" Type="http://schemas.openxmlformats.org/officeDocument/2006/relationships/hyperlink" Target="https://doi.org/10.1186/s12859-020-03866-y" TargetMode="External"/><Relationship Id="rId25" Type="http://schemas.openxmlformats.org/officeDocument/2006/relationships/hyperlink" Target="https://doi.org/10.1038/jhg.2015.24" TargetMode="External"/><Relationship Id="rId33" Type="http://schemas.openxmlformats.org/officeDocument/2006/relationships/hyperlink" Target="https://doi.org/10.7554/eLife.4987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00439-017-1791-x" TargetMode="External"/><Relationship Id="rId20" Type="http://schemas.openxmlformats.org/officeDocument/2006/relationships/hyperlink" Target="https://doi.org/10.1016/j.arr.2017.04.004" TargetMode="External"/><Relationship Id="rId29" Type="http://schemas.openxmlformats.org/officeDocument/2006/relationships/hyperlink" Target="https://doi.org/10.1038/s41586-020-2499-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36/bmj.l4570" TargetMode="External"/><Relationship Id="rId24" Type="http://schemas.openxmlformats.org/officeDocument/2006/relationships/hyperlink" Target="https://doi.org/10.1093/nar/gkz1068" TargetMode="External"/><Relationship Id="rId32" Type="http://schemas.openxmlformats.org/officeDocument/2006/relationships/hyperlink" Target="https://doi.org/10.1016/j.jmb.2017.06.019"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38/s41588-021-00828-9" TargetMode="External"/><Relationship Id="rId23" Type="http://schemas.openxmlformats.org/officeDocument/2006/relationships/hyperlink" Target="https://doi.org/10.1186/s12967-021-02969-1" TargetMode="External"/><Relationship Id="rId28" Type="http://schemas.openxmlformats.org/officeDocument/2006/relationships/hyperlink" Target="https://doi.org/10.1038/s42003-022-03224-z" TargetMode="External"/><Relationship Id="rId36" Type="http://schemas.openxmlformats.org/officeDocument/2006/relationships/hyperlink" Target="https://doi.org/10.1002/bies.201500117" TargetMode="External"/><Relationship Id="rId10" Type="http://schemas.openxmlformats.org/officeDocument/2006/relationships/hyperlink" Target="https://doi.org/10.1101/gr.177790.114" TargetMode="External"/><Relationship Id="rId19" Type="http://schemas.openxmlformats.org/officeDocument/2006/relationships/hyperlink" Target="https://doi.org/10.1111/j.1600-0838.2006.00575.x" TargetMode="External"/><Relationship Id="rId31" Type="http://schemas.openxmlformats.org/officeDocument/2006/relationships/hyperlink" Target="https://doi.org/10.1093/ageing/afac143" TargetMode="External"/><Relationship Id="rId4" Type="http://schemas.openxmlformats.org/officeDocument/2006/relationships/settings" Target="settings.xml"/><Relationship Id="rId9" Type="http://schemas.openxmlformats.org/officeDocument/2006/relationships/hyperlink" Target="https://doi.org/10.3390/cells12242819" TargetMode="External"/><Relationship Id="rId14" Type="http://schemas.openxmlformats.org/officeDocument/2006/relationships/hyperlink" Target="https://doi.org/10.1038/s41588-022-01279-6" TargetMode="External"/><Relationship Id="rId22" Type="http://schemas.openxmlformats.org/officeDocument/2006/relationships/hyperlink" Target="https://doi.org/10.1101/2022.03.14.484341" TargetMode="External"/><Relationship Id="rId27" Type="http://schemas.openxmlformats.org/officeDocument/2006/relationships/hyperlink" Target="https://doi.org/10.1249/MSS.0b013e3181eb6265" TargetMode="External"/><Relationship Id="rId30" Type="http://schemas.openxmlformats.org/officeDocument/2006/relationships/hyperlink" Target="https://doi.org/10.1186/s13059-017-1339-3" TargetMode="External"/><Relationship Id="rId35" Type="http://schemas.openxmlformats.org/officeDocument/2006/relationships/hyperlink" Target="https://doi.org/10.1093/bioinformatics/btv642" TargetMode="External"/><Relationship Id="rId8" Type="http://schemas.openxmlformats.org/officeDocument/2006/relationships/hyperlink" Target="https://doi.org/10.1111/acel.12928" TargetMode="External"/><Relationship Id="rId3"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C1952-70A5-447B-8D1D-B928037D8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4914</Words>
  <Characters>26046</Characters>
  <Application>Microsoft Office Word</Application>
  <DocSecurity>0</DocSecurity>
  <Lines>217</Lines>
  <Paragraphs>61</Paragraphs>
  <ScaleCrop>false</ScaleCrop>
  <HeadingPairs>
    <vt:vector size="2" baseType="variant">
      <vt:variant>
        <vt:lpstr>Tittel</vt:lpstr>
      </vt:variant>
      <vt:variant>
        <vt:i4>1</vt:i4>
      </vt:variant>
    </vt:vector>
  </HeadingPairs>
  <TitlesOfParts>
    <vt:vector size="1" baseType="lpstr">
      <vt:lpstr>Impact of age and resistance exercise training on intron retention</vt:lpstr>
    </vt:vector>
  </TitlesOfParts>
  <Company>HINN</Company>
  <LinksUpToDate>false</LinksUpToDate>
  <CharactersWithSpaces>30899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age and resistance exercise training on intron retention</dc:title>
  <dc:creator>Chidimma Phoebe Echebiria,b, Kristian Lianb, Torkil Rogneflåtenb, Håvard Hamarslandb, Knut Sindre Mølmenb, Rafi Ahmada, Stian Ellefsenb, and Daniel Hammarströmb</dc:creator>
  <cp:keywords/>
  <cp:lastModifiedBy>Chidimma Phoebe Echebiri</cp:lastModifiedBy>
  <cp:revision>4</cp:revision>
  <dcterms:created xsi:type="dcterms:W3CDTF">2025-02-13T01:10:00Z</dcterms:created>
  <dcterms:modified xsi:type="dcterms:W3CDTF">2025-02-13T01:35:00Z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resources/My_Library.bib</vt:lpwstr>
  </property>
  <property fmtid="{D5CDD505-2E9C-101B-9397-08002B2CF9AE}" pid="5" name="by-author">
    <vt:lpwstr/>
  </property>
  <property fmtid="{D5CDD505-2E9C-101B-9397-08002B2CF9AE}" pid="6" name="csl">
    <vt:lpwstr>resources/journal-of-cell-science.csl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arget_journal">
    <vt:lpwstr>https://journals.biologists.com/jcs</vt:lpwstr>
  </property>
  <property fmtid="{D5CDD505-2E9C-101B-9397-08002B2CF9AE}" pid="13" name="toc-title">
    <vt:lpwstr>Table of contents</vt:lpwstr>
  </property>
</Properties>
</file>