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tel"/>
      </w:pPr>
      <w:r>
        <w:t xml:space="preserve">Impact</w:t>
      </w:r>
      <w:r>
        <w:t xml:space="preserve"> </w:t>
      </w:r>
      <w:r>
        <w:t xml:space="preserve">of</w:t>
      </w:r>
      <w:r>
        <w:t xml:space="preserve"> </w:t>
      </w:r>
      <w:r>
        <w:t xml:space="preserve">age</w:t>
      </w:r>
      <w:r>
        <w:t xml:space="preserve"> </w:t>
      </w:r>
      <w:r>
        <w:t xml:space="preserve">and</w:t>
      </w:r>
      <w:r>
        <w:t xml:space="preserve"> </w:t>
      </w:r>
      <w:r>
        <w:t xml:space="preserve">exercise</w:t>
      </w:r>
      <w:r>
        <w:t xml:space="preserve"> </w:t>
      </w:r>
      <w:r>
        <w:t xml:space="preserve">on</w:t>
      </w:r>
      <w:r>
        <w:t xml:space="preserve"> </w:t>
      </w:r>
      <w:r>
        <w:t xml:space="preserve">intron</w:t>
      </w:r>
      <w:r>
        <w:t xml:space="preserve"> </w:t>
      </w:r>
      <w:r>
        <w:t xml:space="preserve">retention</w:t>
      </w:r>
    </w:p>
    <w:p>
      <w:pPr>
        <w:pStyle w:val="Author"/>
      </w:pPr>
      <w:r>
        <w:t xml:space="preserve">Chidimma</w:t>
      </w:r>
      <w:r>
        <w:t xml:space="preserve"> </w:t>
      </w:r>
      <w:r>
        <w:t xml:space="preserve">Phoebe</w:t>
      </w:r>
      <w:r>
        <w:t xml:space="preserve"> </w:t>
      </w:r>
      <w:r>
        <w:t xml:space="preserve">Echebiri</w:t>
      </w:r>
      <w:r>
        <w:rPr>
          <w:vertAlign w:val="superscript"/>
        </w:rPr>
        <w:t xml:space="preserve">a,b</w:t>
      </w:r>
      <w:r>
        <w:t xml:space="preserve">,</w:t>
      </w:r>
      <w:r>
        <w:t xml:space="preserve"> </w:t>
      </w:r>
      <w:r>
        <w:t xml:space="preserve">Kristian</w:t>
      </w:r>
      <w:r>
        <w:t xml:space="preserve"> </w:t>
      </w:r>
      <w:r>
        <w:t xml:space="preserve">Lian</w:t>
      </w:r>
      <w:r>
        <w:rPr>
          <w:vertAlign w:val="superscript"/>
        </w:rPr>
        <w:t xml:space="preserve">b</w:t>
      </w:r>
      <w:r>
        <w:t xml:space="preserve">,</w:t>
      </w:r>
      <w:r>
        <w:t xml:space="preserve"> </w:t>
      </w:r>
      <w:r>
        <w:t xml:space="preserve">Håvard</w:t>
      </w:r>
      <w:r>
        <w:t xml:space="preserve"> </w:t>
      </w:r>
      <w:r>
        <w:t xml:space="preserve">Hamarsland</w:t>
      </w:r>
      <w:r>
        <w:rPr>
          <w:vertAlign w:val="superscript"/>
        </w:rPr>
        <w:t xml:space="preserve">b</w:t>
      </w:r>
      <w:r>
        <w:t xml:space="preserve">,</w:t>
      </w:r>
      <w:r>
        <w:t xml:space="preserve"> </w:t>
      </w:r>
      <w:r>
        <w:t xml:space="preserve">Knut</w:t>
      </w:r>
      <w:r>
        <w:t xml:space="preserve"> </w:t>
      </w:r>
      <w:r>
        <w:t xml:space="preserve">Sindre</w:t>
      </w:r>
      <w:r>
        <w:t xml:space="preserve"> </w:t>
      </w:r>
      <w:r>
        <w:t xml:space="preserve">Mølmen</w:t>
      </w:r>
      <w:r>
        <w:rPr>
          <w:vertAlign w:val="superscript"/>
        </w:rPr>
        <w:t xml:space="preserve">b</w:t>
      </w:r>
      <w:r>
        <w:t xml:space="preserve">,</w:t>
      </w:r>
      <w:r>
        <w:t xml:space="preserve"> </w:t>
      </w:r>
      <w:r>
        <w:t xml:space="preserve">Rafi</w:t>
      </w:r>
      <w:r>
        <w:t xml:space="preserve"> </w:t>
      </w:r>
      <w:r>
        <w:t xml:space="preserve">Ahmad</w:t>
      </w:r>
      <w:r>
        <w:rPr>
          <w:vertAlign w:val="superscript"/>
        </w:rPr>
        <w:t xml:space="preserve">a</w:t>
      </w:r>
      <w:r>
        <w:t xml:space="preserve">,</w:t>
      </w:r>
      <w:r>
        <w:t xml:space="preserve"> </w:t>
      </w:r>
      <w:r>
        <w:t xml:space="preserve">Stian</w:t>
      </w:r>
      <w:r>
        <w:t xml:space="preserve"> </w:t>
      </w:r>
      <w:r>
        <w:t xml:space="preserve">Ellefsen</w:t>
      </w:r>
      <w:r>
        <w:rPr>
          <w:vertAlign w:val="superscript"/>
        </w:rPr>
        <w:t xml:space="preserve">b</w:t>
      </w:r>
      <w:r>
        <w:t xml:space="preserve">,</w:t>
      </w:r>
      <w:r>
        <w:t xml:space="preserve"> </w:t>
      </w:r>
      <w:r>
        <w:t xml:space="preserve">and</w:t>
      </w:r>
      <w:r>
        <w:t xml:space="preserve"> </w:t>
      </w:r>
      <w:r>
        <w:t xml:space="preserve">Daniel</w:t>
      </w:r>
      <w:r>
        <w:t xml:space="preserve"> </w:t>
      </w:r>
      <w:r>
        <w:t xml:space="preserve">Hammarström</w:t>
      </w:r>
      <w:r>
        <w:rPr>
          <w:vertAlign w:val="superscript"/>
        </w:rPr>
        <w:t xml:space="preserve">b</w:t>
      </w:r>
    </w:p>
    <w:p>
      <w:pPr>
        <w:pStyle w:val="author-meta"/>
      </w:pPr>
      <w:r>
        <w:rPr>
          <w:vertAlign w:val="superscript"/>
        </w:rPr>
        <w:t xml:space="preserve">a</w:t>
      </w:r>
      <w:r>
        <w:t xml:space="preserve"> </w:t>
      </w:r>
      <w:r>
        <w:t xml:space="preserve">Department of Biotechnology, University of Inland Norway, Faculty of Applied Ecology, Agricultural Sciences and Biotechnology, Hamar, Norway</w:t>
      </w:r>
    </w:p>
    <w:p>
      <w:pPr>
        <w:pStyle w:val="author-meta"/>
      </w:pPr>
      <w:r>
        <w:rPr>
          <w:vertAlign w:val="superscript"/>
        </w:rPr>
        <w:t xml:space="preserve">b</w:t>
      </w:r>
      <w:r>
        <w:t xml:space="preserve"> </w:t>
      </w:r>
      <w:r>
        <w:t xml:space="preserve">Section for Health and Exercise Physiology, Department of Public Health and Sport Sciences, University of Inland Norway, Lillehammer, Norway</w:t>
      </w:r>
    </w:p>
    <w:p>
      <w:pPr>
        <w:pStyle w:val="author-meta"/>
      </w:pPr>
      <w:r>
        <w:t xml:space="preserve">Correspondance: Chidimma Phoebe Echebiri (chidimma.echebiri@inn.no), Daniel Hammarstr�m (daniel.hammarstrom@inn.no).</w:t>
      </w:r>
    </w:p>
    <w:p>
      <w:pPr>
        <w:pStyle w:val="Brdtekst"/>
      </w:pPr>
      <w:r>
        <w:t xml:space="preserve">```{# {r, setup, include=FALSE} # ## Libraries # library(ggplot2) # library(tidyverse) # library(cowplot) # library(dplyr) # # color_scale &lt;- c(</w:t>
      </w:r>
      <w:r>
        <w:t xml:space="preserve">“</w:t>
      </w:r>
      <w:r>
        <w:t xml:space="preserve">#7fc97f</w:t>
      </w:r>
      <w:r>
        <w:t xml:space="preserve">”</w:t>
      </w:r>
      <w:r>
        <w:t xml:space="preserve">,</w:t>
      </w:r>
      <w:r>
        <w:t xml:space="preserve"> </w:t>
      </w:r>
      <w:r>
        <w:t xml:space="preserve">“</w:t>
      </w:r>
      <w:r>
        <w:t xml:space="preserve">#beaed4</w:t>
      </w:r>
      <w:r>
        <w:t xml:space="preserve">”</w:t>
      </w:r>
      <w:r>
        <w:t xml:space="preserve">,</w:t>
      </w:r>
      <w:r>
        <w:t xml:space="preserve">“</w:t>
      </w:r>
      <w:r>
        <w:t xml:space="preserve">#fdc086</w:t>
      </w:r>
      <w:r>
        <w:t xml:space="preserve">”</w:t>
      </w:r>
      <w:r>
        <w:t xml:space="preserve">,</w:t>
      </w:r>
      <w:r>
        <w:t xml:space="preserve">“</w:t>
      </w:r>
      <w:r>
        <w:t xml:space="preserve">#ffff99</w:t>
      </w:r>
      <w:r>
        <w:t xml:space="preserve">”</w:t>
      </w:r>
      <w:r>
        <w:t xml:space="preserve">,</w:t>
      </w:r>
      <w:r>
        <w:t xml:space="preserve">“</w:t>
      </w:r>
      <w:r>
        <w:t xml:space="preserve">#386cb0</w:t>
      </w:r>
      <w:r>
        <w:t xml:space="preserve">”</w:t>
      </w:r>
      <w:r>
        <w:t xml:space="preserve">,</w:t>
      </w:r>
      <w:r>
        <w:t xml:space="preserve">“</w:t>
      </w:r>
      <w:r>
        <w:t xml:space="preserve">#f0027f</w:t>
      </w:r>
      <w:r>
        <w:t xml:space="preserve">”</w:t>
      </w:r>
      <w:r>
        <w:t xml:space="preserve">) # # # source(</w:t>
      </w:r>
      <w:r>
        <w:t xml:space="preserve">“</w:t>
      </w:r>
      <w:r>
        <w:t xml:space="preserve">R/Trainome_functions.R</w:t>
      </w:r>
      <w:r>
        <w:t xml:space="preserve">”</w:t>
      </w:r>
      <w:r>
        <w:t xml:space="preserve">) # # knitr::opts_knit</w:t>
      </w:r>
      <w:r>
        <w:t xml:space="preserve">$set(root.dir = "C:/projects/Impact-of-age-and-exercise-on-intron-retention/")
# knitr::opts_chunk$</w:t>
      </w:r>
      <w:r>
        <w:t xml:space="preserve">set(warning = FALSE, message = FALSE)</w:t>
      </w:r>
    </w:p>
    <w:p>
      <w:pPr>
        <w:pStyle w:val="SourceCode"/>
      </w:pPr>
      <w:r>
        <w:br/>
      </w:r>
      <w:r>
        <w:rPr>
          <w:rStyle w:val="VerbatimChar"/>
        </w:rPr>
        <w:t xml:space="preserve">```{# {r}</w:t>
      </w:r>
      <w:r>
        <w:br/>
      </w:r>
      <w:r>
        <w:rPr>
          <w:rStyle w:val="VerbatimChar"/>
        </w:rPr>
        <w:t xml:space="preserve"># #| echo: false</w:t>
      </w:r>
      <w:r>
        <w:br/>
      </w:r>
      <w:r>
        <w:rPr>
          <w:rStyle w:val="VerbatimChar"/>
        </w:rPr>
        <w:t xml:space="preserve"># #| message: false</w:t>
      </w:r>
      <w:r>
        <w:br/>
      </w:r>
      <w:r>
        <w:rPr>
          <w:rStyle w:val="VerbatimChar"/>
        </w:rPr>
        <w:t xml:space="preserve"># #| warning: false</w:t>
      </w:r>
      <w:r>
        <w:br/>
      </w:r>
      <w:r>
        <w:rPr>
          <w:rStyle w:val="VerbatimChar"/>
        </w:rPr>
        <w:t xml:space="preserve"># #| label: abstract</w:t>
      </w:r>
      <w:r>
        <w:br/>
      </w:r>
      <w:r>
        <w:rPr>
          <w:rStyle w:val="VerbatimChar"/>
        </w:rPr>
        <w:t xml:space="preserve"># </w:t>
      </w:r>
      <w:r>
        <w:br/>
      </w:r>
      <w:r>
        <w:rPr>
          <w:rStyle w:val="VerbatimChar"/>
        </w:rPr>
        <w:t xml:space="preserve"># # Participant characteristics</w:t>
      </w:r>
      <w:r>
        <w:br/>
      </w:r>
      <w:r>
        <w:rPr>
          <w:rStyle w:val="VerbatimChar"/>
        </w:rPr>
        <w:t xml:space="preserve"># all_pre_metadata &lt;- readRDS("data_new/Pre_Exercise/all_prexercise_metadata.RDS") </w:t>
      </w:r>
      <w:r>
        <w:br/>
      </w:r>
      <w:r>
        <w:rPr>
          <w:rStyle w:val="VerbatimChar"/>
        </w:rPr>
        <w:t xml:space="preserve"># </w:t>
      </w:r>
      <w:r>
        <w:br/>
      </w:r>
      <w:r>
        <w:rPr>
          <w:rStyle w:val="VerbatimChar"/>
        </w:rPr>
        <w:t xml:space="preserve">#  # participants &lt;- all_pre_metadata %&gt;%</w:t>
      </w:r>
      <w:r>
        <w:br/>
      </w:r>
      <w:r>
        <w:rPr>
          <w:rStyle w:val="VerbatimChar"/>
        </w:rPr>
        <w:t xml:space="preserve">#  #   filter(unique(all_pre_metadata$participant))</w:t>
      </w:r>
      <w:r>
        <w:br/>
      </w:r>
      <w:r>
        <w:rPr>
          <w:rStyle w:val="VerbatimChar"/>
        </w:rPr>
        <w:t xml:space="preserve">#  #  age_range &lt;- range(all_pre_metadata$age)</w:t>
      </w:r>
      <w:r>
        <w:br/>
      </w:r>
      <w:r>
        <w:rPr>
          <w:rStyle w:val="VerbatimChar"/>
        </w:rPr>
        <w:t xml:space="preserve">#   </w:t>
      </w:r>
      <w:r>
        <w:br/>
      </w:r>
      <w:r>
        <w:rPr>
          <w:rStyle w:val="VerbatimChar"/>
        </w:rPr>
        <w:t xml:space="preserve"># # splicing data</w:t>
      </w:r>
      <w:r>
        <w:br/>
      </w:r>
      <w:r>
        <w:rPr>
          <w:rStyle w:val="VerbatimChar"/>
        </w:rPr>
        <w:t xml:space="preserve"># all_pre_splice &lt;- readRDS("data_new/Pre_Exercise/all_pre_Exc_splicing_data.RDS")</w:t>
      </w:r>
    </w:p>
    <w:bookmarkStart w:id="20" w:name="abstract"/>
    <w:p>
      <w:pPr>
        <w:pStyle w:val="Overskrift2"/>
      </w:pPr>
      <w:r>
        <w:t xml:space="preserve">Abstract</w:t>
      </w:r>
    </w:p>
    <w:p>
      <w:pPr>
        <w:pStyle w:val="FirstParagraph"/>
      </w:pPr>
      <w:r>
        <w:t xml:space="preserve">Progressive resistance exercise training (RT) elicits a range of adaptive responses in a human transcriptome, most of which have been studied in-depth. Several studies have shown that processes such as aging, disease conditions and physical exercise affect the pre-mRNA splicing machinery. There is however limited information about intron retention in healthy human skeletal muscle and how it is impacted by aging and resistance exercise training. This study investigates intron retention in the</w:t>
      </w:r>
      <w:r>
        <w:t xml:space="preserve"> </w:t>
      </w:r>
      <w:r>
        <w:rPr>
          <w:iCs/>
          <w:i/>
        </w:rPr>
        <w:t xml:space="preserve">vastus lateralis</w:t>
      </w:r>
      <w:r>
        <w:t xml:space="preserve"> </w:t>
      </w:r>
      <w:r>
        <w:t xml:space="preserve">muscle of individuals aged 19 to 93 ; and explores how ~12 week of resistance exercise training affects intron retention. Paired_end RNA sequence data from six different RT intevrntion studies involving 341 partricipants. Splicing efficiency of introns was quantified using SpliceQ. Differentially spliced introns at baseline and at post exercise were identified using betabinomial generalised linear models allowing for study and participant level intercepts. The differentially spliced introns were further investigated to identify patterns related to their gene lengths, ontology and functions.</w:t>
      </w:r>
    </w:p>
    <w:bookmarkEnd w:id="20"/>
    <w:bookmarkStart w:id="22" w:name="introduction"/>
    <w:p>
      <w:pPr>
        <w:pStyle w:val="Overskrift2"/>
      </w:pPr>
      <w:r>
        <w:t xml:space="preserve">Introduction</w:t>
      </w:r>
    </w:p>
    <w:p>
      <w:pPr>
        <w:pStyle w:val="FirstParagraph"/>
      </w:pPr>
      <w:r>
        <w:t xml:space="preserve">Alternative splicing (AS) is a mechanism in mRNA processing in which protein-coding and non-protein coding parts of the RNA are alternatively skipped. It results in a transcriptomic and proteomic diversity that determines cellular plasticity</w:t>
      </w:r>
      <w:r>
        <w:t xml:space="preserve"> </w:t>
      </w:r>
      <w:r>
        <w:t xml:space="preserve">(Angarola and Anczuków, 2021; Holly et al., 2013)</w:t>
      </w:r>
      <w:r>
        <w:t xml:space="preserve"> </w:t>
      </w:r>
      <w:r>
        <w:t xml:space="preserve">which could also lead to dysfunction if the biological system breaks down</w:t>
      </w:r>
      <w:r>
        <w:t xml:space="preserve"> </w:t>
      </w:r>
      <w:r>
        <w:t xml:space="preserve">(Bhadra et al., 2020)</w:t>
      </w:r>
      <w:r>
        <w:t xml:space="preserve"> </w:t>
      </w:r>
      <w:r>
        <w:t xml:space="preserve">. Basically, alternative splicing regulates lsurvival in living beings</w:t>
      </w:r>
      <w:r>
        <w:t xml:space="preserve"> </w:t>
      </w:r>
      <w:r>
        <w:t xml:space="preserve">(Schwerk and Schulze-Osthoff, 2005)</w:t>
      </w:r>
      <w:r>
        <w:t xml:space="preserve">. AS increases with age</w:t>
      </w:r>
      <w:r>
        <w:t xml:space="preserve"> </w:t>
      </w:r>
      <w:r>
        <w:t xml:space="preserve">(Latorre and Harries, 2017 ; Holly et al., 2013 )</w:t>
      </w:r>
      <w:r>
        <w:t xml:space="preserve"> </w:t>
      </w:r>
      <w:r>
        <w:t xml:space="preserve">as a result of alterations in the expression of splicing factors</w:t>
      </w:r>
      <w:r>
        <w:t xml:space="preserve"> </w:t>
      </w:r>
      <w:r>
        <w:t xml:space="preserve">(Stegeman and Weake, 2017)</w:t>
      </w:r>
      <w:r>
        <w:t xml:space="preserve"> </w:t>
      </w:r>
      <w:r>
        <w:t xml:space="preserve">which is a resilience strategy aimed at counteracting aging-induced damages and loss of function</w:t>
      </w:r>
      <w:r>
        <w:t xml:space="preserve"> </w:t>
      </w:r>
      <w:r>
        <w:t xml:space="preserve">(Ferrucci et al., 2022 ; Ubaida-Mohien et al., 2019b)</w:t>
      </w:r>
      <w:r>
        <w:t xml:space="preserve">. There are three broad types of AS; exon skipping, alternative use of splice sites, and intron retention</w:t>
      </w:r>
      <w:r>
        <w:t xml:space="preserve"> </w:t>
      </w:r>
      <w:r>
        <w:t xml:space="preserve">(Nishida et al., 2015 ; Zheng et al., 2020 )</w:t>
      </w:r>
      <w:r>
        <w:t xml:space="preserve">. Of specific interest to this study is intron retention.</w:t>
      </w:r>
    </w:p>
    <w:p>
      <w:pPr>
        <w:pStyle w:val="Brdtekst"/>
      </w:pPr>
      <w:r>
        <w:t xml:space="preserve">Intron retention (IR) occurs when a full intron, or parts of an intron in a mature messenger RNA (mRNA) is retained during splicing, resulting in the presence of an unprocessed sequence in the mRNA. This occurs mostly at the 3` end of transcripts</w:t>
      </w:r>
      <w:r>
        <w:t xml:space="preserve">(Wong et al., 2013 ; Braunschweig et al., 2014 )</w:t>
      </w:r>
      <w:r>
        <w:t xml:space="preserve">, and predominantly in transcripts that lack physiological relevance in cells and tissues they are detected in</w:t>
      </w:r>
      <w:r>
        <w:t xml:space="preserve"> </w:t>
      </w:r>
      <w:r>
        <w:t xml:space="preserve">(Braunschweig et al., 2014)</w:t>
      </w:r>
      <w:r>
        <w:t xml:space="preserve">. IR tends to increasingly occur in response to specific developmental cues and serve as a strategy for rapid mobilization of some mRNAs for protein translation</w:t>
      </w:r>
      <w:r>
        <w:t xml:space="preserve"> </w:t>
      </w:r>
      <w:r>
        <w:t xml:space="preserve">(Ong and Adusumalli, 2020)</w:t>
      </w:r>
      <w:r>
        <w:t xml:space="preserve">. It leads either to the degradation of the IR-containing transcripts through nonsense-mediated decay or the action of nucleases; or to frameshifts that cause the generation of alternative protein isoforms</w:t>
      </w:r>
      <w:r>
        <w:t xml:space="preserve"> </w:t>
      </w:r>
      <w:r>
        <w:t xml:space="preserve">(Baralle and Romano, 2023 ; Zheng et al., 2020 ; Mauger et al., 2016; Monteuuis et al., 2019; Wong and Schmitz, 2022 ;</w:t>
      </w:r>
      <w:r>
        <w:t xml:space="preserve"> </w:t>
      </w:r>
      <w:r>
        <w:rPr>
          <w:bCs/>
          <w:b/>
        </w:rPr>
        <w:t xml:space="preserve">jacob2017?</w:t>
      </w:r>
      <w:r>
        <w:t xml:space="preserve"> </w:t>
      </w:r>
      <w:r>
        <w:t xml:space="preserve">)</w:t>
      </w:r>
      <w:r>
        <w:t xml:space="preserve">. Thus, it plays roles in gene regulation, normal physiology and disease conditions</w:t>
      </w:r>
      <w:r>
        <w:t xml:space="preserve"> </w:t>
      </w:r>
      <w:r>
        <w:t xml:space="preserve">(Ge and Porse, 2014; Inoue et al., 2021; Wong et al., 2016)</w:t>
      </w:r>
      <w:r>
        <w:t xml:space="preserve">. IR is a potential biomarker or driver of the aging process</w:t>
      </w:r>
      <w:r>
        <w:t xml:space="preserve"> </w:t>
      </w:r>
      <w:r>
        <w:t xml:space="preserve">(Baralle and Romano, 2023 ; Adusumalli et al., 2019 )</w:t>
      </w:r>
      <w:r>
        <w:t xml:space="preserve">. It is also linked to the inactivation of tumour supressor genes</w:t>
      </w:r>
      <w:r>
        <w:t xml:space="preserve"> </w:t>
      </w:r>
      <w:r>
        <w:t xml:space="preserve">(Jung et al., 2015)</w:t>
      </w:r>
    </w:p>
    <w:p>
      <w:pPr>
        <w:pStyle w:val="Brdtekst"/>
      </w:pPr>
      <w:r>
        <w:t xml:space="preserve">IR affects about 80% of human protein-coding genes</w:t>
      </w:r>
      <w:r>
        <w:t xml:space="preserve"> </w:t>
      </w:r>
      <w:r>
        <w:t xml:space="preserve">(Middleton et al., 2017 ; Braunschweig et al., 2014 )</w:t>
      </w:r>
      <w:r>
        <w:t xml:space="preserve"> </w:t>
      </w:r>
      <w:r>
        <w:t xml:space="preserve">and is the main form of alternative splicing that is affected by age</w:t>
      </w:r>
      <w:r>
        <w:t xml:space="preserve"> </w:t>
      </w:r>
      <w:r>
        <w:t xml:space="preserve">(Kodama et al., 2024 ; Bhadra et al., 2020; Mariotti et al., 2022)</w:t>
      </w:r>
      <w:r>
        <w:t xml:space="preserve"> </w:t>
      </w:r>
      <w:r>
        <w:t xml:space="preserve">. High IR levels reportedly correlate with the down-regulation of mRNA transcripts in myelocytes and granulocytes</w:t>
      </w:r>
      <w:r>
        <w:t xml:space="preserve"> </w:t>
      </w:r>
      <w:r>
        <w:t xml:space="preserve">Wong et al. (2013)</w:t>
      </w:r>
      <w:r>
        <w:t xml:space="preserve"> </w:t>
      </w:r>
      <w:r>
        <w:t xml:space="preserve">. Short genes with high mRNA levels tend to be inefficiently spliced compared to long genes with high mRNA levels . That is, there is a positive correlation between gene length, expression level and splicing efficiency (SE)</w:t>
      </w:r>
      <w:r>
        <w:t xml:space="preserve"> </w:t>
      </w:r>
      <w:r>
        <w:t xml:space="preserve">Braunschweig et al. (2014)</w:t>
      </w:r>
      <w:r>
        <w:t xml:space="preserve"> </w:t>
      </w:r>
      <w:r>
        <w:t xml:space="preserve">.</w:t>
      </w:r>
    </w:p>
    <w:p>
      <w:pPr>
        <w:pStyle w:val="Brdtekst"/>
      </w:pPr>
      <w:r>
        <w:t xml:space="preserve">Intron retention is often measured in terms of splicing efficiency which describes the amount of introns retained in a mature mRNA. Splicing efficiency is cell and tissue specific</w:t>
      </w:r>
      <w:r>
        <w:t xml:space="preserve"> </w:t>
      </w:r>
      <w:r>
        <w:t xml:space="preserve">(Baralle and Romano, 2023; Nishida et al., 2015)</w:t>
      </w:r>
      <w:r>
        <w:t xml:space="preserve"> </w:t>
      </w:r>
      <w:r>
        <w:t xml:space="preserve">but tends to be similar between the introns of a gene</w:t>
      </w:r>
      <w:r>
        <w:t xml:space="preserve"> </w:t>
      </w:r>
      <w:r>
        <w:t xml:space="preserve">(Sánchez-Escabias et al., 2022)</w:t>
      </w:r>
      <w:r>
        <w:t xml:space="preserve"> </w:t>
      </w:r>
      <w:r>
        <w:t xml:space="preserve">. This suggests that a balanced study of intron retention should compare same introns in same genes and same tissues across the subjects of interest. Poor splicing efficiency has been linked to aging as well as human diseases like alpha thalassemia</w:t>
      </w:r>
      <w:r>
        <w:t xml:space="preserve"> </w:t>
      </w:r>
      <w:r>
        <w:t xml:space="preserve">(Nelson et al., 2005)</w:t>
      </w:r>
      <w:r>
        <w:t xml:space="preserve"> </w:t>
      </w:r>
      <w:r>
        <w:t xml:space="preserve">, inflammatory bowel disease</w:t>
      </w:r>
      <w:r>
        <w:t xml:space="preserve"> </w:t>
      </w:r>
      <w:r>
        <w:t xml:space="preserve">(Häsler et al., 2011)</w:t>
      </w:r>
      <w:r>
        <w:t xml:space="preserve"> </w:t>
      </w:r>
      <w:r>
        <w:t xml:space="preserve">, neurodegenerative diseases</w:t>
      </w:r>
      <w:r>
        <w:t xml:space="preserve"> </w:t>
      </w:r>
      <w:r>
        <w:t xml:space="preserve">(Ong and Adusumalli, 2020 ; Sznajder et al., 2018)</w:t>
      </w:r>
      <w:r>
        <w:t xml:space="preserve"> </w:t>
      </w:r>
      <w:r>
        <w:t xml:space="preserve">and an increased risk of certain cancers</w:t>
      </w:r>
      <w:r>
        <w:t xml:space="preserve"> </w:t>
      </w:r>
      <w:r>
        <w:t xml:space="preserve">(Dvinge and Bradley, 2015 ; Inoue et al., 2021 ; Shah et al., 2022)</w:t>
      </w:r>
      <w:r>
        <w:t xml:space="preserve">. There is currently a gap in knowledge about how IR plays roles in normal or adaptive physiology, and, if or how a decline in splicing efficiency can be minimized or reversed.</w:t>
      </w:r>
    </w:p>
    <w:bookmarkStart w:id="21" w:name="X2e1ebd4a36d7893d9e98091fe7baf14a8695cf4"/>
    <w:p>
      <w:pPr>
        <w:pStyle w:val="Overskrift3"/>
      </w:pPr>
      <w:r>
        <w:t xml:space="preserve">Aging and progressive resistance exercise training</w:t>
      </w:r>
    </w:p>
    <w:p>
      <w:pPr>
        <w:pStyle w:val="FirstParagraph"/>
      </w:pPr>
      <w:r>
        <w:t xml:space="preserve">Aging; the progressive transformation of young organisms into old ones, involves changes across several physiological processes and is characterized by a progressive decline in most biological functions; including skeletal muscle and mass. Aging results in reduced vitality, increased risk of diseases and eventually death</w:t>
      </w:r>
      <w:r>
        <w:t xml:space="preserve"> </w:t>
      </w:r>
      <w:r>
        <w:t xml:space="preserve">(Gyenis et al., 2023; Keshavarz et al., 2023 ; López-Otín et al., 2013)</w:t>
      </w:r>
      <w:r>
        <w:t xml:space="preserve"> </w:t>
      </w:r>
      <w:r>
        <w:t xml:space="preserve">. It is the greatest cause of disease and death worldwide</w:t>
      </w:r>
      <w:r>
        <w:t xml:space="preserve"> </w:t>
      </w:r>
      <w:r>
        <w:t xml:space="preserve">(Schaum et al., 2020)</w:t>
      </w:r>
      <w:r>
        <w:t xml:space="preserve">. Physiologically, aging is associated with the induction of different stress response pathways in different cells, tissues and species</w:t>
      </w:r>
      <w:r>
        <w:t xml:space="preserve"> </w:t>
      </w:r>
      <w:r>
        <w:t xml:space="preserve">(Stegeman and Weake, 2017; Welle et al., 2003)</w:t>
      </w:r>
      <w:r>
        <w:t xml:space="preserve">. Aging is often assessed using the concept of a</w:t>
      </w:r>
      <w:r>
        <w:t xml:space="preserve"> </w:t>
      </w:r>
      <w:r>
        <w:t xml:space="preserve">“</w:t>
      </w:r>
      <w:r>
        <w:t xml:space="preserve">biological clock</w:t>
      </w:r>
      <w:r>
        <w:t xml:space="preserve">”</w:t>
      </w:r>
      <w:r>
        <w:t xml:space="preserve"> </w:t>
      </w:r>
      <w:r>
        <w:t xml:space="preserve">that is organ, system and sex specific</w:t>
      </w:r>
      <w:r>
        <w:t xml:space="preserve"> </w:t>
      </w:r>
      <w:r>
        <w:t xml:space="preserve">(Nie et al., 2022)</w:t>
      </w:r>
      <w:r>
        <w:t xml:space="preserve">.</w:t>
      </w:r>
    </w:p>
    <w:p>
      <w:pPr>
        <w:pStyle w:val="Brdtekst"/>
      </w:pPr>
      <w:r>
        <w:t xml:space="preserve">Aging and aging-like phenotypes are associated with increased splicing alterations</w:t>
      </w:r>
      <w:r>
        <w:t xml:space="preserve"> </w:t>
      </w:r>
      <w:r>
        <w:t xml:space="preserve">(Angarola and Anczuków, 2021 ; García-Ruiz et al., 2023 ; Nishida et al., 2015 ; Mariotti et al., 2022; Pabis et al., 2024; Stegeman and Weake, 2017)</w:t>
      </w:r>
      <w:r>
        <w:t xml:space="preserve"> </w:t>
      </w:r>
      <w:r>
        <w:t xml:space="preserve">. A significant part of aging-focused research is focused on interventions that could slow-down aging or its impacts.</w:t>
      </w:r>
    </w:p>
    <w:p>
      <w:pPr>
        <w:pStyle w:val="Brdtekst"/>
      </w:pPr>
      <w:r>
        <w:t xml:space="preserve">Physical exercise is an anti-aging intervention targeted at maintaining not just muscle health, but general well-being. It counteracts the effects of aging on mitochondrial health and can offset aging-related changes to the splicing machinery</w:t>
      </w:r>
      <w:r>
        <w:t xml:space="preserve"> </w:t>
      </w:r>
      <w:r>
        <w:t xml:space="preserve">(Ubaida-Mohien et al., 2019a; Ubaida-Mohien et al., 2022)</w:t>
      </w:r>
      <w:r>
        <w:t xml:space="preserve">; it also associated with lower risk of mortality</w:t>
      </w:r>
      <w:r>
        <w:t xml:space="preserve"> </w:t>
      </w:r>
      <w:r>
        <w:t xml:space="preserve">(</w:t>
      </w:r>
      <w:r>
        <w:rPr>
          <w:bCs/>
          <w:b/>
        </w:rPr>
        <w:t xml:space="preserve">ekelund2019?</w:t>
      </w:r>
      <w:r>
        <w:t xml:space="preserve">)</w:t>
      </w:r>
      <w:r>
        <w:t xml:space="preserve"> </w:t>
      </w:r>
      <w:r>
        <w:t xml:space="preserve">. Progressive resistance exercise training (RT) describes the type of physical exercise training where the skeletal muscle is exercised against progressively increased types of resistance</w:t>
      </w:r>
      <w:r>
        <w:t xml:space="preserve"> </w:t>
      </w:r>
      <w:r>
        <w:t xml:space="preserve">(Liu and Latham, 2009)</w:t>
      </w:r>
      <w:r>
        <w:t xml:space="preserve">. The benefits of RT include improvements in , muscle strength, muscle mass, bone density, mRNA splicing</w:t>
      </w:r>
      <w:r>
        <w:t xml:space="preserve"> </w:t>
      </w:r>
      <w:r>
        <w:t xml:space="preserve">(Kodama et al., 2024)</w:t>
      </w:r>
      <w:r>
        <w:t xml:space="preserve"> </w:t>
      </w:r>
      <w:r>
        <w:t xml:space="preserve">and several other major hallmarks of aging</w:t>
      </w:r>
      <w:r>
        <w:t xml:space="preserve"> </w:t>
      </w:r>
      <w:r>
        <w:t xml:space="preserve">(</w:t>
      </w:r>
      <w:r>
        <w:rPr>
          <w:bCs/>
          <w:b/>
        </w:rPr>
        <w:t xml:space="preserve">garatachea2015?</w:t>
      </w:r>
      <w:r>
        <w:t xml:space="preserve">)</w:t>
      </w:r>
      <w:r>
        <w:t xml:space="preserve"> </w:t>
      </w:r>
      <w:r>
        <w:t xml:space="preserve">. RT could thus be a potent preventive or treatment strategy for improving aging-related functional disabilities associated with the aging skeletal muscle</w:t>
      </w:r>
      <w:r>
        <w:t xml:space="preserve"> </w:t>
      </w:r>
      <w:r>
        <w:t xml:space="preserve">(Peterson et al., 2011 ; Kryger and Andersen, 2007 ; Lu et al., 2021 )</w:t>
      </w:r>
      <w:r>
        <w:t xml:space="preserve">as well as for improving cardiorespiratory fitness in older persons</w:t>
      </w:r>
      <w:r>
        <w:t xml:space="preserve"> </w:t>
      </w:r>
      <w:r>
        <w:t xml:space="preserve">(</w:t>
      </w:r>
      <w:r>
        <w:rPr>
          <w:bCs/>
          <w:b/>
        </w:rPr>
        <w:t xml:space="preserve">smart2022?</w:t>
      </w:r>
      <w:r>
        <w:t xml:space="preserve">)</w:t>
      </w:r>
      <w:r>
        <w:t xml:space="preserve">. A lot is currently known about adaptive responses to RT. However, intron retention in response to RT is relatively unexplored especially in healthy individuals of different age ranges . If increased intron retention is linked to disease conditions and RT correlates to improved health condition, itshould be important to investigate if the benefits of RT include improving upon splicing efficiency.</w:t>
      </w:r>
    </w:p>
    <w:p>
      <w:pPr>
        <w:pStyle w:val="Brdtekst"/>
      </w:pPr>
      <w:r>
        <w:t xml:space="preserve">This study is aimed at investigating differentially spliced introns with increasing age, and how about 12 weeks of RT can influence IR. This study will hopefully generate more insights into the molecular mediators of response to RT</w:t>
      </w:r>
    </w:p>
    <w:p>
      <w:pPr>
        <w:pStyle w:val="Brdtekst"/>
      </w:pPr>
      <w:r>
        <w:t xml:space="preserve">We hypothesize that since intron retention is a mechanism by which the cells modify gene expression in response to muscular stress, there would be age-related decline in splicing efficiency. We also hypothesize that 12 weeks of RT would improve upon age-related splicing efficincy while eliciting a unique set of retained introns in response to RT-induced muscular stress.</w:t>
      </w:r>
    </w:p>
    <w:bookmarkEnd w:id="21"/>
    <w:bookmarkEnd w:id="22"/>
    <w:bookmarkStart w:id="28" w:name="materials-and-methods"/>
    <w:p>
      <w:pPr>
        <w:pStyle w:val="Overskrift2"/>
      </w:pPr>
      <w:r>
        <w:t xml:space="preserve">Materials and methods</w:t>
      </w:r>
    </w:p>
    <w:bookmarkStart w:id="23" w:name="datasets"/>
    <w:p>
      <w:pPr>
        <w:pStyle w:val="Overskrift4"/>
      </w:pPr>
      <w:r>
        <w:t xml:space="preserve">Datasets</w:t>
      </w:r>
    </w:p>
    <w:p>
      <w:pPr>
        <w:pStyle w:val="FirstParagraph"/>
      </w:pPr>
      <w:r>
        <w:t xml:space="preserve">Six datasets designed to investigate different aspects of adaptive response to RT are included in the study. Five of these datasets are from the TrainOme group while one is a publicly available dataset from</w:t>
      </w:r>
      <w:r>
        <w:t xml:space="preserve"> </w:t>
      </w:r>
      <w:r>
        <w:t xml:space="preserve">(</w:t>
      </w:r>
      <w:r>
        <w:rPr>
          <w:bCs/>
          <w:b/>
        </w:rPr>
        <w:t xml:space="preserve">robinson2017?</w:t>
      </w:r>
      <w:r>
        <w:t xml:space="preserve">)</w:t>
      </w:r>
      <w:r>
        <w:t xml:space="preserve">. The datasets were selected based on the criteria that they included paired-end Illumina RNA-Seq data from the</w:t>
      </w:r>
      <w:r>
        <w:t xml:space="preserve"> </w:t>
      </w:r>
      <w:r>
        <w:rPr>
          <w:iCs/>
          <w:i/>
        </w:rPr>
        <w:t xml:space="preserve">vastus lateralis</w:t>
      </w:r>
      <w:r>
        <w:t xml:space="preserve"> </w:t>
      </w:r>
      <w:r>
        <w:t xml:space="preserve">muscle of human subjects who performed at least 10 weeks of RT with samples collected at baseline and at the end of the program . Age, recorded as a numerical variable of all participants also needed to be included in the data. The study protocols of the different datasets are described elsewhere.</w:t>
      </w:r>
    </w:p>
    <w:p>
      <w:pPr>
        <w:pStyle w:val="Brdtekst"/>
      </w:pPr>
      <w:r>
        <w:t xml:space="preserve">The characteristics of included studies are presented in</w:t>
      </w:r>
      <w:r>
        <w:t xml:space="preserve"> </w:t>
      </w:r>
      <w:r>
        <w:rPr>
          <w:bCs/>
          <w:b/>
        </w:rPr>
        <w:t xml:space="preserve">Table 1</w:t>
      </w:r>
    </w:p>
    <w:tbl>
      <w:tblPr>
        <w:tblStyle w:val="Table"/>
        <w:tblW w:type="pct" w:w="4885"/>
        <w:tblLook w:firstRow="1" w:lastRow="0" w:firstColumn="0" w:lastColumn="0" w:noHBand="0" w:noVBand="0" w:val="0020"/>
        <w:jc w:val="start"/>
        <w:tblLayout w:type="fixed"/>
      </w:tblPr>
      <w:tblGrid>
        <w:gridCol w:w="906"/>
        <w:gridCol w:w="1511"/>
        <w:gridCol w:w="1511"/>
        <w:gridCol w:w="1511"/>
        <w:gridCol w:w="2297"/>
      </w:tblGrid>
      <w:tr>
        <w:trPr>
          <w:tblHeader w:val="true"/>
        </w:trPr>
        <w:tc>
          <w:tcPr/>
          <w:p>
            <w:pPr>
              <w:pStyle w:val="Compact"/>
              <w:jc w:val="left"/>
            </w:pPr>
            <w:r>
              <w:t xml:space="preserve">Dataset name</w:t>
            </w:r>
          </w:p>
        </w:tc>
        <w:tc>
          <w:tcPr/>
          <w:p>
            <w:pPr>
              <w:pStyle w:val="Compact"/>
              <w:jc w:val="left"/>
            </w:pPr>
            <w:r>
              <w:t xml:space="preserve">Number of participants</w:t>
            </w:r>
          </w:p>
        </w:tc>
        <w:tc>
          <w:tcPr/>
          <w:p>
            <w:pPr>
              <w:pStyle w:val="Compact"/>
              <w:jc w:val="left"/>
            </w:pPr>
            <w:r>
              <w:t xml:space="preserve">Age range (in years)</w:t>
            </w:r>
          </w:p>
        </w:tc>
        <w:tc>
          <w:tcPr/>
          <w:p>
            <w:pPr>
              <w:pStyle w:val="Compact"/>
              <w:jc w:val="left"/>
            </w:pPr>
            <w:r>
              <w:t xml:space="preserve">RT duration (in weeks)</w:t>
            </w:r>
          </w:p>
        </w:tc>
        <w:tc>
          <w:tcPr/>
          <w:p>
            <w:pPr>
              <w:pStyle w:val="Compact"/>
              <w:jc w:val="left"/>
            </w:pPr>
            <w:r>
              <w:t xml:space="preserve">Linked Publication</w:t>
            </w:r>
          </w:p>
        </w:tc>
      </w:tr>
      <w:tr>
        <w:tc>
          <w:tcPr/>
          <w:p>
            <w:pPr>
              <w:pStyle w:val="Compact"/>
              <w:jc w:val="left"/>
            </w:pPr>
            <w:r>
              <w:t xml:space="preserve">COPD</w:t>
            </w:r>
          </w:p>
        </w:tc>
        <w:tc>
          <w:tcPr/>
          <w:p>
            <w:pPr>
              <w:pStyle w:val="Compact"/>
              <w:jc w:val="left"/>
            </w:pPr>
            <w:r>
              <w:t xml:space="preserve">53</w:t>
            </w:r>
          </w:p>
        </w:tc>
        <w:tc>
          <w:tcPr/>
          <w:p>
            <w:pPr>
              <w:pStyle w:val="Compact"/>
              <w:jc w:val="left"/>
            </w:pPr>
            <w:r>
              <w:t xml:space="preserve">56-79</w:t>
            </w:r>
          </w:p>
        </w:tc>
        <w:tc>
          <w:tcPr/>
          <w:p>
            <w:pPr>
              <w:pStyle w:val="Compact"/>
              <w:jc w:val="left"/>
            </w:pPr>
            <w:r>
              <w:t xml:space="preserve">13</w:t>
            </w:r>
          </w:p>
        </w:tc>
        <w:tc>
          <w:tcPr/>
          <w:p>
            <w:pPr>
              <w:pStyle w:val="Compact"/>
              <w:jc w:val="left"/>
            </w:pPr>
            <w:r>
              <w:t xml:space="preserve">Mølmen et al. (2021)</w:t>
            </w:r>
          </w:p>
        </w:tc>
      </w:tr>
      <w:tr>
        <w:tc>
          <w:tcPr/>
          <w:p>
            <w:pPr>
              <w:pStyle w:val="Compact"/>
              <w:jc w:val="left"/>
            </w:pPr>
            <w:r>
              <w:t xml:space="preserve">Volume</w:t>
            </w:r>
          </w:p>
        </w:tc>
        <w:tc>
          <w:tcPr/>
          <w:p>
            <w:pPr>
              <w:pStyle w:val="Compact"/>
              <w:jc w:val="left"/>
            </w:pPr>
            <w:r>
              <w:t xml:space="preserve">25</w:t>
            </w:r>
          </w:p>
        </w:tc>
        <w:tc>
          <w:tcPr/>
          <w:p>
            <w:pPr>
              <w:pStyle w:val="Compact"/>
              <w:jc w:val="left"/>
            </w:pPr>
            <w:r>
              <w:t xml:space="preserve">20-37</w:t>
            </w:r>
          </w:p>
        </w:tc>
        <w:tc>
          <w:tcPr/>
          <w:p>
            <w:pPr>
              <w:pStyle w:val="Compact"/>
              <w:jc w:val="left"/>
            </w:pPr>
            <w:r>
              <w:t xml:space="preserve">12</w:t>
            </w:r>
          </w:p>
        </w:tc>
        <w:tc>
          <w:tcPr/>
          <w:p>
            <w:pPr>
              <w:pStyle w:val="Compact"/>
              <w:jc w:val="left"/>
            </w:pPr>
            <w:r>
              <w:t xml:space="preserve">Khan et al. (2020)</w:t>
            </w:r>
          </w:p>
        </w:tc>
      </w:tr>
      <w:tr>
        <w:tc>
          <w:tcPr/>
          <w:p>
            <w:pPr>
              <w:pStyle w:val="Compact"/>
              <w:jc w:val="left"/>
            </w:pPr>
            <w:r>
              <w:t xml:space="preserve">Contratrain</w:t>
            </w:r>
          </w:p>
        </w:tc>
        <w:tc>
          <w:tcPr/>
          <w:p>
            <w:pPr>
              <w:pStyle w:val="Compact"/>
              <w:jc w:val="left"/>
            </w:pPr>
            <w:r>
              <w:t xml:space="preserve">32</w:t>
            </w:r>
          </w:p>
        </w:tc>
        <w:tc>
          <w:tcPr/>
          <w:p>
            <w:pPr>
              <w:pStyle w:val="Compact"/>
              <w:jc w:val="left"/>
            </w:pPr>
            <w:r>
              <w:t xml:space="preserve">19-35</w:t>
            </w:r>
          </w:p>
        </w:tc>
        <w:tc>
          <w:tcPr/>
          <w:p>
            <w:pPr>
              <w:pStyle w:val="Compact"/>
              <w:jc w:val="left"/>
            </w:pPr>
            <w:r>
              <w:t xml:space="preserve">10</w:t>
            </w:r>
          </w:p>
        </w:tc>
        <w:tc>
          <w:tcPr/>
          <w:p>
            <w:pPr>
              <w:pStyle w:val="Compact"/>
              <w:jc w:val="left"/>
            </w:pPr>
            <w:r>
              <w:t xml:space="preserve">Hamarsland</w:t>
            </w:r>
            <w:r>
              <w:t xml:space="preserve"> </w:t>
            </w:r>
            <w:r>
              <w:rPr>
                <w:iCs/>
                <w:i/>
              </w:rPr>
              <w:t xml:space="preserve">et al</w:t>
            </w:r>
            <w:r>
              <w:t xml:space="preserve"> </w:t>
            </w:r>
            <w:r>
              <w:t xml:space="preserve">(in preparation)</w:t>
            </w:r>
          </w:p>
        </w:tc>
      </w:tr>
      <w:tr>
        <w:tc>
          <w:tcPr/>
          <w:p>
            <w:pPr>
              <w:pStyle w:val="Compact"/>
              <w:jc w:val="left"/>
            </w:pPr>
            <w:r>
              <w:t xml:space="preserve">Alpha/ Omega</w:t>
            </w:r>
          </w:p>
        </w:tc>
        <w:tc>
          <w:tcPr/>
          <w:p>
            <w:pPr>
              <w:pStyle w:val="Compact"/>
              <w:jc w:val="left"/>
            </w:pPr>
            <w:r>
              <w:t xml:space="preserve">132</w:t>
            </w:r>
          </w:p>
        </w:tc>
        <w:tc>
          <w:tcPr/>
          <w:p>
            <w:pPr>
              <w:pStyle w:val="Compact"/>
              <w:jc w:val="left"/>
            </w:pPr>
            <w:r>
              <w:t xml:space="preserve">23-60</w:t>
            </w:r>
          </w:p>
        </w:tc>
        <w:tc>
          <w:tcPr/>
          <w:p>
            <w:pPr>
              <w:pStyle w:val="Compact"/>
              <w:jc w:val="left"/>
            </w:pPr>
            <w:r>
              <w:t xml:space="preserve">12</w:t>
            </w:r>
          </w:p>
        </w:tc>
        <w:tc>
          <w:tcPr/>
          <w:p>
            <w:pPr>
              <w:pStyle w:val="Compact"/>
              <w:jc w:val="left"/>
            </w:pPr>
            <w:r>
              <w:t xml:space="preserve">Hamarsland</w:t>
            </w:r>
            <w:r>
              <w:t xml:space="preserve"> </w:t>
            </w:r>
            <w:r>
              <w:rPr>
                <w:iCs/>
                <w:i/>
              </w:rPr>
              <w:t xml:space="preserve">et al</w:t>
            </w:r>
            <w:r>
              <w:t xml:space="preserve"> </w:t>
            </w:r>
            <w:r>
              <w:t xml:space="preserve">(in preparation)</w:t>
            </w:r>
          </w:p>
        </w:tc>
      </w:tr>
      <w:tr>
        <w:tc>
          <w:tcPr/>
          <w:p>
            <w:pPr>
              <w:pStyle w:val="Compact"/>
              <w:jc w:val="left"/>
            </w:pPr>
            <w:r>
              <w:t xml:space="preserve">SRP102542</w:t>
            </w:r>
          </w:p>
        </w:tc>
        <w:tc>
          <w:tcPr/>
          <w:p>
            <w:pPr>
              <w:pStyle w:val="Compact"/>
              <w:jc w:val="left"/>
            </w:pPr>
            <w:r>
              <w:t xml:space="preserve">52</w:t>
            </w:r>
          </w:p>
        </w:tc>
        <w:tc>
          <w:tcPr/>
          <w:p>
            <w:pPr>
              <w:jc w:val="left"/>
            </w:pPr>
            <w:r>
              <w:t xml:space="preserve">19-30 (Young cohort)</w:t>
            </w:r>
          </w:p>
          <w:p>
            <w:pPr>
              <w:jc w:val="left"/>
            </w:pPr>
            <w:r>
              <w:t xml:space="preserve">65-78 (Old cohort)</w:t>
            </w:r>
          </w:p>
        </w:tc>
        <w:tc>
          <w:tcPr/>
          <w:p>
            <w:pPr>
              <w:pStyle w:val="Compact"/>
              <w:jc w:val="left"/>
            </w:pPr>
            <w:r>
              <w:t xml:space="preserve">12</w:t>
            </w:r>
          </w:p>
        </w:tc>
        <w:tc>
          <w:tcPr/>
          <w:p>
            <w:pPr>
              <w:pStyle w:val="Compact"/>
              <w:jc w:val="left"/>
            </w:pPr>
            <w:r>
              <w:t xml:space="preserve">Robinson et al. (2017)</w:t>
            </w:r>
          </w:p>
        </w:tc>
      </w:tr>
      <w:tr>
        <w:tc>
          <w:tcPr/>
          <w:p>
            <w:pPr>
              <w:pStyle w:val="Compact"/>
              <w:jc w:val="left"/>
            </w:pPr>
            <w:r>
              <w:t xml:space="preserve">Relief</w:t>
            </w:r>
          </w:p>
        </w:tc>
        <w:tc>
          <w:tcPr/>
          <w:p>
            <w:pPr>
              <w:pStyle w:val="Compact"/>
              <w:jc w:val="left"/>
            </w:pPr>
            <w:r>
              <w:t xml:space="preserve">30</w:t>
            </w:r>
          </w:p>
        </w:tc>
        <w:tc>
          <w:tcPr/>
          <w:p>
            <w:pPr>
              <w:jc w:val="left"/>
            </w:pPr>
            <w:r>
              <w:t xml:space="preserve">20 - 29 (Young cohort)</w:t>
            </w:r>
          </w:p>
          <w:p>
            <w:pPr>
              <w:jc w:val="left"/>
            </w:pPr>
            <w:r>
              <w:t xml:space="preserve">72 - 93 (Old cohort)</w:t>
            </w:r>
          </w:p>
        </w:tc>
        <w:tc>
          <w:tcPr/>
          <w:p>
            <w:pPr>
              <w:pStyle w:val="Compact"/>
              <w:jc w:val="left"/>
            </w:pPr>
            <w:r>
              <w:t xml:space="preserve">12</w:t>
            </w:r>
          </w:p>
        </w:tc>
        <w:tc>
          <w:tcPr/>
          <w:p>
            <w:pPr>
              <w:pStyle w:val="Compact"/>
              <w:jc w:val="left"/>
            </w:pPr>
            <w:r>
              <w:t xml:space="preserve">Lian</w:t>
            </w:r>
            <w:r>
              <w:t xml:space="preserve"> </w:t>
            </w:r>
            <w:r>
              <w:rPr>
                <w:iCs/>
                <w:i/>
              </w:rPr>
              <w:t xml:space="preserve">et al</w:t>
            </w:r>
            <w:r>
              <w:t xml:space="preserve"> </w:t>
            </w:r>
            <w:r>
              <w:t xml:space="preserve">(in preparation)</w:t>
            </w:r>
          </w:p>
        </w:tc>
      </w:tr>
    </w:tbl>
    <w:p>
      <w:pPr>
        <w:pStyle w:val="Brdtekst"/>
      </w:pPr>
      <w:r>
        <w:t xml:space="preserve">The benjamin and hochberg method</w:t>
      </w:r>
      <w:r>
        <w:t xml:space="preserve"> </w:t>
      </w:r>
      <w:r>
        <w:t xml:space="preserve">Benjamini and Hochberg (1995)</w:t>
      </w:r>
      <w:r>
        <w:t xml:space="preserve"> </w:t>
      </w:r>
      <w:r>
        <w:t xml:space="preserve">was used to control for false discovery rates</w:t>
      </w:r>
    </w:p>
    <w:bookmarkEnd w:id="23"/>
    <w:bookmarkStart w:id="27" w:name="methodology"/>
    <w:p>
      <w:pPr>
        <w:pStyle w:val="Overskrift3"/>
      </w:pPr>
      <w:r>
        <w:t xml:space="preserve">Methodology</w:t>
      </w:r>
    </w:p>
    <w:bookmarkStart w:id="24" w:name="rna-sequence-data-processing"/>
    <w:p>
      <w:pPr>
        <w:pStyle w:val="Overskrift4"/>
      </w:pPr>
      <w:r>
        <w:t xml:space="preserve">RNA sequence data processing</w:t>
      </w:r>
    </w:p>
    <w:p>
      <w:pPr>
        <w:pStyle w:val="FirstParagraph"/>
      </w:pPr>
      <w:r>
        <w:t xml:space="preserve">The quality of the reads were checked using FASTQC(v0.11.9). Using STAR (2.7.9a) the reads were mapped to the human reference genome (GRCh38, gencode v47 primary annotaion ) using the 2-pass alignment method described by</w:t>
      </w:r>
      <w:r>
        <w:t xml:space="preserve"> </w:t>
      </w:r>
      <w:r>
        <w:t xml:space="preserve">(Veeneman et al., 2016)</w:t>
      </w:r>
      <w:r>
        <w:t xml:space="preserve">. This method is said to advance the quantification and discovery of splicing events. RSEM (1.3.3)</w:t>
      </w:r>
      <w:r>
        <w:t xml:space="preserve"> </w:t>
      </w:r>
      <w:r>
        <w:t xml:space="preserve">(Li and Dewey, 2011)</w:t>
      </w:r>
      <w:r>
        <w:t xml:space="preserve"> </w:t>
      </w:r>
      <w:r>
        <w:t xml:space="preserve">was used to quantify transcript and gene level expressions while SpliceQ</w:t>
      </w:r>
      <w:r>
        <w:t xml:space="preserve"> </w:t>
      </w:r>
      <w:r>
        <w:t xml:space="preserve">Melo Costa et al. (2021)</w:t>
      </w:r>
      <w:r>
        <w:t xml:space="preserve"> </w:t>
      </w:r>
      <w:r>
        <w:t xml:space="preserve">was used to quantify splicing efficiency.</w:t>
      </w:r>
    </w:p>
    <w:bookmarkEnd w:id="24"/>
    <w:bookmarkStart w:id="25" w:name="splicing-data-analyses-on-baseline-data"/>
    <w:p>
      <w:pPr>
        <w:pStyle w:val="Overskrift4"/>
      </w:pPr>
      <w:r>
        <w:t xml:space="preserve">Splicing data analyses on baseline data</w:t>
      </w:r>
    </w:p>
    <w:p>
      <w:pPr>
        <w:pStyle w:val="FirstParagraph"/>
      </w:pPr>
      <w:r>
        <w:t xml:space="preserve">Figure 1 shows the distribution of the baseline data by age_group, sex and study.Using baseline data alone, we sought to identify differentially spliced introns by age, sex and age group. For this, we built two generalized linear mixed beta regression models. One captured age as a continuous variable and analysed the interaction between age and sex as fixed effects, while study and participant were used as random effect having individual intercepts</w:t>
      </w:r>
    </w:p>
    <w:p>
      <w:pPr>
        <w:pStyle w:val="Brdtekst"/>
      </w:pPr>
      <w:r>
        <w:t xml:space="preserve">The second model, used age as a categorical variable where the participants were grouped into several age ranges as shown in the table below. Similar to the first model, the interaction of age_group and sex was used as fixed effects,</w:t>
      </w:r>
    </w:p>
    <w:p>
      <w:pPr>
        <w:pStyle w:val="Brdtekst"/>
      </w:pPr>
      <w:r>
        <w:t xml:space="preserve">The differentially spliced introns were defined as those with p values at or below 0.05 and log2Fc of above 0.5.</w:t>
      </w:r>
    </w:p>
    <w:p>
      <w:pPr>
        <w:pStyle w:val="Brdtekst"/>
      </w:pPr>
      <w:r>
        <w:t xml:space="preserve">As recommended by</w:t>
      </w:r>
      <w:r>
        <w:t xml:space="preserve"> </w:t>
      </w:r>
      <w:r>
        <w:t xml:space="preserve">(</w:t>
      </w:r>
      <w:r>
        <w:rPr>
          <w:bCs/>
          <w:b/>
        </w:rPr>
        <w:t xml:space="preserve">zhao2020?</w:t>
      </w:r>
      <w:r>
        <w:t xml:space="preserve">)</w:t>
      </w:r>
      <w:r>
        <w:t xml:space="preserve"> </w:t>
      </w:r>
      <w:r>
        <w:t xml:space="preserve">in scenerios where multiple datasets are combined, we used the class-specific strategy of quantile normalization to normalize the gene expression data.</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Age range</w:t>
            </w:r>
          </w:p>
        </w:tc>
        <w:tc>
          <w:tcPr/>
          <w:p>
            <w:pPr>
              <w:pStyle w:val="Compact"/>
              <w:jc w:val="left"/>
            </w:pPr>
            <w:r>
              <w:t xml:space="preserve">Name in dataset</w:t>
            </w:r>
          </w:p>
        </w:tc>
      </w:tr>
      <w:tr>
        <w:tc>
          <w:tcPr/>
          <w:p>
            <w:pPr>
              <w:pStyle w:val="Compact"/>
              <w:jc w:val="left"/>
            </w:pPr>
            <w:r>
              <w:t xml:space="preserve">20 and below</w:t>
            </w:r>
          </w:p>
        </w:tc>
        <w:tc>
          <w:tcPr/>
          <w:p>
            <w:pPr>
              <w:pStyle w:val="Compact"/>
              <w:jc w:val="left"/>
            </w:pPr>
            <w:r>
              <w:t xml:space="preserve">&lt;=20</w:t>
            </w:r>
          </w:p>
        </w:tc>
      </w:tr>
      <w:tr>
        <w:tc>
          <w:tcPr/>
          <w:p>
            <w:pPr>
              <w:pStyle w:val="Compact"/>
              <w:jc w:val="left"/>
            </w:pPr>
            <w:r>
              <w:t xml:space="preserve">21 to 30</w:t>
            </w:r>
          </w:p>
        </w:tc>
        <w:tc>
          <w:tcPr/>
          <w:p>
            <w:pPr>
              <w:pStyle w:val="Compact"/>
              <w:jc w:val="left"/>
            </w:pPr>
            <w:r>
              <w:t xml:space="preserve">&gt;20 &amp; &lt;=30</w:t>
            </w:r>
          </w:p>
        </w:tc>
      </w:tr>
      <w:tr>
        <w:tc>
          <w:tcPr/>
          <w:p>
            <w:pPr>
              <w:pStyle w:val="Compact"/>
              <w:jc w:val="left"/>
            </w:pPr>
            <w:r>
              <w:t xml:space="preserve">31 to 40</w:t>
            </w:r>
          </w:p>
        </w:tc>
        <w:tc>
          <w:tcPr/>
          <w:p>
            <w:pPr>
              <w:pStyle w:val="Compact"/>
              <w:jc w:val="left"/>
            </w:pPr>
            <w:r>
              <w:t xml:space="preserve">&gt;30 &amp; &lt;= 40</w:t>
            </w:r>
          </w:p>
        </w:tc>
      </w:tr>
      <w:tr>
        <w:tc>
          <w:tcPr/>
          <w:p>
            <w:pPr>
              <w:pStyle w:val="Compact"/>
              <w:jc w:val="left"/>
            </w:pPr>
            <w:r>
              <w:t xml:space="preserve">41 to 50</w:t>
            </w:r>
          </w:p>
        </w:tc>
        <w:tc>
          <w:tcPr/>
          <w:p>
            <w:pPr>
              <w:pStyle w:val="Compact"/>
              <w:jc w:val="left"/>
            </w:pPr>
            <w:r>
              <w:t xml:space="preserve">&gt;40 &amp; &lt;= 50</w:t>
            </w:r>
          </w:p>
        </w:tc>
      </w:tr>
      <w:tr>
        <w:tc>
          <w:tcPr/>
          <w:p>
            <w:pPr>
              <w:pStyle w:val="Compact"/>
              <w:jc w:val="left"/>
            </w:pPr>
            <w:r>
              <w:t xml:space="preserve">51 to 60</w:t>
            </w:r>
          </w:p>
        </w:tc>
        <w:tc>
          <w:tcPr/>
          <w:p>
            <w:pPr>
              <w:pStyle w:val="Compact"/>
              <w:jc w:val="left"/>
            </w:pPr>
            <w:r>
              <w:t xml:space="preserve">&gt;50 &amp; &lt;= 60</w:t>
            </w:r>
          </w:p>
        </w:tc>
      </w:tr>
      <w:tr>
        <w:tc>
          <w:tcPr/>
          <w:p>
            <w:pPr>
              <w:pStyle w:val="Compact"/>
              <w:jc w:val="left"/>
            </w:pPr>
            <w:r>
              <w:t xml:space="preserve">61 to 70</w:t>
            </w:r>
          </w:p>
        </w:tc>
        <w:tc>
          <w:tcPr/>
          <w:p>
            <w:pPr>
              <w:pStyle w:val="Compact"/>
              <w:jc w:val="left"/>
            </w:pPr>
            <w:r>
              <w:t xml:space="preserve">&gt;60 &amp; &lt;=70</w:t>
            </w:r>
          </w:p>
        </w:tc>
      </w:tr>
      <w:tr>
        <w:tc>
          <w:tcPr/>
          <w:p>
            <w:pPr>
              <w:pStyle w:val="Compact"/>
              <w:jc w:val="left"/>
            </w:pPr>
            <w:r>
              <w:t xml:space="preserve">Above 71</w:t>
            </w:r>
          </w:p>
        </w:tc>
        <w:tc>
          <w:tcPr/>
          <w:p>
            <w:pPr>
              <w:pStyle w:val="Compact"/>
              <w:jc w:val="left"/>
            </w:pPr>
            <w:r>
              <w:t xml:space="preserve">&gt;71</w:t>
            </w:r>
          </w:p>
        </w:tc>
      </w:tr>
    </w:tbl>
    <w:bookmarkEnd w:id="25"/>
    <w:bookmarkStart w:id="26" w:name="X66a4a969b062cb694a25fdadafabec3c72ea90f"/>
    <w:p>
      <w:pPr>
        <w:pStyle w:val="Overskrift4"/>
      </w:pPr>
      <w:r>
        <w:t xml:space="preserve">Exploration of the effects of RT on intron retention</w:t>
      </w:r>
    </w:p>
    <w:p>
      <w:pPr>
        <w:pStyle w:val="FirstParagraph"/>
      </w:pPr>
      <w:r>
        <w:t xml:space="preserve">First, we analysed the effect of RT on the differentially spliced introns at baseline, using RT as a fixed effect while study and participants were random effects each having individual intercepts.</w:t>
      </w:r>
    </w:p>
    <w:p>
      <w:pPr>
        <w:pStyle w:val="Brdtekst"/>
      </w:pPr>
      <w:r>
        <w:t xml:space="preserve">The full dataset was filtered to select only introns measured across all samples. A model was built using generalized linear mixed beta regression model using the interaction between age group, RT and sex as fixed effects, while study and participant were used as random effect having individual intercepts.</w:t>
      </w:r>
    </w:p>
    <w:p>
      <w:pPr>
        <w:pStyle w:val="Brdtekst"/>
      </w:pPr>
      <w:r>
        <w:t xml:space="preserve">The interaction effects were filtered as well as the effect of RT.</w:t>
      </w:r>
    </w:p>
    <w:p>
      <w:pPr>
        <w:pStyle w:val="Brdtekst"/>
      </w:pPr>
      <w:r>
        <w:t xml:space="preserve">The characteristics of the genes containing the differntially spliced introns were explored. This included their lengths and gene ontology</w:t>
      </w:r>
    </w:p>
    <w:bookmarkEnd w:id="26"/>
    <w:bookmarkEnd w:id="27"/>
    <w:bookmarkEnd w:id="28"/>
    <w:bookmarkStart w:id="119" w:name="results"/>
    <w:p>
      <w:pPr>
        <w:pStyle w:val="Overskrift1"/>
      </w:pPr>
      <w:r>
        <w:t xml:space="preserve">Results</w:t>
      </w:r>
    </w:p>
    <w:bookmarkStart w:id="29" w:name="Xf948580f60e21a570c0cdbc39446b31006c82c8"/>
    <w:p>
      <w:pPr>
        <w:pStyle w:val="Overskrift4"/>
      </w:pPr>
      <w:r>
        <w:t xml:space="preserve">Identification of introns with characteristically low or high splicing efficiency</w:t>
      </w:r>
    </w:p>
    <w:p>
      <w:pPr>
        <w:pStyle w:val="FirstParagraph"/>
      </w:pPr>
      <w:r>
        <w:t xml:space="preserve">To identify introns with characteristically low splicing efficiency , we filtered the dataset for introns whose splicing efficiency across all 378 pre-exercise samples have a maximum total splicing efficiency of 0.2 . Six introns belonging to six different transcripts were shown to be completely retained in almost all sample, with maximum splicing efficiency in any sample being 0.2. That is to say, over 80% of the six introns were retained across all samples. The introns are as shown in</w:t>
      </w:r>
      <w:r>
        <w:t xml:space="preserve"> </w:t>
      </w:r>
      <w:r>
        <w:rPr>
          <w:bCs/>
          <w:b/>
        </w:rPr>
        <w:t xml:space="preserve">Table 2</w:t>
      </w:r>
      <w:r>
        <w:t xml:space="preserve"> </w:t>
      </w:r>
      <w:r>
        <w:t xml:space="preserve">and the gene ontology of the genes containing the introns are as sown in</w:t>
      </w:r>
      <w:r>
        <w:t xml:space="preserve"> </w:t>
      </w:r>
      <w:r>
        <w:rPr>
          <w:bCs/>
          <w:b/>
        </w:rPr>
        <w:t xml:space="preserve">Figure 2.</w:t>
      </w:r>
      <w:r>
        <w:t xml:space="preserve"> </w:t>
      </w:r>
      <w:r>
        <w:t xml:space="preserve">investigating the poorly spliced introns across age groups returned the same 6 introns. There were no group-specific complete intron retention.</w:t>
      </w:r>
    </w:p>
    <w:p>
      <w:pPr>
        <w:pStyle w:val="Brdtekst"/>
      </w:pPr>
      <w:r>
        <w:t xml:space="preserve">331 introns of 255 genes were perfectly spliced across all datasets. The GO analyses of their biological processes reveal that they are physiologically relevent to the skeletal muscle. The results suggest that the different age groups responded differently to RT, with the most diverse result obtained from those above 70, and those between 20 to 30</w:t>
      </w:r>
    </w:p>
    <w:p>
      <w:pPr>
        <w:pStyle w:val="Brdtekst"/>
      </w:pPr>
      <w:r>
        <w:t xml:space="preserve">there was</w:t>
      </w:r>
    </w:p>
    <w:p>
      <w:pPr>
        <w:pStyle w:val="Brdtekst"/>
      </w:pPr>
      <w:r>
        <w:t xml:space="preserve">At baseline, the splicing efficiency of 25589 introns were captured across all the 378 samples in the data. Of the 25589 introns at baseline, 1022 introns from 925 transcripts were differentially spliced. At the gene level, these corresponded to 132 genes. We explored</w:t>
      </w:r>
    </w:p>
    <w:p>
      <w:pPr>
        <w:pStyle w:val="Brdtekst"/>
      </w:pPr>
      <w:r>
        <w:t xml:space="preserve">When both post and preexercise data were included, 8906 introns were captured across all datasets</w:t>
      </w:r>
    </w:p>
    <w:p>
      <w:pPr>
        <w:pStyle w:val="Brdtekst"/>
      </w:pPr>
      <w:r>
        <w:t xml:space="preserve">We measured intron retention as splicing efficiency using SpliceQ</w:t>
      </w:r>
      <w:r>
        <w:t xml:space="preserve"> </w:t>
      </w:r>
      <w:r>
        <w:t xml:space="preserve">(</w:t>
      </w:r>
      <w:r>
        <w:rPr>
          <w:bCs/>
          <w:b/>
        </w:rPr>
        <w:t xml:space="preserve">demelocosta2021?</w:t>
      </w:r>
      <w:r>
        <w:t xml:space="preserve">)</w:t>
      </w:r>
      <w:r>
        <w:t xml:space="preserve">. mis-splicing occurs more in non-protein coding genes than in protein-coding genes</w:t>
      </w:r>
      <w:r>
        <w:t xml:space="preserve"> </w:t>
      </w:r>
      <w:r>
        <w:t xml:space="preserve">García-Ruiz et al. (2023)</w:t>
      </w:r>
      <w:r>
        <w:t xml:space="preserve">, this disagrees with the results we obtained . We however take cognisance of the limitations in RNA-Seq’s reported ability to correctly quantify non-coding RNAs</w:t>
      </w:r>
      <w:r>
        <w:t xml:space="preserve"> </w:t>
      </w:r>
      <w:r>
        <w:t xml:space="preserve">Stokes et al. (2023)</w:t>
      </w:r>
      <w:r>
        <w:t xml:space="preserve">.</w:t>
      </w:r>
    </w:p>
    <w:bookmarkEnd w:id="29"/>
    <w:bookmarkStart w:id="30" w:name="Xc77112a0dba8f4e338bba3932d25e9daa7feb38"/>
    <w:p>
      <w:pPr>
        <w:pStyle w:val="Overskrift3"/>
      </w:pPr>
      <w:r>
        <w:t xml:space="preserve">Differentially spliced introns at baseline</w:t>
      </w:r>
    </w:p>
    <w:p>
      <w:pPr>
        <w:pStyle w:val="FirstParagraph"/>
      </w:pPr>
      <w:r>
        <w:t xml:space="preserve">1022 introns were differentially spliced at baseline, based on age. OF which 718 has negative estimates while 304 had positive estimates . Gene ontology analyses reveal that the introns that tend to get poorly spliced with age tend to be related to skeletal muscle processes.</w:t>
      </w:r>
    </w:p>
    <w:p>
      <w:pPr>
        <w:pStyle w:val="Brdtekst"/>
      </w:pPr>
      <w:r>
        <w:t xml:space="preserve">Saudemont et al. (2017)</w:t>
      </w:r>
      <w:r>
        <w:t xml:space="preserve"> </w:t>
      </w:r>
      <w:r>
        <w:t xml:space="preserve">stipulated a mutation-selection-drift theory that suggests shorter, intron-poor and lowly expressed genes show a poorer splicing efficiency</w:t>
      </w:r>
    </w:p>
    <w:p>
      <w:pPr>
        <w:pStyle w:val="Brdtekst"/>
      </w:pPr>
      <w:r>
        <w:t xml:space="preserve">There appears to be a progressive decrease in Splicing efficiency from young to middle aged, and then old</w:t>
      </w:r>
    </w:p>
    <w:p>
      <w:pPr>
        <w:pStyle w:val="Brdtekst"/>
      </w:pPr>
      <w:r>
        <w:t xml:space="preserve">detect differentially spliced introns between young and old participants, At baseline, using the filter characteristics of adjusted p.values =&lt; 0.05, only age had differentially spliced introns, sex and interaction between sex and age showed no ds introns. age alone revealed 1786 out of 18541 introns were differentially spliced between old and young participants. When this data was further queried to detected those with absolute log2fc of 1, it showed that 511 were significantly spliced differently between old and young participants. 3 introns were differentially sploiced by sex</w:t>
      </w:r>
    </w:p>
    <w:p>
      <w:pPr>
        <w:pStyle w:val="Brdtekst"/>
      </w:pPr>
      <w:r>
        <w:t xml:space="preserve">Seven introns were shown to be differentially expressed by age when used as a continous variable</w:t>
      </w:r>
    </w:p>
    <w:p>
      <w:pPr>
        <w:pStyle w:val="Brdtekst"/>
      </w:pPr>
      <w:r>
        <w:t xml:space="preserve">Of the 1693 ds introns captured in the full dataset, 135 were changed postexercise. Based on the Estimate values, they were all improvements</w:t>
      </w:r>
    </w:p>
    <w:bookmarkEnd w:id="30"/>
    <w:bookmarkStart w:id="118" w:name="discussion"/>
    <w:p>
      <w:pPr>
        <w:pStyle w:val="Overskrift2"/>
      </w:pPr>
      <w:r>
        <w:t xml:space="preserve">Discussion</w:t>
      </w:r>
    </w:p>
    <w:p>
      <w:pPr>
        <w:pStyle w:val="FirstParagraph"/>
      </w:pPr>
      <w:r>
        <w:t xml:space="preserve">splicing efficiency improves with increased expression level of genes</w:t>
      </w:r>
      <w:r>
        <w:t xml:space="preserve"> </w:t>
      </w:r>
      <w:r>
        <w:t xml:space="preserve">(Saudemont et al., 2017)</w:t>
      </w:r>
      <w:r>
        <w:t xml:space="preserve"> </w:t>
      </w:r>
      <w:r>
        <w:t xml:space="preserve">and with longer genes which tend to agree that intron retention in normal circumstances are part of posttranscriptional regulation. IR reduces the expression of physiologically less relevant genes in a particular cell or tissue</w:t>
      </w:r>
      <w:r>
        <w:t xml:space="preserve"> </w:t>
      </w:r>
      <w:r>
        <w:t xml:space="preserve">Braunschweig et al. (2014)</w:t>
      </w:r>
      <w:r>
        <w:t xml:space="preserve"> </w:t>
      </w:r>
      <w:r>
        <w:t xml:space="preserve">. Poor splicing efficiency of physiologically relevant genes can be deleterious thus its prevalence in less relevant genes are considered a mechanism with which gene expression is regulated.</w:t>
      </w:r>
    </w:p>
    <w:p>
      <w:pPr>
        <w:pStyle w:val="Brdtekst"/>
      </w:pPr>
      <w:r>
        <w:t xml:space="preserve">This data suggests that SE is more efficient</w:t>
      </w:r>
    </w:p>
    <w:p>
      <w:pPr>
        <w:pStyle w:val="Brdtekst"/>
      </w:pPr>
      <w:r>
        <w:t xml:space="preserve">IR is a physiological mechanism that controls gene expression</w:t>
      </w:r>
      <w:r>
        <w:t xml:space="preserve"> </w:t>
      </w:r>
      <w:r>
        <w:t xml:space="preserve">(Wong et al., 2016 ; Schmitz et al., 2017 )</w:t>
      </w:r>
      <w:r>
        <w:t xml:space="preserve"> </w:t>
      </w:r>
      <w:r>
        <w:t xml:space="preserve">increase in IR is a signature of the aging process</w:t>
      </w:r>
      <w:r>
        <w:t xml:space="preserve"> </w:t>
      </w:r>
      <w:r>
        <w:t xml:space="preserve">Bhadra et al. (2020)</w:t>
      </w:r>
    </w:p>
    <w:p>
      <w:pPr>
        <w:pStyle w:val="Brdtekst"/>
      </w:pPr>
      <w:r>
        <w:t xml:space="preserve">Tissues and organs are altered differently by aging and aging-related processes</w:t>
      </w:r>
      <w:r>
        <w:t xml:space="preserve"> </w:t>
      </w:r>
      <w:r>
        <w:t xml:space="preserve">Baralle and Romano (2023)</w:t>
      </w:r>
      <w:r>
        <w:t xml:space="preserve"> </w:t>
      </w:r>
      <w:r>
        <w:t xml:space="preserve">.</w:t>
      </w:r>
    </w:p>
    <w:p>
      <w:pPr>
        <w:pStyle w:val="Brdtekst"/>
      </w:pPr>
      <w:r>
        <w:t xml:space="preserve">Saudemont et al. (2017)</w:t>
      </w:r>
      <w:r>
        <w:t xml:space="preserve"> </w:t>
      </w:r>
      <w:r>
        <w:t xml:space="preserve">suggest a correlation between physiologic relevance, gene length and splicing efficiency. The generated data agrees with that as the introns poorly spliced across all samples were associated with biological processes of less relevance to the skeletal muscle when compared to those in the perfectly spliced introns. The gene ontology of the genes contaning the poorly spliced introns, and those containing the perfectly spliced introns</w:t>
      </w:r>
    </w:p>
    <w:bookmarkStart w:id="117" w:name="shortcoming"/>
    <w:p>
      <w:pPr>
        <w:pStyle w:val="Overskrift3"/>
      </w:pPr>
      <w:r>
        <w:t xml:space="preserve">Shortcoming</w:t>
      </w:r>
    </w:p>
    <w:p>
      <w:pPr>
        <w:pStyle w:val="FirstParagraph"/>
      </w:pPr>
      <w:r>
        <w:t xml:space="preserve">This study did not group RT into conditions of volume of exercise done. The benefits of RT are known to be volume-dependent and the 4 studies involved varying RT conditions</w:t>
      </w:r>
    </w:p>
    <w:bookmarkStart w:id="116" w:name="refs"/>
    <w:bookmarkStart w:id="32" w:name="ref-adusumalli_increased_2019"/>
    <w:p>
      <w:pPr>
        <w:pStyle w:val="Bibliography"/>
      </w:pPr>
      <w:r>
        <w:rPr>
          <w:bCs/>
          <w:b/>
        </w:rPr>
        <w:t xml:space="preserve">Adusumalli, S., Ngian, Z.-K., Lin, W.-Q., Benoukraf, T. and Ong, C.-T.</w:t>
      </w:r>
      <w:r>
        <w:t xml:space="preserve"> </w:t>
      </w:r>
      <w:r>
        <w:t xml:space="preserve">(2019).</w:t>
      </w:r>
      <w:r>
        <w:t xml:space="preserve"> </w:t>
      </w:r>
      <w:hyperlink r:id="rId31">
        <w:r>
          <w:rPr>
            <w:rStyle w:val="Hyperlink"/>
          </w:rPr>
          <w:t xml:space="preserve">Increased intron retention is a post-transcriptional signature associated with progressive aging and alzheimer’s disease.</w:t>
        </w:r>
      </w:hyperlink>
      <w:r>
        <w:t xml:space="preserve"> </w:t>
      </w:r>
      <w:r>
        <w:rPr>
          <w:iCs/>
          <w:i/>
        </w:rPr>
        <w:t xml:space="preserve">Aging Cell</w:t>
      </w:r>
      <w:r>
        <w:t xml:space="preserve"> </w:t>
      </w:r>
      <w:r>
        <w:rPr>
          <w:bCs/>
          <w:b/>
        </w:rPr>
        <w:t xml:space="preserve">18</w:t>
      </w:r>
      <w:r>
        <w:t xml:space="preserve">, e12928.</w:t>
      </w:r>
    </w:p>
    <w:bookmarkEnd w:id="32"/>
    <w:bookmarkStart w:id="33" w:name="ref-angarola_splicing_2021"/>
    <w:p>
      <w:pPr>
        <w:pStyle w:val="Bibliography"/>
      </w:pPr>
      <w:r>
        <w:rPr>
          <w:bCs/>
          <w:b/>
        </w:rPr>
        <w:t xml:space="preserve">Angarola, B. L. and Anczuków, O.</w:t>
      </w:r>
      <w:r>
        <w:t xml:space="preserve"> </w:t>
      </w:r>
      <w:r>
        <w:t xml:space="preserve">(2021). Splicing alterations in healthy aging and disease.</w:t>
      </w:r>
      <w:r>
        <w:t xml:space="preserve"> </w:t>
      </w:r>
      <w:r>
        <w:rPr>
          <w:iCs/>
          <w:i/>
        </w:rPr>
        <w:t xml:space="preserve">Wiley Interdisciplinary Reviews:</w:t>
      </w:r>
      <w:r>
        <w:rPr>
          <w:iCs/>
          <w:i/>
        </w:rPr>
        <w:t xml:space="preserve"> </w:t>
      </w:r>
      <w:r>
        <w:rPr>
          <w:iCs/>
          <w:i/>
        </w:rPr>
        <w:t xml:space="preserve">RNA</w:t>
      </w:r>
      <w:r>
        <w:t xml:space="preserve"> </w:t>
      </w:r>
      <w:r>
        <w:rPr>
          <w:bCs/>
          <w:b/>
        </w:rPr>
        <w:t xml:space="preserve">12</w:t>
      </w:r>
      <w:r>
        <w:t xml:space="preserve">, e1643.</w:t>
      </w:r>
    </w:p>
    <w:bookmarkEnd w:id="33"/>
    <w:bookmarkStart w:id="35" w:name="ref-baralle_age-related_2023"/>
    <w:p>
      <w:pPr>
        <w:pStyle w:val="Bibliography"/>
      </w:pPr>
      <w:r>
        <w:rPr>
          <w:bCs/>
          <w:b/>
        </w:rPr>
        <w:t xml:space="preserve">Baralle, M. and Romano, M.</w:t>
      </w:r>
      <w:r>
        <w:t xml:space="preserve"> </w:t>
      </w:r>
      <w:r>
        <w:t xml:space="preserve">(2023).</w:t>
      </w:r>
      <w:r>
        <w:t xml:space="preserve"> </w:t>
      </w:r>
      <w:hyperlink r:id="rId34">
        <w:r>
          <w:rPr>
            <w:rStyle w:val="Hyperlink"/>
          </w:rPr>
          <w:t xml:space="preserve">Age-related alternative splicing: Driver or passenger in the aging process?</w:t>
        </w:r>
      </w:hyperlink>
      <w:r>
        <w:t xml:space="preserve"> </w:t>
      </w:r>
      <w:r>
        <w:rPr>
          <w:iCs/>
          <w:i/>
        </w:rPr>
        <w:t xml:space="preserve">Cells</w:t>
      </w:r>
      <w:r>
        <w:t xml:space="preserve"> </w:t>
      </w:r>
      <w:r>
        <w:rPr>
          <w:bCs/>
          <w:b/>
        </w:rPr>
        <w:t xml:space="preserve">12</w:t>
      </w:r>
      <w:r>
        <w:t xml:space="preserve">,.</w:t>
      </w:r>
    </w:p>
    <w:bookmarkEnd w:id="35"/>
    <w:bookmarkStart w:id="36" w:name="ref-benjamini_controlling_1995"/>
    <w:p>
      <w:pPr>
        <w:pStyle w:val="Bibliography"/>
      </w:pPr>
      <w:r>
        <w:rPr>
          <w:bCs/>
          <w:b/>
        </w:rPr>
        <w:t xml:space="preserve">Benjamini, Y. and Hochberg, Y.</w:t>
      </w:r>
      <w:r>
        <w:t xml:space="preserve"> </w:t>
      </w:r>
      <w:r>
        <w:t xml:space="preserve">(1995). Controlling the false discovery rate: A practical and powerful approach to multiple testing.</w:t>
      </w:r>
      <w:r>
        <w:t xml:space="preserve"> </w:t>
      </w:r>
      <w:r>
        <w:rPr>
          <w:iCs/>
          <w:i/>
        </w:rPr>
        <w:t xml:space="preserve">Journal of the Royal statistical society: series B (Methodological)</w:t>
      </w:r>
      <w:r>
        <w:t xml:space="preserve"> </w:t>
      </w:r>
      <w:r>
        <w:rPr>
          <w:bCs/>
          <w:b/>
        </w:rPr>
        <w:t xml:space="preserve">57</w:t>
      </w:r>
      <w:r>
        <w:t xml:space="preserve">, 289–300.</w:t>
      </w:r>
    </w:p>
    <w:bookmarkEnd w:id="36"/>
    <w:bookmarkStart w:id="37" w:name="ref-bhadra_alternative_2020"/>
    <w:p>
      <w:pPr>
        <w:pStyle w:val="Bibliography"/>
      </w:pPr>
      <w:r>
        <w:rPr>
          <w:bCs/>
          <w:b/>
        </w:rPr>
        <w:t xml:space="preserve">Bhadra, M., Howell, P., Dutta, S., Heintz, C. and Mair, W. B.</w:t>
      </w:r>
      <w:r>
        <w:t xml:space="preserve"> </w:t>
      </w:r>
      <w:r>
        <w:t xml:space="preserve">(2020). Alternative splicing in aging and longevity.</w:t>
      </w:r>
      <w:r>
        <w:t xml:space="preserve"> </w:t>
      </w:r>
      <w:r>
        <w:rPr>
          <w:iCs/>
          <w:i/>
        </w:rPr>
        <w:t xml:space="preserve">Human genetics</w:t>
      </w:r>
      <w:r>
        <w:t xml:space="preserve"> </w:t>
      </w:r>
      <w:r>
        <w:rPr>
          <w:bCs/>
          <w:b/>
        </w:rPr>
        <w:t xml:space="preserve">139</w:t>
      </w:r>
      <w:r>
        <w:t xml:space="preserve">, 357–369.</w:t>
      </w:r>
    </w:p>
    <w:bookmarkEnd w:id="37"/>
    <w:bookmarkStart w:id="39" w:name="ref-braunschweig_widespread_2014"/>
    <w:p>
      <w:pPr>
        <w:pStyle w:val="Bibliography"/>
      </w:pPr>
      <w:r>
        <w:rPr>
          <w:bCs/>
          <w:b/>
        </w:rPr>
        <w:t xml:space="preserve">Braunschweig, U., Barbosa-Morais, N. L., Pan, Q., Nachman, E. N., Alipanahi, B., Gonatopoulos-Pournatzis, T., Frey, B., Irimia, M. and Blencowe, B. J.</w:t>
      </w:r>
      <w:r>
        <w:t xml:space="preserve"> </w:t>
      </w:r>
      <w:r>
        <w:t xml:space="preserve">(2014).</w:t>
      </w:r>
      <w:r>
        <w:t xml:space="preserve"> </w:t>
      </w:r>
      <w:hyperlink r:id="rId38">
        <w:r>
          <w:rPr>
            <w:rStyle w:val="Hyperlink"/>
          </w:rPr>
          <w:t xml:space="preserve">Widespread intron retention in mammals functionally tunes transcriptomes.</w:t>
        </w:r>
      </w:hyperlink>
      <w:r>
        <w:t xml:space="preserve"> </w:t>
      </w:r>
      <w:r>
        <w:rPr>
          <w:iCs/>
          <w:i/>
        </w:rPr>
        <w:t xml:space="preserve">Genome Res</w:t>
      </w:r>
      <w:r>
        <w:t xml:space="preserve"> </w:t>
      </w:r>
      <w:r>
        <w:rPr>
          <w:bCs/>
          <w:b/>
        </w:rPr>
        <w:t xml:space="preserve">24</w:t>
      </w:r>
      <w:r>
        <w:t xml:space="preserve">, 1774–1786.</w:t>
      </w:r>
    </w:p>
    <w:bookmarkEnd w:id="39"/>
    <w:bookmarkStart w:id="40" w:name="ref-dvinge_widespread_2015"/>
    <w:p>
      <w:pPr>
        <w:pStyle w:val="Bibliography"/>
      </w:pPr>
      <w:r>
        <w:rPr>
          <w:bCs/>
          <w:b/>
        </w:rPr>
        <w:t xml:space="preserve">Dvinge, H. and Bradley, R. K.</w:t>
      </w:r>
      <w:r>
        <w:t xml:space="preserve"> </w:t>
      </w:r>
      <w:r>
        <w:t xml:space="preserve">(2015). Widespread intron retention diversifies most cancer transcriptomes.</w:t>
      </w:r>
      <w:r>
        <w:t xml:space="preserve"> </w:t>
      </w:r>
      <w:r>
        <w:rPr>
          <w:iCs/>
          <w:i/>
        </w:rPr>
        <w:t xml:space="preserve">Genome medicine</w:t>
      </w:r>
      <w:r>
        <w:t xml:space="preserve"> </w:t>
      </w:r>
      <w:r>
        <w:rPr>
          <w:bCs/>
          <w:b/>
        </w:rPr>
        <w:t xml:space="preserve">7</w:t>
      </w:r>
      <w:r>
        <w:t xml:space="preserve">, 1–13.</w:t>
      </w:r>
    </w:p>
    <w:bookmarkEnd w:id="40"/>
    <w:bookmarkStart w:id="42" w:name="ref-ferrucci_energysplicing_2022"/>
    <w:p>
      <w:pPr>
        <w:pStyle w:val="Bibliography"/>
      </w:pPr>
      <w:r>
        <w:rPr>
          <w:bCs/>
          <w:b/>
        </w:rPr>
        <w:t xml:space="preserve">Ferrucci, L., Wilson, D. M., Donegà, S. and Gorospe, M.</w:t>
      </w:r>
      <w:r>
        <w:t xml:space="preserve"> </w:t>
      </w:r>
      <w:r>
        <w:t xml:space="preserve">(2022).</w:t>
      </w:r>
      <w:r>
        <w:t xml:space="preserve"> </w:t>
      </w:r>
      <w:hyperlink r:id="rId41">
        <w:r>
          <w:rPr>
            <w:rStyle w:val="Hyperlink"/>
          </w:rPr>
          <w:t xml:space="preserve">The energy–splicing resilience axis hypothesis of aging</w:t>
        </w:r>
      </w:hyperlink>
      <w:r>
        <w:t xml:space="preserve">.</w:t>
      </w:r>
      <w:r>
        <w:t xml:space="preserve"> </w:t>
      </w:r>
      <w:r>
        <w:rPr>
          <w:iCs/>
          <w:i/>
        </w:rPr>
        <w:t xml:space="preserve">Nature Aging</w:t>
      </w:r>
      <w:r>
        <w:t xml:space="preserve"> </w:t>
      </w:r>
      <w:r>
        <w:rPr>
          <w:bCs/>
          <w:b/>
        </w:rPr>
        <w:t xml:space="preserve">2</w:t>
      </w:r>
      <w:r>
        <w:t xml:space="preserve">, 182–185.</w:t>
      </w:r>
    </w:p>
    <w:bookmarkEnd w:id="42"/>
    <w:bookmarkStart w:id="44" w:name="ref-garcia-ruiz_splicing_2023"/>
    <w:p>
      <w:pPr>
        <w:pStyle w:val="Bibliography"/>
      </w:pPr>
      <w:r>
        <w:rPr>
          <w:bCs/>
          <w:b/>
        </w:rPr>
        <w:t xml:space="preserve">García-Ruiz, S., Zhang, D., Gustavsson, E. K., Rocamora-Perez, G., Grant-Peters, M., Fairbrother-Browne, A., Reynolds, R. H., Brenton, J. W., Gil-Martínez, A. L., Chen, Z., et al.</w:t>
      </w:r>
      <w:r>
        <w:t xml:space="preserve"> </w:t>
      </w:r>
      <w:r>
        <w:t xml:space="preserve">(2023).</w:t>
      </w:r>
      <w:r>
        <w:t xml:space="preserve"> </w:t>
      </w:r>
      <w:hyperlink r:id="rId43">
        <w:r>
          <w:rPr>
            <w:rStyle w:val="Hyperlink"/>
          </w:rPr>
          <w:t xml:space="preserve">Splicing accuracy varies across human introns, tissues and age.</w:t>
        </w:r>
      </w:hyperlink>
    </w:p>
    <w:bookmarkEnd w:id="44"/>
    <w:bookmarkStart w:id="45" w:name="ref-ge_functional_2014"/>
    <w:p>
      <w:pPr>
        <w:pStyle w:val="Bibliography"/>
      </w:pPr>
      <w:r>
        <w:rPr>
          <w:bCs/>
          <w:b/>
        </w:rPr>
        <w:t xml:space="preserve">Ge, Y. and Porse, B. T.</w:t>
      </w:r>
      <w:r>
        <w:t xml:space="preserve"> </w:t>
      </w:r>
      <w:r>
        <w:t xml:space="preserve">(2014). The functional consequences of intron retention: Alternative splicing coupled to</w:t>
      </w:r>
      <w:r>
        <w:t xml:space="preserve"> </w:t>
      </w:r>
      <w:r>
        <w:t xml:space="preserve">NMD</w:t>
      </w:r>
      <w:r>
        <w:t xml:space="preserve"> </w:t>
      </w:r>
      <w:r>
        <w:t xml:space="preserve">as a regulator of gene expression.</w:t>
      </w:r>
      <w:r>
        <w:t xml:space="preserve"> </w:t>
      </w:r>
      <w:r>
        <w:rPr>
          <w:iCs/>
          <w:i/>
        </w:rPr>
        <w:t xml:space="preserve">Bioessays</w:t>
      </w:r>
      <w:r>
        <w:t xml:space="preserve"> </w:t>
      </w:r>
      <w:r>
        <w:rPr>
          <w:bCs/>
          <w:b/>
        </w:rPr>
        <w:t xml:space="preserve">36</w:t>
      </w:r>
      <w:r>
        <w:t xml:space="preserve">, 236–243.</w:t>
      </w:r>
    </w:p>
    <w:bookmarkEnd w:id="45"/>
    <w:bookmarkStart w:id="47" w:name="ref-gyenis_genome-wide_2023"/>
    <w:p>
      <w:pPr>
        <w:pStyle w:val="Bibliography"/>
      </w:pPr>
      <w:r>
        <w:rPr>
          <w:bCs/>
          <w:b/>
        </w:rPr>
        <w:t xml:space="preserve">Gyenis, A., Chang, J., Demmers, J. J. P. G., Bruens, S. T., Barnhoorn, S., Brandt, R. M. C., Baar, M. P., Raseta, M., Derks, K. W. J., Hoeijmakers, J. H. J., et al.</w:t>
      </w:r>
      <w:r>
        <w:t xml:space="preserve"> </w:t>
      </w:r>
      <w:r>
        <w:t xml:space="preserve">(2023).</w:t>
      </w:r>
      <w:r>
        <w:t xml:space="preserve"> </w:t>
      </w:r>
      <w:hyperlink r:id="rId46">
        <w:r>
          <w:rPr>
            <w:rStyle w:val="Hyperlink"/>
          </w:rPr>
          <w:t xml:space="preserve">Genome-wide</w:t>
        </w:r>
        <w:r>
          <w:rPr>
            <w:rStyle w:val="Hyperlink"/>
          </w:rPr>
          <w:t xml:space="preserve"> </w:t>
        </w:r>
        <w:r>
          <w:rPr>
            <w:rStyle w:val="Hyperlink"/>
          </w:rPr>
          <w:t xml:space="preserve">RNA</w:t>
        </w:r>
        <w:r>
          <w:rPr>
            <w:rStyle w:val="Hyperlink"/>
          </w:rPr>
          <w:t xml:space="preserve"> </w:t>
        </w:r>
        <w:r>
          <w:rPr>
            <w:rStyle w:val="Hyperlink"/>
          </w:rPr>
          <w:t xml:space="preserve">polymerase stalling shapes the transcriptome during aging</w:t>
        </w:r>
      </w:hyperlink>
      <w:r>
        <w:t xml:space="preserve">.</w:t>
      </w:r>
      <w:r>
        <w:t xml:space="preserve"> </w:t>
      </w:r>
      <w:r>
        <w:rPr>
          <w:iCs/>
          <w:i/>
        </w:rPr>
        <w:t xml:space="preserve">Nature Genetics</w:t>
      </w:r>
      <w:r>
        <w:t xml:space="preserve">.</w:t>
      </w:r>
    </w:p>
    <w:bookmarkEnd w:id="47"/>
    <w:bookmarkStart w:id="48" w:name="ref-hasler_alterations_2011"/>
    <w:p>
      <w:pPr>
        <w:pStyle w:val="Bibliography"/>
      </w:pPr>
      <w:r>
        <w:rPr>
          <w:bCs/>
          <w:b/>
        </w:rPr>
        <w:t xml:space="preserve">Häsler, R., Kerick, M., Mah, N., Hultschig, C., Richter, G., Bretz, F., Sina, C., Lehrach, H., Nietfeld, W. and Schreiber, S.</w:t>
      </w:r>
      <w:r>
        <w:t xml:space="preserve"> </w:t>
      </w:r>
      <w:r>
        <w:t xml:space="preserve">(2011). Alterations of pre-</w:t>
      </w:r>
      <w:r>
        <w:t xml:space="preserve">mRNA</w:t>
      </w:r>
      <w:r>
        <w:t xml:space="preserve"> </w:t>
      </w:r>
      <w:r>
        <w:t xml:space="preserve">splicing in human inflammatory bowel disease.</w:t>
      </w:r>
      <w:r>
        <w:t xml:space="preserve"> </w:t>
      </w:r>
      <w:r>
        <w:rPr>
          <w:iCs/>
          <w:i/>
        </w:rPr>
        <w:t xml:space="preserve">European journal of cell biology</w:t>
      </w:r>
      <w:r>
        <w:t xml:space="preserve"> </w:t>
      </w:r>
      <w:r>
        <w:rPr>
          <w:bCs/>
          <w:b/>
        </w:rPr>
        <w:t xml:space="preserve">90</w:t>
      </w:r>
      <w:r>
        <w:t xml:space="preserve">, 603–611.</w:t>
      </w:r>
    </w:p>
    <w:bookmarkEnd w:id="48"/>
    <w:bookmarkStart w:id="49" w:name="ref-holly_changes_2013"/>
    <w:p>
      <w:pPr>
        <w:pStyle w:val="Bibliography"/>
      </w:pPr>
      <w:r>
        <w:rPr>
          <w:bCs/>
          <w:b/>
        </w:rPr>
        <w:t xml:space="preserve">Holly, A. C., Melzer, D., Pilling, L. C., Fellows, A. C., Tanaka, T., Ferrucci, L. and Harries, L. W.</w:t>
      </w:r>
      <w:r>
        <w:t xml:space="preserve"> </w:t>
      </w:r>
      <w:r>
        <w:t xml:space="preserve">(2013). Changes in splicing factor expression are associated with advancing age in man.</w:t>
      </w:r>
      <w:r>
        <w:t xml:space="preserve"> </w:t>
      </w:r>
      <w:r>
        <w:rPr>
          <w:iCs/>
          <w:i/>
        </w:rPr>
        <w:t xml:space="preserve">Mechanisms of ageing and development</w:t>
      </w:r>
      <w:r>
        <w:t xml:space="preserve"> </w:t>
      </w:r>
      <w:r>
        <w:rPr>
          <w:bCs/>
          <w:b/>
        </w:rPr>
        <w:t xml:space="preserve">134</w:t>
      </w:r>
      <w:r>
        <w:t xml:space="preserve">, 356–366.</w:t>
      </w:r>
    </w:p>
    <w:bookmarkEnd w:id="49"/>
    <w:bookmarkStart w:id="51" w:name="ref-inoue_minor_2021"/>
    <w:p>
      <w:pPr>
        <w:pStyle w:val="Bibliography"/>
      </w:pPr>
      <w:r>
        <w:rPr>
          <w:bCs/>
          <w:b/>
        </w:rPr>
        <w:t xml:space="preserve">Inoue, D., Polaski, J. T., Taylor, J., Castel, P., Chen, S., Kobayashi, S., Hogg, S. J., Hayashi, Y., Pineda, J. M. B., El Marabti, E., et al.</w:t>
      </w:r>
      <w:r>
        <w:t xml:space="preserve"> </w:t>
      </w:r>
      <w:r>
        <w:t xml:space="preserve">(2021).</w:t>
      </w:r>
      <w:r>
        <w:t xml:space="preserve"> </w:t>
      </w:r>
      <w:hyperlink r:id="rId50">
        <w:r>
          <w:rPr>
            <w:rStyle w:val="Hyperlink"/>
          </w:rPr>
          <w:t xml:space="preserve">Minor intron retention drives clonal hematopoietic disorders and diverse cancer predisposition</w:t>
        </w:r>
      </w:hyperlink>
      <w:r>
        <w:t xml:space="preserve">.</w:t>
      </w:r>
      <w:r>
        <w:t xml:space="preserve"> </w:t>
      </w:r>
      <w:r>
        <w:rPr>
          <w:iCs/>
          <w:i/>
        </w:rPr>
        <w:t xml:space="preserve">Nature Genetics</w:t>
      </w:r>
      <w:r>
        <w:t xml:space="preserve"> </w:t>
      </w:r>
      <w:r>
        <w:rPr>
          <w:bCs/>
          <w:b/>
        </w:rPr>
        <w:t xml:space="preserve">53</w:t>
      </w:r>
      <w:r>
        <w:t xml:space="preserve">, 707–718.</w:t>
      </w:r>
    </w:p>
    <w:bookmarkEnd w:id="51"/>
    <w:bookmarkStart w:id="53" w:name="ref-jung_intron_2015"/>
    <w:p>
      <w:pPr>
        <w:pStyle w:val="Bibliography"/>
      </w:pPr>
      <w:r>
        <w:rPr>
          <w:bCs/>
          <w:b/>
        </w:rPr>
        <w:t xml:space="preserve">Jung, H., Lee, D., Lee, J., Park, D., Kim, Y. J., Park, W.-Y., Hong, D., Park, P. J. and Lee, E.</w:t>
      </w:r>
      <w:r>
        <w:t xml:space="preserve"> </w:t>
      </w:r>
      <w:r>
        <w:t xml:space="preserve">(2015).</w:t>
      </w:r>
      <w:r>
        <w:t xml:space="preserve"> </w:t>
      </w:r>
      <w:hyperlink r:id="rId52">
        <w:r>
          <w:rPr>
            <w:rStyle w:val="Hyperlink"/>
          </w:rPr>
          <w:t xml:space="preserve">Intron retention is a widespread mechanism of tumor-suppressor inactivation</w:t>
        </w:r>
      </w:hyperlink>
      <w:r>
        <w:t xml:space="preserve">.</w:t>
      </w:r>
      <w:r>
        <w:t xml:space="preserve"> </w:t>
      </w:r>
      <w:r>
        <w:rPr>
          <w:iCs/>
          <w:i/>
        </w:rPr>
        <w:t xml:space="preserve">Nature Genetics</w:t>
      </w:r>
      <w:r>
        <w:t xml:space="preserve"> </w:t>
      </w:r>
      <w:r>
        <w:rPr>
          <w:bCs/>
          <w:b/>
        </w:rPr>
        <w:t xml:space="preserve">47</w:t>
      </w:r>
      <w:r>
        <w:t xml:space="preserve">, 1242–1248.</w:t>
      </w:r>
    </w:p>
    <w:bookmarkEnd w:id="53"/>
    <w:bookmarkStart w:id="54" w:name="ref-keshavarz_targeting_2023"/>
    <w:p>
      <w:pPr>
        <w:pStyle w:val="Bibliography"/>
      </w:pPr>
      <w:r>
        <w:rPr>
          <w:bCs/>
          <w:b/>
        </w:rPr>
        <w:t xml:space="preserve">Keshavarz, M., Xie, K., Schaaf, K., Bano, D. and Ehninger, D.</w:t>
      </w:r>
      <w:r>
        <w:t xml:space="preserve"> </w:t>
      </w:r>
      <w:r>
        <w:t xml:space="preserve">(2023). Targeting the</w:t>
      </w:r>
      <w:r>
        <w:t xml:space="preserve"> </w:t>
      </w:r>
      <w:r>
        <w:t xml:space="preserve">“hallmarks of aging”</w:t>
      </w:r>
      <w:r>
        <w:t xml:space="preserve"> </w:t>
      </w:r>
      <w:r>
        <w:t xml:space="preserve">to slow aging and treat age-related disease: Fact or fiction?</w:t>
      </w:r>
      <w:r>
        <w:t xml:space="preserve"> </w:t>
      </w:r>
      <w:r>
        <w:rPr>
          <w:iCs/>
          <w:i/>
        </w:rPr>
        <w:t xml:space="preserve">Molecular Psychiatry</w:t>
      </w:r>
      <w:r>
        <w:t xml:space="preserve"> </w:t>
      </w:r>
      <w:r>
        <w:rPr>
          <w:bCs/>
          <w:b/>
        </w:rPr>
        <w:t xml:space="preserve">28</w:t>
      </w:r>
      <w:r>
        <w:t xml:space="preserve">, 242–255.</w:t>
      </w:r>
    </w:p>
    <w:bookmarkEnd w:id="54"/>
    <w:bookmarkStart w:id="56" w:name="ref-khan_increased_2020"/>
    <w:p>
      <w:pPr>
        <w:pStyle w:val="Bibliography"/>
      </w:pPr>
      <w:r>
        <w:rPr>
          <w:bCs/>
          <w:b/>
        </w:rPr>
        <w:t xml:space="preserve">Khan, Y., Hammarström, D., Rønnestad, B. R., Ellefsen, S. and Ahmad, R.</w:t>
      </w:r>
      <w:r>
        <w:t xml:space="preserve"> </w:t>
      </w:r>
      <w:r>
        <w:t xml:space="preserve">(2020).</w:t>
      </w:r>
      <w:r>
        <w:t xml:space="preserve"> </w:t>
      </w:r>
      <w:hyperlink r:id="rId55">
        <w:r>
          <w:rPr>
            <w:rStyle w:val="Hyperlink"/>
          </w:rPr>
          <w:t xml:space="preserve">Increased biological relevance of transcriptome analyses in human skeletal muscle using a model-specific pipeline</w:t>
        </w:r>
      </w:hyperlink>
      <w:r>
        <w:t xml:space="preserve">.</w:t>
      </w:r>
      <w:r>
        <w:t xml:space="preserve"> </w:t>
      </w:r>
      <w:r>
        <w:rPr>
          <w:iCs/>
          <w:i/>
        </w:rPr>
        <w:t xml:space="preserve">BMC</w:t>
      </w:r>
      <w:r>
        <w:rPr>
          <w:iCs/>
          <w:i/>
        </w:rPr>
        <w:t xml:space="preserve"> </w:t>
      </w:r>
      <w:r>
        <w:rPr>
          <w:iCs/>
          <w:i/>
        </w:rPr>
        <w:t xml:space="preserve">Bioinformatics</w:t>
      </w:r>
      <w:r>
        <w:t xml:space="preserve"> </w:t>
      </w:r>
      <w:r>
        <w:rPr>
          <w:bCs/>
          <w:b/>
        </w:rPr>
        <w:t xml:space="preserve">21</w:t>
      </w:r>
      <w:r>
        <w:t xml:space="preserve">, 548.</w:t>
      </w:r>
    </w:p>
    <w:bookmarkEnd w:id="56"/>
    <w:bookmarkStart w:id="58" w:name="ref-kodama_systematic_2024"/>
    <w:p>
      <w:pPr>
        <w:pStyle w:val="Bibliography"/>
      </w:pPr>
      <w:r>
        <w:rPr>
          <w:bCs/>
          <w:b/>
        </w:rPr>
        <w:t xml:space="preserve">Kodama, H., Ijima, H. and Matsui, Y.</w:t>
      </w:r>
      <w:r>
        <w:t xml:space="preserve"> </w:t>
      </w:r>
      <w:r>
        <w:t xml:space="preserve">(2024).</w:t>
      </w:r>
      <w:r>
        <w:t xml:space="preserve"> </w:t>
      </w:r>
      <w:hyperlink r:id="rId57">
        <w:r>
          <w:rPr>
            <w:rStyle w:val="Hyperlink"/>
          </w:rPr>
          <w:t xml:space="preserve">Systematic identification of exercise-induced anti-aging processes involving intron retention</w:t>
        </w:r>
      </w:hyperlink>
      <w:r>
        <w:t xml:space="preserve">.</w:t>
      </w:r>
      <w:r>
        <w:t xml:space="preserve"> </w:t>
      </w:r>
      <w:r>
        <w:rPr>
          <w:iCs/>
          <w:i/>
        </w:rPr>
        <w:t xml:space="preserve">bioRxiv</w:t>
      </w:r>
      <w:r>
        <w:t xml:space="preserve"> </w:t>
      </w:r>
      <w:r>
        <w:t xml:space="preserve">2024.04.25.591048.</w:t>
      </w:r>
    </w:p>
    <w:bookmarkEnd w:id="58"/>
    <w:bookmarkStart w:id="60" w:name="ref-kryger_resistance_2007"/>
    <w:p>
      <w:pPr>
        <w:pStyle w:val="Bibliography"/>
      </w:pPr>
      <w:r>
        <w:rPr>
          <w:bCs/>
          <w:b/>
        </w:rPr>
        <w:t xml:space="preserve">Kryger, A. I. and Andersen, J. L.</w:t>
      </w:r>
      <w:r>
        <w:t xml:space="preserve"> </w:t>
      </w:r>
      <w:r>
        <w:t xml:space="preserve">(2007).</w:t>
      </w:r>
      <w:r>
        <w:t xml:space="preserve"> </w:t>
      </w:r>
      <w:hyperlink r:id="rId59">
        <w:r>
          <w:rPr>
            <w:rStyle w:val="Hyperlink"/>
          </w:rPr>
          <w:t xml:space="preserve">Resistance training in the oldest old: Consequences for muscle strength, fiber types, fiber size, and</w:t>
        </w:r>
        <w:r>
          <w:rPr>
            <w:rStyle w:val="Hyperlink"/>
          </w:rPr>
          <w:t xml:space="preserve"> </w:t>
        </w:r>
        <w:r>
          <w:rPr>
            <w:rStyle w:val="Hyperlink"/>
          </w:rPr>
          <w:t xml:space="preserve">MHC</w:t>
        </w:r>
        <w:r>
          <w:rPr>
            <w:rStyle w:val="Hyperlink"/>
          </w:rPr>
          <w:t xml:space="preserve"> </w:t>
        </w:r>
        <w:r>
          <w:rPr>
            <w:rStyle w:val="Hyperlink"/>
          </w:rPr>
          <w:t xml:space="preserve">isoforms.</w:t>
        </w:r>
      </w:hyperlink>
      <w:r>
        <w:t xml:space="preserve"> </w:t>
      </w:r>
      <w:r>
        <w:rPr>
          <w:iCs/>
          <w:i/>
        </w:rPr>
        <w:t xml:space="preserve">Scand J Med Sci Sports</w:t>
      </w:r>
      <w:r>
        <w:t xml:space="preserve"> </w:t>
      </w:r>
      <w:r>
        <w:rPr>
          <w:bCs/>
          <w:b/>
        </w:rPr>
        <w:t xml:space="preserve">17</w:t>
      </w:r>
      <w:r>
        <w:t xml:space="preserve">, 422–430.</w:t>
      </w:r>
    </w:p>
    <w:bookmarkEnd w:id="60"/>
    <w:bookmarkStart w:id="62" w:name="ref-latorre_splicing_2017"/>
    <w:p>
      <w:pPr>
        <w:pStyle w:val="Bibliography"/>
      </w:pPr>
      <w:r>
        <w:rPr>
          <w:bCs/>
          <w:b/>
        </w:rPr>
        <w:t xml:space="preserve">Latorre, E. and Harries, Lorna. W.</w:t>
      </w:r>
      <w:r>
        <w:t xml:space="preserve"> </w:t>
      </w:r>
      <w:r>
        <w:t xml:space="preserve">(2017).</w:t>
      </w:r>
      <w:r>
        <w:t xml:space="preserve"> </w:t>
      </w:r>
      <w:hyperlink r:id="rId61">
        <w:r>
          <w:rPr>
            <w:rStyle w:val="Hyperlink"/>
          </w:rPr>
          <w:t xml:space="preserve">Splicing regulatory factors, ageing and age-related disease</w:t>
        </w:r>
      </w:hyperlink>
      <w:r>
        <w:t xml:space="preserve">.</w:t>
      </w:r>
      <w:r>
        <w:t xml:space="preserve"> </w:t>
      </w:r>
      <w:r>
        <w:rPr>
          <w:iCs/>
          <w:i/>
        </w:rPr>
        <w:t xml:space="preserve">Ageing Research Reviews</w:t>
      </w:r>
      <w:r>
        <w:t xml:space="preserve"> </w:t>
      </w:r>
      <w:r>
        <w:rPr>
          <w:bCs/>
          <w:b/>
        </w:rPr>
        <w:t xml:space="preserve">36</w:t>
      </w:r>
      <w:r>
        <w:t xml:space="preserve">, 165–170.</w:t>
      </w:r>
    </w:p>
    <w:bookmarkEnd w:id="62"/>
    <w:bookmarkStart w:id="64" w:name="ref-li_rsem_2011"/>
    <w:p>
      <w:pPr>
        <w:pStyle w:val="Bibliography"/>
      </w:pPr>
      <w:r>
        <w:rPr>
          <w:bCs/>
          <w:b/>
        </w:rPr>
        <w:t xml:space="preserve">Li, B. and Dewey, C. N.</w:t>
      </w:r>
      <w:r>
        <w:t xml:space="preserve"> </w:t>
      </w:r>
      <w:r>
        <w:t xml:space="preserve">(2011).</w:t>
      </w:r>
      <w:r>
        <w:t xml:space="preserve"> </w:t>
      </w:r>
      <w:hyperlink r:id="rId63">
        <w:r>
          <w:rPr>
            <w:rStyle w:val="Hyperlink"/>
          </w:rPr>
          <w:t xml:space="preserve">RSEM</w:t>
        </w:r>
        <w:r>
          <w:rPr>
            <w:rStyle w:val="Hyperlink"/>
          </w:rPr>
          <w:t xml:space="preserve">: Accurate transcript quantification from</w:t>
        </w:r>
        <w:r>
          <w:rPr>
            <w:rStyle w:val="Hyperlink"/>
          </w:rPr>
          <w:t xml:space="preserve"> </w:t>
        </w:r>
        <w:r>
          <w:rPr>
            <w:rStyle w:val="Hyperlink"/>
          </w:rPr>
          <w:t xml:space="preserve">RNA</w:t>
        </w:r>
        <w:r>
          <w:rPr>
            <w:rStyle w:val="Hyperlink"/>
          </w:rPr>
          <w:t xml:space="preserve">-seq data with or without a reference genome</w:t>
        </w:r>
      </w:hyperlink>
      <w:r>
        <w:t xml:space="preserve">.</w:t>
      </w:r>
      <w:r>
        <w:t xml:space="preserve"> </w:t>
      </w:r>
      <w:r>
        <w:rPr>
          <w:iCs/>
          <w:i/>
        </w:rPr>
        <w:t xml:space="preserve">BMC</w:t>
      </w:r>
      <w:r>
        <w:rPr>
          <w:iCs/>
          <w:i/>
        </w:rPr>
        <w:t xml:space="preserve"> </w:t>
      </w:r>
      <w:r>
        <w:rPr>
          <w:iCs/>
          <w:i/>
        </w:rPr>
        <w:t xml:space="preserve">Bioinformatics</w:t>
      </w:r>
      <w:r>
        <w:t xml:space="preserve"> </w:t>
      </w:r>
      <w:r>
        <w:rPr>
          <w:bCs/>
          <w:b/>
        </w:rPr>
        <w:t xml:space="preserve">12</w:t>
      </w:r>
      <w:r>
        <w:t xml:space="preserve">, 323.</w:t>
      </w:r>
    </w:p>
    <w:bookmarkEnd w:id="64"/>
    <w:bookmarkStart w:id="66" w:name="ref-liu_progressive_2009"/>
    <w:p>
      <w:pPr>
        <w:pStyle w:val="Bibliography"/>
      </w:pPr>
      <w:r>
        <w:rPr>
          <w:bCs/>
          <w:b/>
        </w:rPr>
        <w:t xml:space="preserve">Liu, C.-J. and Latham, N. K.</w:t>
      </w:r>
      <w:r>
        <w:t xml:space="preserve"> </w:t>
      </w:r>
      <w:r>
        <w:t xml:space="preserve">(2009).</w:t>
      </w:r>
      <w:r>
        <w:t xml:space="preserve"> </w:t>
      </w:r>
      <w:hyperlink r:id="rId65">
        <w:r>
          <w:rPr>
            <w:rStyle w:val="Hyperlink"/>
          </w:rPr>
          <w:t xml:space="preserve">Progressive resistance strength training for improving physical function in older adults.</w:t>
        </w:r>
      </w:hyperlink>
      <w:r>
        <w:t xml:space="preserve"> </w:t>
      </w:r>
      <w:r>
        <w:rPr>
          <w:iCs/>
          <w:i/>
        </w:rPr>
        <w:t xml:space="preserve">Cochrane Database Syst Rev</w:t>
      </w:r>
      <w:r>
        <w:t xml:space="preserve"> </w:t>
      </w:r>
      <w:r>
        <w:rPr>
          <w:bCs/>
          <w:b/>
        </w:rPr>
        <w:t xml:space="preserve">2009</w:t>
      </w:r>
      <w:r>
        <w:t xml:space="preserve">, CD002759.</w:t>
      </w:r>
    </w:p>
    <w:bookmarkEnd w:id="66"/>
    <w:bookmarkStart w:id="67" w:name="ref-lopez-otin_hallmarks_2013"/>
    <w:p>
      <w:pPr>
        <w:pStyle w:val="Bibliography"/>
      </w:pPr>
      <w:r>
        <w:rPr>
          <w:bCs/>
          <w:b/>
        </w:rPr>
        <w:t xml:space="preserve">López-Otín, C., Blasco, M. A., Partridge, L., Serrano, M. and Kroemer, G.</w:t>
      </w:r>
      <w:r>
        <w:t xml:space="preserve"> </w:t>
      </w:r>
      <w:r>
        <w:t xml:space="preserve">(2013). The hallmarks of aging.</w:t>
      </w:r>
      <w:r>
        <w:t xml:space="preserve"> </w:t>
      </w:r>
      <w:r>
        <w:rPr>
          <w:iCs/>
          <w:i/>
        </w:rPr>
        <w:t xml:space="preserve">Cell</w:t>
      </w:r>
      <w:r>
        <w:t xml:space="preserve"> </w:t>
      </w:r>
      <w:r>
        <w:rPr>
          <w:bCs/>
          <w:b/>
        </w:rPr>
        <w:t xml:space="preserve">153</w:t>
      </w:r>
      <w:r>
        <w:t xml:space="preserve">, 1194–1217.</w:t>
      </w:r>
    </w:p>
    <w:bookmarkEnd w:id="67"/>
    <w:bookmarkStart w:id="68" w:name="ref-lu_effects_2021"/>
    <w:p>
      <w:pPr>
        <w:pStyle w:val="Bibliography"/>
      </w:pPr>
      <w:r>
        <w:rPr>
          <w:bCs/>
          <w:b/>
        </w:rPr>
        <w:t xml:space="preserve">Lu, L., Mao, L., Feng, Y., Ainsworth, B. E., Liu, Y. and Chen, N.</w:t>
      </w:r>
      <w:r>
        <w:t xml:space="preserve"> </w:t>
      </w:r>
      <w:r>
        <w:t xml:space="preserve">(2021). Effects of different exercise training modes on muscle strength and physical performance in older people with sarcopenia: A systematic review and meta-analysis.</w:t>
      </w:r>
      <w:r>
        <w:t xml:space="preserve"> </w:t>
      </w:r>
      <w:r>
        <w:rPr>
          <w:iCs/>
          <w:i/>
        </w:rPr>
        <w:t xml:space="preserve">BMC</w:t>
      </w:r>
      <w:r>
        <w:rPr>
          <w:iCs/>
          <w:i/>
        </w:rPr>
        <w:t xml:space="preserve"> </w:t>
      </w:r>
      <w:r>
        <w:rPr>
          <w:iCs/>
          <w:i/>
        </w:rPr>
        <w:t xml:space="preserve">geriatrics</w:t>
      </w:r>
      <w:r>
        <w:t xml:space="preserve"> </w:t>
      </w:r>
      <w:r>
        <w:rPr>
          <w:bCs/>
          <w:b/>
        </w:rPr>
        <w:t xml:space="preserve">21</w:t>
      </w:r>
      <w:r>
        <w:t xml:space="preserve">, 708.</w:t>
      </w:r>
    </w:p>
    <w:bookmarkEnd w:id="68"/>
    <w:bookmarkStart w:id="70" w:name="ref-mariotti_deterioration_2022"/>
    <w:p>
      <w:pPr>
        <w:pStyle w:val="Bibliography"/>
      </w:pPr>
      <w:r>
        <w:rPr>
          <w:bCs/>
          <w:b/>
        </w:rPr>
        <w:t xml:space="preserve">Mariotti, M., Kerepesi, C., Oliveros, W., Mele, M. and Gladyshev, V. N.</w:t>
      </w:r>
      <w:r>
        <w:t xml:space="preserve"> </w:t>
      </w:r>
      <w:r>
        <w:t xml:space="preserve">(2022).</w:t>
      </w:r>
      <w:r>
        <w:t xml:space="preserve"> </w:t>
      </w:r>
      <w:hyperlink r:id="rId69">
        <w:r>
          <w:rPr>
            <w:rStyle w:val="Hyperlink"/>
          </w:rPr>
          <w:t xml:space="preserve">Deterioration of the human transcriptome with age due to increasing intron retention and spurious splicing</w:t>
        </w:r>
      </w:hyperlink>
      <w:r>
        <w:t xml:space="preserve">.</w:t>
      </w:r>
      <w:r>
        <w:t xml:space="preserve"> </w:t>
      </w:r>
      <w:r>
        <w:rPr>
          <w:iCs/>
          <w:i/>
        </w:rPr>
        <w:t xml:space="preserve">bioRxiv</w:t>
      </w:r>
      <w:r>
        <w:t xml:space="preserve"> </w:t>
      </w:r>
      <w:r>
        <w:t xml:space="preserve">2022.03.14.484341.</w:t>
      </w:r>
    </w:p>
    <w:bookmarkEnd w:id="70"/>
    <w:bookmarkStart w:id="71" w:name="ref-mauger_targeted_2016"/>
    <w:p>
      <w:pPr>
        <w:pStyle w:val="Bibliography"/>
      </w:pPr>
      <w:r>
        <w:rPr>
          <w:bCs/>
          <w:b/>
        </w:rPr>
        <w:t xml:space="preserve">Mauger, O., Lemoine, F. and Scheiffele, P.</w:t>
      </w:r>
      <w:r>
        <w:t xml:space="preserve"> </w:t>
      </w:r>
      <w:r>
        <w:t xml:space="preserve">(2016). Targeted intron retention and excision for rapid gene regulation in response to neuronal activity.</w:t>
      </w:r>
      <w:r>
        <w:t xml:space="preserve"> </w:t>
      </w:r>
      <w:r>
        <w:rPr>
          <w:iCs/>
          <w:i/>
        </w:rPr>
        <w:t xml:space="preserve">Neuron</w:t>
      </w:r>
      <w:r>
        <w:t xml:space="preserve"> </w:t>
      </w:r>
      <w:r>
        <w:rPr>
          <w:bCs/>
          <w:b/>
        </w:rPr>
        <w:t xml:space="preserve">92</w:t>
      </w:r>
      <w:r>
        <w:t xml:space="preserve">, 1266–1278.</w:t>
      </w:r>
    </w:p>
    <w:bookmarkEnd w:id="71"/>
    <w:bookmarkStart w:id="72" w:name="ref-de_melo_costa_splice-q_2021"/>
    <w:p>
      <w:pPr>
        <w:pStyle w:val="Bibliography"/>
      </w:pPr>
      <w:r>
        <w:rPr>
          <w:bCs/>
          <w:b/>
        </w:rPr>
        <w:t xml:space="preserve">Melo Costa, V. R. de, Pfeuffer, J., Louloupi, A., Ørom, U. A. and Piro, R. M.</w:t>
      </w:r>
      <w:r>
        <w:t xml:space="preserve"> </w:t>
      </w:r>
      <w:r>
        <w:t xml:space="preserve">(2021).</w:t>
      </w:r>
      <w:r>
        <w:t xml:space="preserve"> </w:t>
      </w:r>
      <w:r>
        <w:t xml:space="preserve">SPLICE</w:t>
      </w:r>
      <w:r>
        <w:t xml:space="preserve">-q: A python tool for genome-wide quantification of splicing efficiency.</w:t>
      </w:r>
      <w:r>
        <w:t xml:space="preserve"> </w:t>
      </w:r>
      <w:r>
        <w:rPr>
          <w:iCs/>
          <w:i/>
        </w:rPr>
        <w:t xml:space="preserve">BMC</w:t>
      </w:r>
      <w:r>
        <w:rPr>
          <w:iCs/>
          <w:i/>
        </w:rPr>
        <w:t xml:space="preserve"> </w:t>
      </w:r>
      <w:r>
        <w:rPr>
          <w:iCs/>
          <w:i/>
        </w:rPr>
        <w:t xml:space="preserve">bioinformatics</w:t>
      </w:r>
      <w:r>
        <w:t xml:space="preserve"> </w:t>
      </w:r>
      <w:r>
        <w:rPr>
          <w:bCs/>
          <w:b/>
        </w:rPr>
        <w:t xml:space="preserve">22</w:t>
      </w:r>
      <w:r>
        <w:t xml:space="preserve">, 1–14.</w:t>
      </w:r>
    </w:p>
    <w:bookmarkEnd w:id="72"/>
    <w:bookmarkStart w:id="74" w:name="ref-middleton_irfinder_2017"/>
    <w:p>
      <w:pPr>
        <w:pStyle w:val="Bibliography"/>
      </w:pPr>
      <w:r>
        <w:rPr>
          <w:bCs/>
          <w:b/>
        </w:rPr>
        <w:t xml:space="preserve">Middleton, R., Gao, D., Thomas, A., Singh, B., Au, A., Wong, J. J.-L., Bomane, A., Cosson, B., Eyras, E., Rasko, J. E. J., et al.</w:t>
      </w:r>
      <w:r>
        <w:t xml:space="preserve"> </w:t>
      </w:r>
      <w:r>
        <w:t xml:space="preserve">(2017).</w:t>
      </w:r>
      <w:r>
        <w:t xml:space="preserve"> </w:t>
      </w:r>
      <w:hyperlink r:id="rId73">
        <w:r>
          <w:rPr>
            <w:rStyle w:val="Hyperlink"/>
          </w:rPr>
          <w:t xml:space="preserve">IRFinder</w:t>
        </w:r>
        <w:r>
          <w:rPr>
            <w:rStyle w:val="Hyperlink"/>
          </w:rPr>
          <w:t xml:space="preserve">: Assessing the impact of intron retention on mammalian gene expression.</w:t>
        </w:r>
      </w:hyperlink>
      <w:r>
        <w:t xml:space="preserve"> </w:t>
      </w:r>
      <w:r>
        <w:rPr>
          <w:iCs/>
          <w:i/>
        </w:rPr>
        <w:t xml:space="preserve">Genome Biol</w:t>
      </w:r>
      <w:r>
        <w:t xml:space="preserve"> </w:t>
      </w:r>
      <w:r>
        <w:rPr>
          <w:bCs/>
          <w:b/>
        </w:rPr>
        <w:t xml:space="preserve">18</w:t>
      </w:r>
      <w:r>
        <w:t xml:space="preserve">, 51.</w:t>
      </w:r>
    </w:p>
    <w:bookmarkEnd w:id="74"/>
    <w:bookmarkStart w:id="76" w:name="ref-molmen_chronic_2021"/>
    <w:p>
      <w:pPr>
        <w:pStyle w:val="Bibliography"/>
      </w:pPr>
      <w:r>
        <w:rPr>
          <w:bCs/>
          <w:b/>
        </w:rPr>
        <w:t xml:space="preserve">Mølmen, K. S., Hammarström, D., Falch, G. S., Grundtvig, M., Koll, L., Hanestadhaugen, M., Khan, Y., Ahmad, R., Malerbakken, B., Rødølen, T. J., et al.</w:t>
      </w:r>
      <w:r>
        <w:t xml:space="preserve"> </w:t>
      </w:r>
      <w:r>
        <w:t xml:space="preserve">(2021).</w:t>
      </w:r>
      <w:r>
        <w:t xml:space="preserve"> </w:t>
      </w:r>
      <w:hyperlink r:id="rId75">
        <w:r>
          <w:rPr>
            <w:rStyle w:val="Hyperlink"/>
          </w:rPr>
          <w:t xml:space="preserve">Chronic obstructive pulmonary disease does not impair responses to resistance training.</w:t>
        </w:r>
      </w:hyperlink>
      <w:r>
        <w:t xml:space="preserve"> </w:t>
      </w:r>
      <w:r>
        <w:rPr>
          <w:iCs/>
          <w:i/>
        </w:rPr>
        <w:t xml:space="preserve">J Transl Med</w:t>
      </w:r>
      <w:r>
        <w:t xml:space="preserve"> </w:t>
      </w:r>
      <w:r>
        <w:rPr>
          <w:bCs/>
          <w:b/>
        </w:rPr>
        <w:t xml:space="preserve">19</w:t>
      </w:r>
      <w:r>
        <w:t xml:space="preserve">, 292.</w:t>
      </w:r>
    </w:p>
    <w:bookmarkEnd w:id="76"/>
    <w:bookmarkStart w:id="78" w:name="ref-monteuuis_changing_2019"/>
    <w:p>
      <w:pPr>
        <w:pStyle w:val="Bibliography"/>
      </w:pPr>
      <w:r>
        <w:rPr>
          <w:bCs/>
          <w:b/>
        </w:rPr>
        <w:t xml:space="preserve">Monteuuis, G., Wong, J. J. L., Bailey, C. G., Schmitz, U. and Rasko, J. E. J.</w:t>
      </w:r>
      <w:r>
        <w:t xml:space="preserve"> </w:t>
      </w:r>
      <w:r>
        <w:t xml:space="preserve">(2019).</w:t>
      </w:r>
      <w:r>
        <w:t xml:space="preserve"> </w:t>
      </w:r>
      <w:hyperlink r:id="rId77">
        <w:r>
          <w:rPr>
            <w:rStyle w:val="Hyperlink"/>
          </w:rPr>
          <w:t xml:space="preserve">The changing paradigm of intron retention: Regulation, ramifications and recipes</w:t>
        </w:r>
      </w:hyperlink>
      <w:r>
        <w:t xml:space="preserve">.</w:t>
      </w:r>
      <w:r>
        <w:t xml:space="preserve"> </w:t>
      </w:r>
      <w:r>
        <w:rPr>
          <w:iCs/>
          <w:i/>
        </w:rPr>
        <w:t xml:space="preserve">Nucleic Acids Research</w:t>
      </w:r>
      <w:r>
        <w:t xml:space="preserve"> </w:t>
      </w:r>
      <w:r>
        <w:rPr>
          <w:bCs/>
          <w:b/>
        </w:rPr>
        <w:t xml:space="preserve">47</w:t>
      </w:r>
      <w:r>
        <w:t xml:space="preserve">, 11497–11513.</w:t>
      </w:r>
    </w:p>
    <w:bookmarkEnd w:id="78"/>
    <w:bookmarkStart w:id="79" w:name="ref-nelson_novel_2005"/>
    <w:p>
      <w:pPr>
        <w:pStyle w:val="Bibliography"/>
      </w:pPr>
      <w:r>
        <w:rPr>
          <w:bCs/>
          <w:b/>
        </w:rPr>
        <w:t xml:space="preserve">Nelson, M. E., Thurmes, P. J., Hoyer, J. D. and Steensma, D. P.</w:t>
      </w:r>
      <w:r>
        <w:t xml:space="preserve"> </w:t>
      </w:r>
      <w:r>
        <w:t xml:space="preserve">(2005). A novel 5’</w:t>
      </w:r>
      <w:r>
        <w:t xml:space="preserve">ATRX</w:t>
      </w:r>
      <w:r>
        <w:t xml:space="preserve"> </w:t>
      </w:r>
      <w:r>
        <w:t xml:space="preserve">mutation with splicing consequences in acquired alpha thalassemia-myelodysplastic syndrome.</w:t>
      </w:r>
      <w:r>
        <w:t xml:space="preserve"> </w:t>
      </w:r>
      <w:r>
        <w:rPr>
          <w:iCs/>
          <w:i/>
        </w:rPr>
        <w:t xml:space="preserve">haematologica</w:t>
      </w:r>
      <w:r>
        <w:t xml:space="preserve"> </w:t>
      </w:r>
      <w:r>
        <w:rPr>
          <w:bCs/>
          <w:b/>
        </w:rPr>
        <w:t xml:space="preserve">90</w:t>
      </w:r>
      <w:r>
        <w:t xml:space="preserve">, 1463–1470.</w:t>
      </w:r>
    </w:p>
    <w:bookmarkEnd w:id="79"/>
    <w:bookmarkStart w:id="80" w:name="ref-nie_distinct_2022"/>
    <w:p>
      <w:pPr>
        <w:pStyle w:val="Bibliography"/>
      </w:pPr>
      <w:r>
        <w:rPr>
          <w:bCs/>
          <w:b/>
        </w:rPr>
        <w:t xml:space="preserve">Nie, C., Li, Y., Li, R., Yan, Y., Zhang, D., Li, T., Li, Z., Sun, Y., Zhen, H. and Ding, J.</w:t>
      </w:r>
      <w:r>
        <w:t xml:space="preserve"> </w:t>
      </w:r>
      <w:r>
        <w:t xml:space="preserve">(2022). Distinct biological ages of organs and systems identified from a multi-omics study.</w:t>
      </w:r>
      <w:r>
        <w:t xml:space="preserve"> </w:t>
      </w:r>
      <w:r>
        <w:rPr>
          <w:iCs/>
          <w:i/>
        </w:rPr>
        <w:t xml:space="preserve">Cell reports</w:t>
      </w:r>
      <w:r>
        <w:t xml:space="preserve"> </w:t>
      </w:r>
      <w:r>
        <w:rPr>
          <w:bCs/>
          <w:b/>
        </w:rPr>
        <w:t xml:space="preserve">38</w:t>
      </w:r>
      <w:r>
        <w:t xml:space="preserve">,.</w:t>
      </w:r>
    </w:p>
    <w:bookmarkEnd w:id="80"/>
    <w:bookmarkStart w:id="82" w:name="ref-nishida_tissue-_2015"/>
    <w:p>
      <w:pPr>
        <w:pStyle w:val="Bibliography"/>
      </w:pPr>
      <w:r>
        <w:rPr>
          <w:bCs/>
          <w:b/>
        </w:rPr>
        <w:t xml:space="preserve">Nishida, A., Minegishi, M., Takeuchi, A., Niba, E. T. E., Awano, H., Lee, T., Iijima, K., Takeshima, Y. and Matsuo, M.</w:t>
      </w:r>
      <w:r>
        <w:t xml:space="preserve"> </w:t>
      </w:r>
      <w:r>
        <w:t xml:space="preserve">(2015).</w:t>
      </w:r>
      <w:r>
        <w:t xml:space="preserve"> </w:t>
      </w:r>
      <w:hyperlink r:id="rId81">
        <w:r>
          <w:rPr>
            <w:rStyle w:val="Hyperlink"/>
          </w:rPr>
          <w:t xml:space="preserve">Tissue- and case-specific retention of intron 40 in mature dystrophin</w:t>
        </w:r>
        <w:r>
          <w:rPr>
            <w:rStyle w:val="Hyperlink"/>
          </w:rPr>
          <w:t xml:space="preserve"> </w:t>
        </w:r>
        <w:r>
          <w:rPr>
            <w:rStyle w:val="Hyperlink"/>
          </w:rPr>
          <w:t xml:space="preserve">mRNA</w:t>
        </w:r>
      </w:hyperlink>
      <w:r>
        <w:t xml:space="preserve">.</w:t>
      </w:r>
      <w:r>
        <w:t xml:space="preserve"> </w:t>
      </w:r>
      <w:r>
        <w:rPr>
          <w:iCs/>
          <w:i/>
        </w:rPr>
        <w:t xml:space="preserve">Journal of Human Genetics</w:t>
      </w:r>
      <w:r>
        <w:t xml:space="preserve"> </w:t>
      </w:r>
      <w:r>
        <w:rPr>
          <w:bCs/>
          <w:b/>
        </w:rPr>
        <w:t xml:space="preserve">60</w:t>
      </w:r>
      <w:r>
        <w:t xml:space="preserve">, 327–333.</w:t>
      </w:r>
    </w:p>
    <w:bookmarkEnd w:id="82"/>
    <w:bookmarkStart w:id="83" w:name="ref-ong_increased_2020"/>
    <w:p>
      <w:pPr>
        <w:pStyle w:val="Bibliography"/>
      </w:pPr>
      <w:r>
        <w:rPr>
          <w:bCs/>
          <w:b/>
        </w:rPr>
        <w:t xml:space="preserve">Ong, C.-T. and Adusumalli, S.</w:t>
      </w:r>
      <w:r>
        <w:t xml:space="preserve"> </w:t>
      </w:r>
      <w:r>
        <w:t xml:space="preserve">(2020). Increased intron retention is linked to alzheimer’s disease.</w:t>
      </w:r>
      <w:r>
        <w:t xml:space="preserve"> </w:t>
      </w:r>
      <w:r>
        <w:rPr>
          <w:iCs/>
          <w:i/>
        </w:rPr>
        <w:t xml:space="preserve">Neural regeneration research</w:t>
      </w:r>
      <w:r>
        <w:t xml:space="preserve"> </w:t>
      </w:r>
      <w:r>
        <w:rPr>
          <w:bCs/>
          <w:b/>
        </w:rPr>
        <w:t xml:space="preserve">15</w:t>
      </w:r>
      <w:r>
        <w:t xml:space="preserve">, 259–260.</w:t>
      </w:r>
    </w:p>
    <w:bookmarkEnd w:id="83"/>
    <w:bookmarkStart w:id="85" w:name="ref-pabis_concerted_2024"/>
    <w:p>
      <w:pPr>
        <w:pStyle w:val="Bibliography"/>
      </w:pPr>
      <w:r>
        <w:rPr>
          <w:bCs/>
          <w:b/>
        </w:rPr>
        <w:t xml:space="preserve">Pabis, K., Barardo, D., Sirbu, O., Selvarajoo, K., Gruber, J. and Kennedy, B. K.</w:t>
      </w:r>
      <w:r>
        <w:t xml:space="preserve"> </w:t>
      </w:r>
      <w:r>
        <w:t xml:space="preserve">(2024).</w:t>
      </w:r>
      <w:r>
        <w:t xml:space="preserve"> </w:t>
      </w:r>
      <w:hyperlink r:id="rId84">
        <w:r>
          <w:rPr>
            <w:rStyle w:val="Hyperlink"/>
          </w:rPr>
          <w:t xml:space="preserve">A concerted increase in readthrough and intron retention drives transposon expression during aging and senescence</w:t>
        </w:r>
      </w:hyperlink>
      <w:r>
        <w:t xml:space="preserve">.</w:t>
      </w:r>
    </w:p>
    <w:bookmarkEnd w:id="85"/>
    <w:bookmarkStart w:id="87" w:name="ref-peterson_influence_2011"/>
    <w:p>
      <w:pPr>
        <w:pStyle w:val="Bibliography"/>
      </w:pPr>
      <w:r>
        <w:rPr>
          <w:bCs/>
          <w:b/>
        </w:rPr>
        <w:t xml:space="preserve">Peterson, M. D., Sen, A. and Gordon, P. M.</w:t>
      </w:r>
      <w:r>
        <w:t xml:space="preserve"> </w:t>
      </w:r>
      <w:r>
        <w:t xml:space="preserve">(2011).</w:t>
      </w:r>
      <w:r>
        <w:t xml:space="preserve"> </w:t>
      </w:r>
      <w:hyperlink r:id="rId86">
        <w:r>
          <w:rPr>
            <w:rStyle w:val="Hyperlink"/>
          </w:rPr>
          <w:t xml:space="preserve">Influence of resistance exercise on lean body mass in aging adults: A meta-analysis.</w:t>
        </w:r>
      </w:hyperlink>
      <w:r>
        <w:t xml:space="preserve"> </w:t>
      </w:r>
      <w:r>
        <w:rPr>
          <w:iCs/>
          <w:i/>
        </w:rPr>
        <w:t xml:space="preserve">Med Sci Sports Exerc</w:t>
      </w:r>
      <w:r>
        <w:t xml:space="preserve"> </w:t>
      </w:r>
      <w:r>
        <w:rPr>
          <w:bCs/>
          <w:b/>
        </w:rPr>
        <w:t xml:space="preserve">43</w:t>
      </w:r>
      <w:r>
        <w:t xml:space="preserve">, 249–258.</w:t>
      </w:r>
    </w:p>
    <w:bookmarkEnd w:id="87"/>
    <w:bookmarkStart w:id="88" w:name="ref-robinson_enhanced_2017"/>
    <w:p>
      <w:pPr>
        <w:pStyle w:val="Bibliography"/>
      </w:pPr>
      <w:r>
        <w:rPr>
          <w:bCs/>
          <w:b/>
        </w:rPr>
        <w:t xml:space="preserve">Robinson, M. M., Dasari, S., Konopka, A. R., Johnson, M. L., Manjunatha, S., Esponda, R. R., Carter, R. E., Lanza, I. R. and Nair, K. S.</w:t>
      </w:r>
      <w:r>
        <w:t xml:space="preserve"> </w:t>
      </w:r>
      <w:r>
        <w:t xml:space="preserve">(2017). Enhanced protein translation underlies improved metabolic and physical adaptations to different exercise training modes in young and old humans.</w:t>
      </w:r>
      <w:r>
        <w:t xml:space="preserve"> </w:t>
      </w:r>
      <w:r>
        <w:rPr>
          <w:iCs/>
          <w:i/>
        </w:rPr>
        <w:t xml:space="preserve">Cell metabolism</w:t>
      </w:r>
      <w:r>
        <w:t xml:space="preserve"> </w:t>
      </w:r>
      <w:r>
        <w:rPr>
          <w:bCs/>
          <w:b/>
        </w:rPr>
        <w:t xml:space="preserve">25</w:t>
      </w:r>
      <w:r>
        <w:t xml:space="preserve">, 581–592.</w:t>
      </w:r>
    </w:p>
    <w:bookmarkEnd w:id="88"/>
    <w:bookmarkStart w:id="90" w:name="X9abc3901ca7f09d6e15f6daefa88aae206ffc58"/>
    <w:p>
      <w:pPr>
        <w:pStyle w:val="Bibliography"/>
      </w:pPr>
      <w:r>
        <w:rPr>
          <w:bCs/>
          <w:b/>
        </w:rPr>
        <w:t xml:space="preserve">Sánchez-Escabias, E., Guerrero-Martínez, J. A. and Reyes, J. C.</w:t>
      </w:r>
      <w:r>
        <w:t xml:space="preserve"> </w:t>
      </w:r>
      <w:r>
        <w:t xml:space="preserve">(2022).</w:t>
      </w:r>
      <w:r>
        <w:t xml:space="preserve"> </w:t>
      </w:r>
      <w:hyperlink r:id="rId89">
        <w:r>
          <w:rPr>
            <w:rStyle w:val="Hyperlink"/>
          </w:rPr>
          <w:t xml:space="preserve">Co-transcriptional splicing efficiency is a gene-specific feature that can be regulated by</w:t>
        </w:r>
        <w:r>
          <w:rPr>
            <w:rStyle w:val="Hyperlink"/>
          </w:rPr>
          <w:t xml:space="preserve"> </w:t>
        </w:r>
        <w:r>
          <w:rPr>
            <w:rStyle w:val="Hyperlink"/>
          </w:rPr>
          <w:t xml:space="preserve">TGFβ</w:t>
        </w:r>
      </w:hyperlink>
      <w:r>
        <w:t xml:space="preserve">.</w:t>
      </w:r>
      <w:r>
        <w:t xml:space="preserve"> </w:t>
      </w:r>
      <w:r>
        <w:rPr>
          <w:iCs/>
          <w:i/>
        </w:rPr>
        <w:t xml:space="preserve">Communications Biology</w:t>
      </w:r>
      <w:r>
        <w:t xml:space="preserve"> </w:t>
      </w:r>
      <w:r>
        <w:rPr>
          <w:bCs/>
          <w:b/>
        </w:rPr>
        <w:t xml:space="preserve">5</w:t>
      </w:r>
      <w:r>
        <w:t xml:space="preserve">, 277.</w:t>
      </w:r>
    </w:p>
    <w:bookmarkEnd w:id="90"/>
    <w:bookmarkStart w:id="91" w:name="ref-saudemont_fitness_2017"/>
    <w:p>
      <w:pPr>
        <w:pStyle w:val="Bibliography"/>
      </w:pPr>
      <w:r>
        <w:rPr>
          <w:bCs/>
          <w:b/>
        </w:rPr>
        <w:t xml:space="preserve">Saudemont, B., Popa, A., Parmley, J. L., Rocher, V., Blugeon, C., Necsulea, A., Meyer, E. and Duret, L.</w:t>
      </w:r>
      <w:r>
        <w:t xml:space="preserve"> </w:t>
      </w:r>
      <w:r>
        <w:t xml:space="preserve">(2017). The fitness cost of mis-splicing is the main determinant of alternative splicing patterns.</w:t>
      </w:r>
      <w:r>
        <w:t xml:space="preserve"> </w:t>
      </w:r>
      <w:r>
        <w:rPr>
          <w:iCs/>
          <w:i/>
        </w:rPr>
        <w:t xml:space="preserve">Genome biology</w:t>
      </w:r>
      <w:r>
        <w:t xml:space="preserve"> </w:t>
      </w:r>
      <w:r>
        <w:rPr>
          <w:bCs/>
          <w:b/>
        </w:rPr>
        <w:t xml:space="preserve">18</w:t>
      </w:r>
      <w:r>
        <w:t xml:space="preserve">, 1–15.</w:t>
      </w:r>
    </w:p>
    <w:bookmarkEnd w:id="91"/>
    <w:bookmarkStart w:id="93" w:name="ref-schaum_ageing_2020"/>
    <w:p>
      <w:pPr>
        <w:pStyle w:val="Bibliography"/>
      </w:pPr>
      <w:r>
        <w:rPr>
          <w:bCs/>
          <w:b/>
        </w:rPr>
        <w:t xml:space="preserve">Schaum, N., Lehallier, B., Hahn, O., Pálovics, R., Hosseinzadeh, S., Lee, S. E., Sit, R., Lee, D. P., Losada, P. M., Zardeneta, M. E., et al.</w:t>
      </w:r>
      <w:r>
        <w:t xml:space="preserve"> </w:t>
      </w:r>
      <w:r>
        <w:t xml:space="preserve">(2020).</w:t>
      </w:r>
      <w:r>
        <w:t xml:space="preserve"> </w:t>
      </w:r>
      <w:hyperlink r:id="rId92">
        <w:r>
          <w:rPr>
            <w:rStyle w:val="Hyperlink"/>
          </w:rPr>
          <w:t xml:space="preserve">Ageing hallmarks exhibit organ-specific temporal signatures</w:t>
        </w:r>
      </w:hyperlink>
      <w:r>
        <w:t xml:space="preserve">.</w:t>
      </w:r>
      <w:r>
        <w:t xml:space="preserve"> </w:t>
      </w:r>
      <w:r>
        <w:rPr>
          <w:iCs/>
          <w:i/>
        </w:rPr>
        <w:t xml:space="preserve">Nature</w:t>
      </w:r>
      <w:r>
        <w:t xml:space="preserve"> </w:t>
      </w:r>
      <w:r>
        <w:rPr>
          <w:bCs/>
          <w:b/>
        </w:rPr>
        <w:t xml:space="preserve">583</w:t>
      </w:r>
      <w:r>
        <w:t xml:space="preserve">, 596–602.</w:t>
      </w:r>
    </w:p>
    <w:bookmarkEnd w:id="93"/>
    <w:bookmarkStart w:id="95" w:name="ref-schmitz_intron_2017"/>
    <w:p>
      <w:pPr>
        <w:pStyle w:val="Bibliography"/>
      </w:pPr>
      <w:r>
        <w:rPr>
          <w:bCs/>
          <w:b/>
        </w:rPr>
        <w:t xml:space="preserve">Schmitz, U., Pinello, N., Jia, F., Alasmari, S., Ritchie, W., Keightley, M.-C., Shini, S., Lieschke, G. J., Wong, J. J.-L. and Rasko, J. E. J.</w:t>
      </w:r>
      <w:r>
        <w:t xml:space="preserve"> </w:t>
      </w:r>
      <w:r>
        <w:t xml:space="preserve">(2017).</w:t>
      </w:r>
      <w:r>
        <w:t xml:space="preserve"> </w:t>
      </w:r>
      <w:hyperlink r:id="rId94">
        <w:r>
          <w:rPr>
            <w:rStyle w:val="Hyperlink"/>
          </w:rPr>
          <w:t xml:space="preserve">Intron retention enhances gene regulatory complexity in vertebrates</w:t>
        </w:r>
      </w:hyperlink>
      <w:r>
        <w:t xml:space="preserve">.</w:t>
      </w:r>
      <w:r>
        <w:t xml:space="preserve"> </w:t>
      </w:r>
      <w:r>
        <w:rPr>
          <w:iCs/>
          <w:i/>
        </w:rPr>
        <w:t xml:space="preserve">Genome Biology</w:t>
      </w:r>
      <w:r>
        <w:t xml:space="preserve"> </w:t>
      </w:r>
      <w:r>
        <w:rPr>
          <w:bCs/>
          <w:b/>
        </w:rPr>
        <w:t xml:space="preserve">18</w:t>
      </w:r>
      <w:r>
        <w:t xml:space="preserve">, 216.</w:t>
      </w:r>
    </w:p>
    <w:bookmarkEnd w:id="95"/>
    <w:bookmarkStart w:id="96" w:name="ref-schwerk_regulation_2005"/>
    <w:p>
      <w:pPr>
        <w:pStyle w:val="Bibliography"/>
      </w:pPr>
      <w:r>
        <w:rPr>
          <w:bCs/>
          <w:b/>
        </w:rPr>
        <w:t xml:space="preserve">Schwerk, C. and Schulze-Osthoff, K.</w:t>
      </w:r>
      <w:r>
        <w:t xml:space="preserve"> </w:t>
      </w:r>
      <w:r>
        <w:t xml:space="preserve">(2005). Regulation of apoptosis by alternative pre-</w:t>
      </w:r>
      <w:r>
        <w:t xml:space="preserve">mRNA</w:t>
      </w:r>
      <w:r>
        <w:t xml:space="preserve"> </w:t>
      </w:r>
      <w:r>
        <w:t xml:space="preserve">splicing.</w:t>
      </w:r>
      <w:r>
        <w:t xml:space="preserve"> </w:t>
      </w:r>
      <w:r>
        <w:rPr>
          <w:iCs/>
          <w:i/>
        </w:rPr>
        <w:t xml:space="preserve">Molecular cell</w:t>
      </w:r>
      <w:r>
        <w:t xml:space="preserve"> </w:t>
      </w:r>
      <w:r>
        <w:rPr>
          <w:bCs/>
          <w:b/>
        </w:rPr>
        <w:t xml:space="preserve">19</w:t>
      </w:r>
      <w:r>
        <w:t xml:space="preserve">, 1–13.</w:t>
      </w:r>
    </w:p>
    <w:bookmarkEnd w:id="96"/>
    <w:bookmarkStart w:id="97" w:name="ref-shah_towards_2022"/>
    <w:p>
      <w:pPr>
        <w:pStyle w:val="Bibliography"/>
      </w:pPr>
      <w:r>
        <w:rPr>
          <w:bCs/>
          <w:b/>
        </w:rPr>
        <w:t xml:space="preserve">Shah, J. S., Milevskiy, M. J., Petrova, V., Au, A. Y., Wong, J. J., Visvader, J. E., Schmitz, U. and Rasko, J. E.</w:t>
      </w:r>
      <w:r>
        <w:t xml:space="preserve"> </w:t>
      </w:r>
      <w:r>
        <w:t xml:space="preserve">(2022). Towards resolution of the intron retention paradox in breast cancer.</w:t>
      </w:r>
      <w:r>
        <w:t xml:space="preserve"> </w:t>
      </w:r>
      <w:r>
        <w:rPr>
          <w:iCs/>
          <w:i/>
        </w:rPr>
        <w:t xml:space="preserve">Breast Cancer Research</w:t>
      </w:r>
      <w:r>
        <w:t xml:space="preserve"> </w:t>
      </w:r>
      <w:r>
        <w:rPr>
          <w:bCs/>
          <w:b/>
        </w:rPr>
        <w:t xml:space="preserve">24</w:t>
      </w:r>
      <w:r>
        <w:t xml:space="preserve">, 100.</w:t>
      </w:r>
    </w:p>
    <w:bookmarkEnd w:id="97"/>
    <w:bookmarkStart w:id="99" w:name="ref-stegeman_transcriptional_2017"/>
    <w:p>
      <w:pPr>
        <w:pStyle w:val="Bibliography"/>
      </w:pPr>
      <w:r>
        <w:rPr>
          <w:bCs/>
          <w:b/>
        </w:rPr>
        <w:t xml:space="preserve">Stegeman, R. and Weake, V. M.</w:t>
      </w:r>
      <w:r>
        <w:t xml:space="preserve"> </w:t>
      </w:r>
      <w:r>
        <w:t xml:space="preserve">(2017).</w:t>
      </w:r>
      <w:r>
        <w:t xml:space="preserve"> </w:t>
      </w:r>
      <w:hyperlink r:id="rId98">
        <w:r>
          <w:rPr>
            <w:rStyle w:val="Hyperlink"/>
          </w:rPr>
          <w:t xml:space="preserve">Transcriptional signatures of aging</w:t>
        </w:r>
      </w:hyperlink>
      <w:r>
        <w:t xml:space="preserve">.</w:t>
      </w:r>
      <w:r>
        <w:t xml:space="preserve"> </w:t>
      </w:r>
      <w:r>
        <w:rPr>
          <w:iCs/>
          <w:i/>
        </w:rPr>
        <w:t xml:space="preserve">Journal of Molecular Biology</w:t>
      </w:r>
      <w:r>
        <w:t xml:space="preserve"> </w:t>
      </w:r>
      <w:r>
        <w:rPr>
          <w:bCs/>
          <w:b/>
        </w:rPr>
        <w:t xml:space="preserve">429</w:t>
      </w:r>
      <w:r>
        <w:t xml:space="preserve">, 2427–2437.</w:t>
      </w:r>
    </w:p>
    <w:bookmarkEnd w:id="99"/>
    <w:bookmarkStart w:id="100" w:name="ref-stokes_transcriptomics_2023"/>
    <w:p>
      <w:pPr>
        <w:pStyle w:val="Bibliography"/>
      </w:pPr>
      <w:r>
        <w:rPr>
          <w:bCs/>
          <w:b/>
        </w:rPr>
        <w:t xml:space="preserve">Stokes, T., Cen, H. H., Kapranov, P., Gallagher, I. J., Pitsillides, A. A., Volmar, C.-H., Kraus, W. E., Johnson, J. D., Phillips, S. M. and Wahlestedt, C.</w:t>
      </w:r>
      <w:r>
        <w:t xml:space="preserve"> </w:t>
      </w:r>
      <w:r>
        <w:t xml:space="preserve">(2023). Transcriptomics for clinical and experimental biology research: Hang on a seq.</w:t>
      </w:r>
      <w:r>
        <w:t xml:space="preserve"> </w:t>
      </w:r>
      <w:r>
        <w:rPr>
          <w:iCs/>
          <w:i/>
        </w:rPr>
        <w:t xml:space="preserve">Advanced Genetics</w:t>
      </w:r>
      <w:r>
        <w:t xml:space="preserve"> </w:t>
      </w:r>
      <w:r>
        <w:rPr>
          <w:bCs/>
          <w:b/>
        </w:rPr>
        <w:t xml:space="preserve">4</w:t>
      </w:r>
      <w:r>
        <w:t xml:space="preserve">, 2200024.</w:t>
      </w:r>
    </w:p>
    <w:bookmarkEnd w:id="100"/>
    <w:bookmarkStart w:id="101" w:name="ref-sznajder_intron_2018"/>
    <w:p>
      <w:pPr>
        <w:pStyle w:val="Bibliography"/>
      </w:pPr>
      <w:r>
        <w:rPr>
          <w:bCs/>
          <w:b/>
        </w:rPr>
        <w:t xml:space="preserve">Sznajder, Ł. J., Thomas, J. D., Carrell, E. M., Reid, T., McFarland, K. N., Cleary, J. D., Oliveira, R., Nutter, C. A., Bhatt, K. and Sobczak, K.</w:t>
      </w:r>
      <w:r>
        <w:t xml:space="preserve"> </w:t>
      </w:r>
      <w:r>
        <w:t xml:space="preserve">(2018). Intron retention induced by microsatellite expansions as a disease biomarker.</w:t>
      </w:r>
      <w:r>
        <w:t xml:space="preserve"> </w:t>
      </w:r>
      <w:r>
        <w:rPr>
          <w:iCs/>
          <w:i/>
        </w:rPr>
        <w:t xml:space="preserve">Proceedings of the National Academy of Sciences</w:t>
      </w:r>
      <w:r>
        <w:t xml:space="preserve"> </w:t>
      </w:r>
      <w:r>
        <w:rPr>
          <w:bCs/>
          <w:b/>
        </w:rPr>
        <w:t xml:space="preserve">115</w:t>
      </w:r>
      <w:r>
        <w:t xml:space="preserve">, 4234–4239.</w:t>
      </w:r>
    </w:p>
    <w:bookmarkEnd w:id="101"/>
    <w:bookmarkStart w:id="102" w:name="ref-ubaida-mohien_physical_2019"/>
    <w:p>
      <w:pPr>
        <w:pStyle w:val="Bibliography"/>
      </w:pPr>
      <w:r>
        <w:rPr>
          <w:bCs/>
          <w:b/>
        </w:rPr>
        <w:t xml:space="preserve">Ubaida-Mohien, C., Gonzalez-Freire, M., Lyashkov, A., Moaddel, R., Chia, C. W., Simonsick, E. M., Sen, R. and Ferrucci, L.</w:t>
      </w:r>
      <w:r>
        <w:t xml:space="preserve"> </w:t>
      </w:r>
      <w:r>
        <w:t xml:space="preserve">(2019a). Physical activity associated proteomics of skeletal muscle: Being physically active in daily life may protect skeletal muscle from aging.</w:t>
      </w:r>
      <w:r>
        <w:t xml:space="preserve"> </w:t>
      </w:r>
      <w:r>
        <w:rPr>
          <w:iCs/>
          <w:i/>
        </w:rPr>
        <w:t xml:space="preserve">Frontiers in physiology</w:t>
      </w:r>
      <w:r>
        <w:t xml:space="preserve"> </w:t>
      </w:r>
      <w:r>
        <w:rPr>
          <w:bCs/>
          <w:b/>
        </w:rPr>
        <w:t xml:space="preserve">10</w:t>
      </w:r>
      <w:r>
        <w:t xml:space="preserve">, 312.</w:t>
      </w:r>
    </w:p>
    <w:bookmarkEnd w:id="102"/>
    <w:bookmarkStart w:id="104" w:name="ref-ubaida-mohien_discovery_2019"/>
    <w:p>
      <w:pPr>
        <w:pStyle w:val="Bibliography"/>
      </w:pPr>
      <w:r>
        <w:rPr>
          <w:bCs/>
          <w:b/>
        </w:rPr>
        <w:t xml:space="preserve">Ubaida-Mohien, C., Lyashkov, A., Gonzalez-Freire, M., Tharakan, R., Shardell, M., Moaddel, R., Semba, R. D., Chia, C. W., Gorospe, M., Sen, R., et al.</w:t>
      </w:r>
      <w:r>
        <w:t xml:space="preserve"> </w:t>
      </w:r>
      <w:r>
        <w:t xml:space="preserve">(2019b).</w:t>
      </w:r>
      <w:r>
        <w:t xml:space="preserve"> </w:t>
      </w:r>
      <w:hyperlink r:id="rId103">
        <w:r>
          <w:rPr>
            <w:rStyle w:val="Hyperlink"/>
          </w:rPr>
          <w:t xml:space="preserve">Discovery proteomics in aging human skeletal muscle finds change in spliceosome, immunity, proteostasis and mitochondria</w:t>
        </w:r>
      </w:hyperlink>
      <w:r>
        <w:t xml:space="preserve">.</w:t>
      </w:r>
      <w:r>
        <w:t xml:space="preserve"> </w:t>
      </w:r>
      <w:r>
        <w:rPr>
          <w:iCs/>
          <w:i/>
        </w:rPr>
        <w:t xml:space="preserve">eLife</w:t>
      </w:r>
      <w:r>
        <w:t xml:space="preserve"> </w:t>
      </w:r>
      <w:r>
        <w:rPr>
          <w:bCs/>
          <w:b/>
        </w:rPr>
        <w:t xml:space="preserve">8</w:t>
      </w:r>
      <w:r>
        <w:t xml:space="preserve">, e49874.</w:t>
      </w:r>
    </w:p>
    <w:bookmarkEnd w:id="104"/>
    <w:bookmarkStart w:id="106" w:name="ref-ubaida-mohien_unbiased_2022"/>
    <w:p>
      <w:pPr>
        <w:pStyle w:val="Bibliography"/>
      </w:pPr>
      <w:r>
        <w:rPr>
          <w:bCs/>
          <w:b/>
        </w:rPr>
        <w:t xml:space="preserve">Ubaida-Mohien, C., Spendiff, S., Lyashkov, A., Moaddel, R., MacMillan, N. J., Filion, M.-E., Morais, J. A., Taivassalo, T., Ferrucci, L. and Hepple, R. T.</w:t>
      </w:r>
      <w:r>
        <w:t xml:space="preserve"> </w:t>
      </w:r>
      <w:r>
        <w:t xml:space="preserve">(2022).</w:t>
      </w:r>
      <w:r>
        <w:t xml:space="preserve"> </w:t>
      </w:r>
      <w:hyperlink r:id="rId105">
        <w:r>
          <w:rPr>
            <w:rStyle w:val="Hyperlink"/>
          </w:rPr>
          <w:t xml:space="preserve">Unbiased proteomics, histochemistry, and mitochondrial</w:t>
        </w:r>
        <w:r>
          <w:rPr>
            <w:rStyle w:val="Hyperlink"/>
          </w:rPr>
          <w:t xml:space="preserve"> </w:t>
        </w:r>
        <w:r>
          <w:rPr>
            <w:rStyle w:val="Hyperlink"/>
          </w:rPr>
          <w:t xml:space="preserve">DNA</w:t>
        </w:r>
        <w:r>
          <w:rPr>
            <w:rStyle w:val="Hyperlink"/>
          </w:rPr>
          <w:t xml:space="preserve"> </w:t>
        </w:r>
        <w:r>
          <w:rPr>
            <w:rStyle w:val="Hyperlink"/>
          </w:rPr>
          <w:t xml:space="preserve">copy number reveal better mitochondrial health in muscle of high-functioning octogenarians</w:t>
        </w:r>
      </w:hyperlink>
      <w:r>
        <w:t xml:space="preserve">.</w:t>
      </w:r>
      <w:r>
        <w:t xml:space="preserve"> </w:t>
      </w:r>
      <w:r>
        <w:rPr>
          <w:iCs/>
          <w:i/>
        </w:rPr>
        <w:t xml:space="preserve">eLife</w:t>
      </w:r>
      <w:r>
        <w:t xml:space="preserve"> </w:t>
      </w:r>
      <w:r>
        <w:rPr>
          <w:bCs/>
          <w:b/>
        </w:rPr>
        <w:t xml:space="preserve">11</w:t>
      </w:r>
      <w:r>
        <w:t xml:space="preserve">, e74335.</w:t>
      </w:r>
    </w:p>
    <w:bookmarkEnd w:id="106"/>
    <w:bookmarkStart w:id="108" w:name="ref-veeneman_two-pass_2016"/>
    <w:p>
      <w:pPr>
        <w:pStyle w:val="Bibliography"/>
      </w:pPr>
      <w:r>
        <w:rPr>
          <w:bCs/>
          <w:b/>
        </w:rPr>
        <w:t xml:space="preserve">Veeneman, B. A., Shukla, S., Dhanasekaran, S. M., Chinnaiyan, A. M. and Nesvizhskii, A. I.</w:t>
      </w:r>
      <w:r>
        <w:t xml:space="preserve"> </w:t>
      </w:r>
      <w:r>
        <w:t xml:space="preserve">(2016).</w:t>
      </w:r>
      <w:r>
        <w:t xml:space="preserve"> </w:t>
      </w:r>
      <w:hyperlink r:id="rId107">
        <w:r>
          <w:rPr>
            <w:rStyle w:val="Hyperlink"/>
          </w:rPr>
          <w:t xml:space="preserve">Two-pass alignment improves novel splice junction quantification.</w:t>
        </w:r>
      </w:hyperlink>
      <w:r>
        <w:t xml:space="preserve"> </w:t>
      </w:r>
      <w:r>
        <w:rPr>
          <w:iCs/>
          <w:i/>
        </w:rPr>
        <w:t xml:space="preserve">Bioinformatics</w:t>
      </w:r>
      <w:r>
        <w:t xml:space="preserve"> </w:t>
      </w:r>
      <w:r>
        <w:rPr>
          <w:bCs/>
          <w:b/>
        </w:rPr>
        <w:t xml:space="preserve">32</w:t>
      </w:r>
      <w:r>
        <w:t xml:space="preserve">, 43–49.</w:t>
      </w:r>
    </w:p>
    <w:bookmarkEnd w:id="108"/>
    <w:bookmarkStart w:id="109" w:name="ref-welle_gene_2003"/>
    <w:p>
      <w:pPr>
        <w:pStyle w:val="Bibliography"/>
      </w:pPr>
      <w:r>
        <w:rPr>
          <w:bCs/>
          <w:b/>
        </w:rPr>
        <w:t xml:space="preserve">Welle, S., Brooks, A. I., Delehanty, J. M., Needler, N. and Thornton, C. A.</w:t>
      </w:r>
      <w:r>
        <w:t xml:space="preserve"> </w:t>
      </w:r>
      <w:r>
        <w:t xml:space="preserve">(2003). Gene expression profile of aging in human muscle.</w:t>
      </w:r>
      <w:r>
        <w:t xml:space="preserve"> </w:t>
      </w:r>
      <w:r>
        <w:rPr>
          <w:iCs/>
          <w:i/>
        </w:rPr>
        <w:t xml:space="preserve">Physiological genomics</w:t>
      </w:r>
      <w:r>
        <w:t xml:space="preserve"> </w:t>
      </w:r>
      <w:r>
        <w:rPr>
          <w:bCs/>
          <w:b/>
        </w:rPr>
        <w:t xml:space="preserve">14</w:t>
      </w:r>
      <w:r>
        <w:t xml:space="preserve">, 149–159.</w:t>
      </w:r>
    </w:p>
    <w:bookmarkEnd w:id="109"/>
    <w:bookmarkStart w:id="110" w:name="ref-wong_intron_2022"/>
    <w:p>
      <w:pPr>
        <w:pStyle w:val="Bibliography"/>
      </w:pPr>
      <w:r>
        <w:rPr>
          <w:bCs/>
          <w:b/>
        </w:rPr>
        <w:t xml:space="preserve">Wong, J. J.-L. and Schmitz, U.</w:t>
      </w:r>
      <w:r>
        <w:t xml:space="preserve"> </w:t>
      </w:r>
      <w:r>
        <w:t xml:space="preserve">(2022). Intron retention: Importance, challenges, and opportunities.</w:t>
      </w:r>
      <w:r>
        <w:t xml:space="preserve"> </w:t>
      </w:r>
      <w:r>
        <w:rPr>
          <w:iCs/>
          <w:i/>
        </w:rPr>
        <w:t xml:space="preserve">Trends in Genetics</w:t>
      </w:r>
      <w:r>
        <w:t xml:space="preserve"> </w:t>
      </w:r>
      <w:r>
        <w:rPr>
          <w:bCs/>
          <w:b/>
        </w:rPr>
        <w:t xml:space="preserve">38</w:t>
      </w:r>
      <w:r>
        <w:t xml:space="preserve">, 789–792.</w:t>
      </w:r>
    </w:p>
    <w:bookmarkEnd w:id="110"/>
    <w:bookmarkStart w:id="112" w:name="ref-wong_orchestrated_2013"/>
    <w:p>
      <w:pPr>
        <w:pStyle w:val="Bibliography"/>
      </w:pPr>
      <w:r>
        <w:rPr>
          <w:bCs/>
          <w:b/>
        </w:rPr>
        <w:t xml:space="preserve">Wong, J. J.-L., Ritchie, W., Ebner, O. A., Selbach, M., Wong, J. W. H., Huang, Y., Gao, D., Pinello, N., Gonzalez, M., Baidya, K., et al.</w:t>
      </w:r>
      <w:r>
        <w:t xml:space="preserve"> </w:t>
      </w:r>
      <w:r>
        <w:t xml:space="preserve">(2013).</w:t>
      </w:r>
      <w:r>
        <w:t xml:space="preserve"> </w:t>
      </w:r>
      <w:hyperlink r:id="rId111">
        <w:r>
          <w:rPr>
            <w:rStyle w:val="Hyperlink"/>
          </w:rPr>
          <w:t xml:space="preserve">Orchestrated intron retention regulates normal granulocyte differentiation</w:t>
        </w:r>
      </w:hyperlink>
      <w:r>
        <w:t xml:space="preserve">.</w:t>
      </w:r>
      <w:r>
        <w:t xml:space="preserve"> </w:t>
      </w:r>
      <w:r>
        <w:rPr>
          <w:iCs/>
          <w:i/>
        </w:rPr>
        <w:t xml:space="preserve">Cell</w:t>
      </w:r>
      <w:r>
        <w:t xml:space="preserve"> </w:t>
      </w:r>
      <w:r>
        <w:rPr>
          <w:bCs/>
          <w:b/>
        </w:rPr>
        <w:t xml:space="preserve">154</w:t>
      </w:r>
      <w:r>
        <w:t xml:space="preserve">, 583–595.</w:t>
      </w:r>
    </w:p>
    <w:bookmarkEnd w:id="112"/>
    <w:bookmarkStart w:id="114" w:name="ref-wong_intron_2016"/>
    <w:p>
      <w:pPr>
        <w:pStyle w:val="Bibliography"/>
      </w:pPr>
      <w:r>
        <w:rPr>
          <w:bCs/>
          <w:b/>
        </w:rPr>
        <w:t xml:space="preserve">Wong, J. J.-L., Au, A. Y. M., Ritchie, W. and Rasko, J. E. J.</w:t>
      </w:r>
      <w:r>
        <w:t xml:space="preserve"> </w:t>
      </w:r>
      <w:r>
        <w:t xml:space="preserve">(2016).</w:t>
      </w:r>
      <w:r>
        <w:t xml:space="preserve"> </w:t>
      </w:r>
      <w:hyperlink r:id="rId113">
        <w:r>
          <w:rPr>
            <w:rStyle w:val="Hyperlink"/>
          </w:rPr>
          <w:t xml:space="preserve">Intron retention in</w:t>
        </w:r>
        <w:r>
          <w:rPr>
            <w:rStyle w:val="Hyperlink"/>
          </w:rPr>
          <w:t xml:space="preserve"> </w:t>
        </w:r>
        <w:r>
          <w:rPr>
            <w:rStyle w:val="Hyperlink"/>
          </w:rPr>
          <w:t xml:space="preserve">mRNA</w:t>
        </w:r>
        <w:r>
          <w:rPr>
            <w:rStyle w:val="Hyperlink"/>
          </w:rPr>
          <w:t xml:space="preserve">: No longer nonsense: Known and putative roles of intron retention in normal and disease biology.</w:t>
        </w:r>
      </w:hyperlink>
      <w:r>
        <w:t xml:space="preserve"> </w:t>
      </w:r>
      <w:r>
        <w:rPr>
          <w:iCs/>
          <w:i/>
        </w:rPr>
        <w:t xml:space="preserve">Bioessays</w:t>
      </w:r>
      <w:r>
        <w:t xml:space="preserve"> </w:t>
      </w:r>
      <w:r>
        <w:rPr>
          <w:bCs/>
          <w:b/>
        </w:rPr>
        <w:t xml:space="preserve">38</w:t>
      </w:r>
      <w:r>
        <w:t xml:space="preserve">, 41–49.</w:t>
      </w:r>
    </w:p>
    <w:bookmarkEnd w:id="114"/>
    <w:bookmarkStart w:id="115" w:name="ref-zheng_intron_2020"/>
    <w:p>
      <w:pPr>
        <w:pStyle w:val="Bibliography"/>
      </w:pPr>
      <w:r>
        <w:rPr>
          <w:bCs/>
          <w:b/>
        </w:rPr>
        <w:t xml:space="preserve">Zheng, J.-T., Lin, C.-X., Fang, Z.-Y. and Li, H.-D.</w:t>
      </w:r>
      <w:r>
        <w:t xml:space="preserve"> </w:t>
      </w:r>
      <w:r>
        <w:t xml:space="preserve">(2020). Intron retention as a mode for</w:t>
      </w:r>
      <w:r>
        <w:t xml:space="preserve"> </w:t>
      </w:r>
      <w:r>
        <w:t xml:space="preserve">RNA</w:t>
      </w:r>
      <w:r>
        <w:t xml:space="preserve">-seq data analysis.</w:t>
      </w:r>
      <w:r>
        <w:t xml:space="preserve"> </w:t>
      </w:r>
      <w:r>
        <w:rPr>
          <w:iCs/>
          <w:i/>
        </w:rPr>
        <w:t xml:space="preserve">Frontiers in genetics</w:t>
      </w:r>
      <w:r>
        <w:t xml:space="preserve"> </w:t>
      </w:r>
      <w:r>
        <w:rPr>
          <w:bCs/>
          <w:b/>
        </w:rPr>
        <w:t xml:space="preserve">11</w:t>
      </w:r>
      <w:r>
        <w:t xml:space="preserve">, 586.</w:t>
      </w:r>
    </w:p>
    <w:bookmarkEnd w:id="115"/>
    <w:bookmarkEnd w:id="116"/>
    <w:bookmarkEnd w:id="117"/>
    <w:bookmarkEnd w:id="118"/>
    <w:bookmarkEnd w:id="119"/>
    <w:sectPr w:rsidR="0082747B" w:rsidRPr="00664515" w:rsidSect="00664515">
      <w:headerReference r:id="rId9" w:type="default"/>
      <w:pgSz w:h="15840" w:w="12240"/>
      <w:pgMar w:bottom="1417" w:footer="708" w:gutter="0" w:header="708" w:left="1417" w:right="1417" w:top="1417"/>
      <w:lnNumType w:countBy="1" w:restart="continuous"/>
      <w:cols w:space="708"/>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618523016"/>
      <w:docPartObj>
        <w:docPartGallery w:val="Page Numbers (Top of Page)"/>
        <w:docPartUnique/>
      </w:docPartObj>
    </w:sdtPr>
    <w:sdtContent>
      <w:p w14:paraId="48601AD3" w14:textId="77777777" w:rsidR="00000000" w:rsidRDefault="00000000">
        <w:pPr>
          <w:pStyle w:val="Topptekst"/>
          <w:jc w:val="right"/>
        </w:pPr>
        <w:r>
          <w:fldChar w:fldCharType="begin"/>
        </w:r>
        <w:r>
          <w:instrText>PAGE   \* MERGEFORMAT</w:instrText>
        </w:r>
        <w:r>
          <w:fldChar w:fldCharType="separate"/>
        </w:r>
        <w:r>
          <w:rPr>
            <w:lang w:val="nb-NO"/>
          </w:rPr>
          <w:t>2</w:t>
        </w:r>
        <w:r>
          <w:fldChar w:fldCharType="end"/>
        </w:r>
      </w:p>
    </w:sdtContent>
  </w:sdt>
  <w:p w14:paraId="29F1F56F" w14:textId="77777777" w:rsidR="00000000" w:rsidRDefault="00000000">
    <w:pPr>
      <w:pStyle w:val="Topptekst"/>
    </w:pP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savePreviewPicture/>
  <w:rsids>
  </w:rsids>
  <w:clrSchemeMapping w:accent1="accent1" w:accent2="accent2" w:accent3="accent3" w:accent4="accent4" w:accent5="accent5" w:accent6="accent6" w:bg1="light1" w:bg2="light2" w:followedHyperlink="followedHyperlink" w:hyperlink="hyperlink" w:t1="dark1" w:t2="dark2"/>
  <w:zoom w:percent="100"/>
  <w:proofState w:grammar="clean"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m:mathPr>
    <m:mathFont m:val="Cambria Math"/>
    <m:brkBin m:val="before"/>
    <m:brkBinSub m:val="--"/>
    <m:smallFrac m:val="0"/>
    <m:dispDef/>
    <m:lMargin m:val="0"/>
    <m:rMargin m:val="0"/>
    <m:defJc m:val="centerGroup"/>
    <m:wrapIndent m:val="1440"/>
    <m:intLim m:val="subSup"/>
    <m:naryLim m:val="undOvr"/>
  </m:mathPr>
  <w:themeFontLang w:val="nb-NO"/>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kern w:val="2"/>
        <w:sz w:val="22"/>
        <w:szCs w:val="22"/>
        <w:lang w:bidi="ar-SA" w:eastAsia="en-US" w:val="nb-NO"/>
        <w14:ligatures w14:val="standardContextual"/>
      </w:rPr>
    </w:rPrDefault>
    <w:pPrDefault>
      <w:pPr>
        <w:spacing w:after="160" w:line="259"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qFormat="1"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664515"/>
    <w:pPr>
      <w:spacing w:after="200" w:line="240" w:lineRule="auto"/>
    </w:pPr>
    <w:rPr>
      <w:kern w:val="0"/>
      <w:sz w:val="24"/>
      <w:szCs w:val="24"/>
      <w:lang w:val="en-US"/>
      <w14:ligatures w14:val="none"/>
    </w:rPr>
  </w:style>
  <w:style w:styleId="Overskrift1" w:type="paragraph">
    <w:name w:val="heading 1"/>
    <w:basedOn w:val="Normal"/>
    <w:next w:val="Normal"/>
    <w:link w:val="Overskrift1Tegn"/>
    <w:uiPriority w:val="9"/>
    <w:qFormat/>
    <w:rsid w:val="00664515"/>
    <w:pPr>
      <w:keepNext/>
      <w:keepLines/>
      <w:spacing w:after="80" w:before="360" w:line="259" w:lineRule="auto"/>
      <w:outlineLvl w:val="0"/>
    </w:pPr>
    <w:rPr>
      <w:rFonts w:asciiTheme="majorHAnsi" w:cstheme="majorBidi" w:eastAsiaTheme="majorEastAsia" w:hAnsiTheme="majorHAnsi"/>
      <w:color w:themeColor="accent1" w:themeShade="BF" w:val="0F4761"/>
      <w:kern w:val="2"/>
      <w:sz w:val="40"/>
      <w:szCs w:val="40"/>
      <w:lang w:val="nb-NO"/>
      <w14:ligatures w14:val="standardContextual"/>
    </w:rPr>
  </w:style>
  <w:style w:styleId="Overskrift2" w:type="paragraph">
    <w:name w:val="heading 2"/>
    <w:basedOn w:val="Normal"/>
    <w:next w:val="Normal"/>
    <w:link w:val="Overskrift2Tegn"/>
    <w:uiPriority w:val="9"/>
    <w:unhideWhenUsed/>
    <w:qFormat/>
    <w:rsid w:val="00664515"/>
    <w:pPr>
      <w:keepNext/>
      <w:keepLines/>
      <w:spacing w:after="80" w:before="160" w:line="259" w:lineRule="auto"/>
      <w:outlineLvl w:val="1"/>
    </w:pPr>
    <w:rPr>
      <w:rFonts w:asciiTheme="majorHAnsi" w:cstheme="majorBidi" w:eastAsiaTheme="majorEastAsia" w:hAnsiTheme="majorHAnsi"/>
      <w:color w:themeColor="accent1" w:themeShade="BF" w:val="0F4761"/>
      <w:kern w:val="2"/>
      <w:sz w:val="32"/>
      <w:szCs w:val="32"/>
      <w:lang w:val="nb-NO"/>
      <w14:ligatures w14:val="standardContextual"/>
    </w:rPr>
  </w:style>
  <w:style w:styleId="Overskrift3" w:type="paragraph">
    <w:name w:val="heading 3"/>
    <w:basedOn w:val="Normal"/>
    <w:next w:val="Normal"/>
    <w:link w:val="Overskrift3Tegn"/>
    <w:uiPriority w:val="9"/>
    <w:unhideWhenUsed/>
    <w:qFormat/>
    <w:rsid w:val="00664515"/>
    <w:pPr>
      <w:keepNext/>
      <w:keepLines/>
      <w:spacing w:after="80" w:before="160" w:line="259" w:lineRule="auto"/>
      <w:outlineLvl w:val="2"/>
    </w:pPr>
    <w:rPr>
      <w:rFonts w:cstheme="majorBidi" w:eastAsiaTheme="majorEastAsia"/>
      <w:color w:themeColor="accent1" w:themeShade="BF" w:val="0F4761"/>
      <w:kern w:val="2"/>
      <w:sz w:val="28"/>
      <w:szCs w:val="28"/>
      <w:lang w:val="nb-NO"/>
      <w14:ligatures w14:val="standardContextual"/>
    </w:rPr>
  </w:style>
  <w:style w:styleId="Overskrift4" w:type="paragraph">
    <w:name w:val="heading 4"/>
    <w:basedOn w:val="Normal"/>
    <w:next w:val="Normal"/>
    <w:link w:val="Overskrift4Tegn"/>
    <w:uiPriority w:val="9"/>
    <w:unhideWhenUsed/>
    <w:qFormat/>
    <w:rsid w:val="00664515"/>
    <w:pPr>
      <w:keepNext/>
      <w:keepLines/>
      <w:spacing w:after="40" w:before="80" w:line="259" w:lineRule="auto"/>
      <w:outlineLvl w:val="3"/>
    </w:pPr>
    <w:rPr>
      <w:rFonts w:cstheme="majorBidi" w:eastAsiaTheme="majorEastAsia"/>
      <w:i/>
      <w:iCs/>
      <w:color w:themeColor="accent1" w:themeShade="BF" w:val="0F4761"/>
      <w:kern w:val="2"/>
      <w:sz w:val="22"/>
      <w:szCs w:val="22"/>
      <w:lang w:val="nb-NO"/>
      <w14:ligatures w14:val="standardContextual"/>
    </w:rPr>
  </w:style>
  <w:style w:styleId="Overskrift5" w:type="paragraph">
    <w:name w:val="heading 5"/>
    <w:basedOn w:val="Normal"/>
    <w:next w:val="Normal"/>
    <w:link w:val="Overskrift5Tegn"/>
    <w:uiPriority w:val="9"/>
    <w:semiHidden/>
    <w:unhideWhenUsed/>
    <w:qFormat/>
    <w:rsid w:val="00664515"/>
    <w:pPr>
      <w:keepNext/>
      <w:keepLines/>
      <w:spacing w:after="40" w:before="80" w:line="259" w:lineRule="auto"/>
      <w:outlineLvl w:val="4"/>
    </w:pPr>
    <w:rPr>
      <w:rFonts w:cstheme="majorBidi" w:eastAsiaTheme="majorEastAsia"/>
      <w:color w:themeColor="accent1" w:themeShade="BF" w:val="0F4761"/>
      <w:kern w:val="2"/>
      <w:sz w:val="22"/>
      <w:szCs w:val="22"/>
      <w:lang w:val="nb-NO"/>
      <w14:ligatures w14:val="standardContextual"/>
    </w:rPr>
  </w:style>
  <w:style w:styleId="Overskrift6" w:type="paragraph">
    <w:name w:val="heading 6"/>
    <w:basedOn w:val="Normal"/>
    <w:next w:val="Normal"/>
    <w:link w:val="Overskrift6Tegn"/>
    <w:uiPriority w:val="9"/>
    <w:semiHidden/>
    <w:unhideWhenUsed/>
    <w:qFormat/>
    <w:rsid w:val="00664515"/>
    <w:pPr>
      <w:keepNext/>
      <w:keepLines/>
      <w:spacing w:after="0" w:before="40" w:line="259" w:lineRule="auto"/>
      <w:outlineLvl w:val="5"/>
    </w:pPr>
    <w:rPr>
      <w:rFonts w:cstheme="majorBidi" w:eastAsiaTheme="majorEastAsia"/>
      <w:i/>
      <w:iCs/>
      <w:color w:themeColor="text1" w:themeTint="A6" w:val="595959"/>
      <w:kern w:val="2"/>
      <w:sz w:val="22"/>
      <w:szCs w:val="22"/>
      <w:lang w:val="nb-NO"/>
      <w14:ligatures w14:val="standardContextual"/>
    </w:rPr>
  </w:style>
  <w:style w:styleId="Overskrift7" w:type="paragraph">
    <w:name w:val="heading 7"/>
    <w:basedOn w:val="Normal"/>
    <w:next w:val="Normal"/>
    <w:link w:val="Overskrift7Tegn"/>
    <w:uiPriority w:val="9"/>
    <w:semiHidden/>
    <w:unhideWhenUsed/>
    <w:qFormat/>
    <w:rsid w:val="00664515"/>
    <w:pPr>
      <w:keepNext/>
      <w:keepLines/>
      <w:spacing w:after="0" w:before="40" w:line="259" w:lineRule="auto"/>
      <w:outlineLvl w:val="6"/>
    </w:pPr>
    <w:rPr>
      <w:rFonts w:cstheme="majorBidi" w:eastAsiaTheme="majorEastAsia"/>
      <w:color w:themeColor="text1" w:themeTint="A6" w:val="595959"/>
      <w:kern w:val="2"/>
      <w:sz w:val="22"/>
      <w:szCs w:val="22"/>
      <w:lang w:val="nb-NO"/>
      <w14:ligatures w14:val="standardContextual"/>
    </w:rPr>
  </w:style>
  <w:style w:styleId="Overskrift8" w:type="paragraph">
    <w:name w:val="heading 8"/>
    <w:basedOn w:val="Normal"/>
    <w:next w:val="Normal"/>
    <w:link w:val="Overskrift8Tegn"/>
    <w:uiPriority w:val="9"/>
    <w:semiHidden/>
    <w:unhideWhenUsed/>
    <w:qFormat/>
    <w:rsid w:val="00664515"/>
    <w:pPr>
      <w:keepNext/>
      <w:keepLines/>
      <w:spacing w:after="0" w:line="259" w:lineRule="auto"/>
      <w:outlineLvl w:val="7"/>
    </w:pPr>
    <w:rPr>
      <w:rFonts w:cstheme="majorBidi" w:eastAsiaTheme="majorEastAsia"/>
      <w:i/>
      <w:iCs/>
      <w:color w:themeColor="text1" w:themeTint="D8" w:val="272727"/>
      <w:kern w:val="2"/>
      <w:sz w:val="22"/>
      <w:szCs w:val="22"/>
      <w:lang w:val="nb-NO"/>
      <w14:ligatures w14:val="standardContextual"/>
    </w:rPr>
  </w:style>
  <w:style w:styleId="Overskrift9" w:type="paragraph">
    <w:name w:val="heading 9"/>
    <w:basedOn w:val="Normal"/>
    <w:next w:val="Normal"/>
    <w:link w:val="Overskrift9Tegn"/>
    <w:uiPriority w:val="9"/>
    <w:semiHidden/>
    <w:unhideWhenUsed/>
    <w:qFormat/>
    <w:rsid w:val="00664515"/>
    <w:pPr>
      <w:keepNext/>
      <w:keepLines/>
      <w:spacing w:after="0" w:line="259" w:lineRule="auto"/>
      <w:outlineLvl w:val="8"/>
    </w:pPr>
    <w:rPr>
      <w:rFonts w:cstheme="majorBidi" w:eastAsiaTheme="majorEastAsia"/>
      <w:color w:themeColor="text1" w:themeTint="D8" w:val="272727"/>
      <w:kern w:val="2"/>
      <w:sz w:val="22"/>
      <w:szCs w:val="22"/>
      <w:lang w:val="nb-NO"/>
      <w14:ligatures w14:val="standardContextual"/>
    </w:rPr>
  </w:style>
  <w:style w:default="1" w:styleId="Standardskriftforavsnitt" w:type="character">
    <w:name w:val="Default Paragraph Font"/>
    <w:uiPriority w:val="1"/>
    <w:semiHidden/>
    <w:unhideWhenUsed/>
  </w:style>
  <w:style w:default="1" w:styleId="Vanligtabell" w:type="table">
    <w:name w:val="Normal Table"/>
    <w:uiPriority w:val="99"/>
    <w:semiHidden/>
    <w:unhideWhenUsed/>
    <w:tblPr>
      <w:tblInd w:type="dxa" w:w="0"/>
      <w:tblCellMar>
        <w:top w:type="dxa" w:w="0"/>
        <w:left w:type="dxa" w:w="108"/>
        <w:bottom w:type="dxa" w:w="0"/>
        <w:right w:type="dxa" w:w="108"/>
      </w:tblCellMar>
    </w:tblPr>
  </w:style>
  <w:style w:default="1" w:styleId="Ingenliste" w:type="numbering">
    <w:name w:val="No List"/>
    <w:uiPriority w:val="99"/>
    <w:semiHidden/>
    <w:unhideWhenUsed/>
  </w:style>
  <w:style w:customStyle="1" w:styleId="Overskrift1Tegn" w:type="character">
    <w:name w:val="Overskrift 1 Tegn"/>
    <w:basedOn w:val="Standardskriftforavsnitt"/>
    <w:link w:val="Overskrift1"/>
    <w:uiPriority w:val="9"/>
    <w:rsid w:val="00664515"/>
    <w:rPr>
      <w:rFonts w:asciiTheme="majorHAnsi" w:cstheme="majorBidi" w:eastAsiaTheme="majorEastAsia" w:hAnsiTheme="majorHAnsi"/>
      <w:color w:themeColor="accent1" w:themeShade="BF" w:val="0F4761"/>
      <w:sz w:val="40"/>
      <w:szCs w:val="40"/>
    </w:rPr>
  </w:style>
  <w:style w:customStyle="1" w:styleId="Overskrift2Tegn" w:type="character">
    <w:name w:val="Overskrift 2 Tegn"/>
    <w:basedOn w:val="Standardskriftforavsnitt"/>
    <w:link w:val="Overskrift2"/>
    <w:uiPriority w:val="9"/>
    <w:rsid w:val="00664515"/>
    <w:rPr>
      <w:rFonts w:asciiTheme="majorHAnsi" w:cstheme="majorBidi" w:eastAsiaTheme="majorEastAsia" w:hAnsiTheme="majorHAnsi"/>
      <w:color w:themeColor="accent1" w:themeShade="BF" w:val="0F4761"/>
      <w:sz w:val="32"/>
      <w:szCs w:val="32"/>
    </w:rPr>
  </w:style>
  <w:style w:customStyle="1" w:styleId="Overskrift3Tegn" w:type="character">
    <w:name w:val="Overskrift 3 Tegn"/>
    <w:basedOn w:val="Standardskriftforavsnitt"/>
    <w:link w:val="Overskrift3"/>
    <w:uiPriority w:val="9"/>
    <w:semiHidden/>
    <w:rsid w:val="00664515"/>
    <w:rPr>
      <w:rFonts w:cstheme="majorBidi" w:eastAsiaTheme="majorEastAsia"/>
      <w:color w:themeColor="accent1" w:themeShade="BF" w:val="0F4761"/>
      <w:sz w:val="28"/>
      <w:szCs w:val="28"/>
    </w:rPr>
  </w:style>
  <w:style w:customStyle="1" w:styleId="Overskrift4Tegn" w:type="character">
    <w:name w:val="Overskrift 4 Tegn"/>
    <w:basedOn w:val="Standardskriftforavsnitt"/>
    <w:link w:val="Overskrift4"/>
    <w:uiPriority w:val="9"/>
    <w:semiHidden/>
    <w:rsid w:val="00664515"/>
    <w:rPr>
      <w:rFonts w:cstheme="majorBidi" w:eastAsiaTheme="majorEastAsia"/>
      <w:i/>
      <w:iCs/>
      <w:color w:themeColor="accent1" w:themeShade="BF" w:val="0F4761"/>
    </w:rPr>
  </w:style>
  <w:style w:customStyle="1" w:styleId="Overskrift5Tegn" w:type="character">
    <w:name w:val="Overskrift 5 Tegn"/>
    <w:basedOn w:val="Standardskriftforavsnitt"/>
    <w:link w:val="Overskrift5"/>
    <w:uiPriority w:val="9"/>
    <w:semiHidden/>
    <w:rsid w:val="00664515"/>
    <w:rPr>
      <w:rFonts w:cstheme="majorBidi" w:eastAsiaTheme="majorEastAsia"/>
      <w:color w:themeColor="accent1" w:themeShade="BF" w:val="0F4761"/>
    </w:rPr>
  </w:style>
  <w:style w:customStyle="1" w:styleId="Overskrift6Tegn" w:type="character">
    <w:name w:val="Overskrift 6 Tegn"/>
    <w:basedOn w:val="Standardskriftforavsnitt"/>
    <w:link w:val="Overskrift6"/>
    <w:uiPriority w:val="9"/>
    <w:semiHidden/>
    <w:rsid w:val="00664515"/>
    <w:rPr>
      <w:rFonts w:cstheme="majorBidi" w:eastAsiaTheme="majorEastAsia"/>
      <w:i/>
      <w:iCs/>
      <w:color w:themeColor="text1" w:themeTint="A6" w:val="595959"/>
    </w:rPr>
  </w:style>
  <w:style w:customStyle="1" w:styleId="Overskrift7Tegn" w:type="character">
    <w:name w:val="Overskrift 7 Tegn"/>
    <w:basedOn w:val="Standardskriftforavsnitt"/>
    <w:link w:val="Overskrift7"/>
    <w:uiPriority w:val="9"/>
    <w:semiHidden/>
    <w:rsid w:val="00664515"/>
    <w:rPr>
      <w:rFonts w:cstheme="majorBidi" w:eastAsiaTheme="majorEastAsia"/>
      <w:color w:themeColor="text1" w:themeTint="A6" w:val="595959"/>
    </w:rPr>
  </w:style>
  <w:style w:customStyle="1" w:styleId="Overskrift8Tegn" w:type="character">
    <w:name w:val="Overskrift 8 Tegn"/>
    <w:basedOn w:val="Standardskriftforavsnitt"/>
    <w:link w:val="Overskrift8"/>
    <w:uiPriority w:val="9"/>
    <w:semiHidden/>
    <w:rsid w:val="00664515"/>
    <w:rPr>
      <w:rFonts w:cstheme="majorBidi" w:eastAsiaTheme="majorEastAsia"/>
      <w:i/>
      <w:iCs/>
      <w:color w:themeColor="text1" w:themeTint="D8" w:val="272727"/>
    </w:rPr>
  </w:style>
  <w:style w:customStyle="1" w:styleId="Overskrift9Tegn" w:type="character">
    <w:name w:val="Overskrift 9 Tegn"/>
    <w:basedOn w:val="Standardskriftforavsnitt"/>
    <w:link w:val="Overskrift9"/>
    <w:uiPriority w:val="9"/>
    <w:semiHidden/>
    <w:rsid w:val="00664515"/>
    <w:rPr>
      <w:rFonts w:cstheme="majorBidi" w:eastAsiaTheme="majorEastAsia"/>
      <w:color w:themeColor="text1" w:themeTint="D8" w:val="272727"/>
    </w:rPr>
  </w:style>
  <w:style w:styleId="Tittel" w:type="paragraph">
    <w:name w:val="Title"/>
    <w:basedOn w:val="Normal"/>
    <w:next w:val="Normal"/>
    <w:link w:val="TittelTegn"/>
    <w:qFormat/>
    <w:rsid w:val="00664515"/>
    <w:pPr>
      <w:spacing w:after="80"/>
      <w:contextualSpacing/>
    </w:pPr>
    <w:rPr>
      <w:rFonts w:asciiTheme="majorHAnsi" w:cstheme="majorBidi" w:eastAsiaTheme="majorEastAsia" w:hAnsiTheme="majorHAnsi"/>
      <w:spacing w:val="-10"/>
      <w:kern w:val="28"/>
      <w:sz w:val="56"/>
      <w:szCs w:val="56"/>
      <w:lang w:val="nb-NO"/>
      <w14:ligatures w14:val="standardContextual"/>
    </w:rPr>
  </w:style>
  <w:style w:customStyle="1" w:styleId="TittelTegn" w:type="character">
    <w:name w:val="Tittel Tegn"/>
    <w:basedOn w:val="Standardskriftforavsnitt"/>
    <w:link w:val="Tittel"/>
    <w:uiPriority w:val="10"/>
    <w:rsid w:val="00664515"/>
    <w:rPr>
      <w:rFonts w:asciiTheme="majorHAnsi" w:cstheme="majorBidi" w:eastAsiaTheme="majorEastAsia" w:hAnsiTheme="majorHAnsi"/>
      <w:spacing w:val="-10"/>
      <w:kern w:val="28"/>
      <w:sz w:val="56"/>
      <w:szCs w:val="56"/>
    </w:rPr>
  </w:style>
  <w:style w:styleId="Undertittel" w:type="paragraph">
    <w:name w:val="Subtitle"/>
    <w:basedOn w:val="Normal"/>
    <w:next w:val="Normal"/>
    <w:link w:val="UndertittelTegn"/>
    <w:uiPriority w:val="11"/>
    <w:qFormat/>
    <w:rsid w:val="00664515"/>
    <w:pPr>
      <w:numPr>
        <w:ilvl w:val="1"/>
      </w:numPr>
      <w:spacing w:after="160" w:line="259" w:lineRule="auto"/>
    </w:pPr>
    <w:rPr>
      <w:rFonts w:cstheme="majorBidi" w:eastAsiaTheme="majorEastAsia"/>
      <w:color w:themeColor="text1" w:themeTint="A6" w:val="595959"/>
      <w:spacing w:val="15"/>
      <w:kern w:val="2"/>
      <w:sz w:val="28"/>
      <w:szCs w:val="28"/>
      <w:lang w:val="nb-NO"/>
      <w14:ligatures w14:val="standardContextual"/>
    </w:rPr>
  </w:style>
  <w:style w:customStyle="1" w:styleId="UndertittelTegn" w:type="character">
    <w:name w:val="Undertittel Tegn"/>
    <w:basedOn w:val="Standardskriftforavsnitt"/>
    <w:link w:val="Undertittel"/>
    <w:uiPriority w:val="11"/>
    <w:rsid w:val="00664515"/>
    <w:rPr>
      <w:rFonts w:cstheme="majorBidi" w:eastAsiaTheme="majorEastAsia"/>
      <w:color w:themeColor="text1" w:themeTint="A6" w:val="595959"/>
      <w:spacing w:val="15"/>
      <w:sz w:val="28"/>
      <w:szCs w:val="28"/>
    </w:rPr>
  </w:style>
  <w:style w:styleId="Sitat" w:type="paragraph">
    <w:name w:val="Quote"/>
    <w:basedOn w:val="Normal"/>
    <w:next w:val="Normal"/>
    <w:link w:val="SitatTegn"/>
    <w:uiPriority w:val="29"/>
    <w:qFormat/>
    <w:rsid w:val="00664515"/>
    <w:pPr>
      <w:spacing w:after="160" w:before="160" w:line="259" w:lineRule="auto"/>
      <w:jc w:val="center"/>
    </w:pPr>
    <w:rPr>
      <w:i/>
      <w:iCs/>
      <w:color w:themeColor="text1" w:themeTint="BF" w:val="404040"/>
      <w:kern w:val="2"/>
      <w:sz w:val="22"/>
      <w:szCs w:val="22"/>
      <w:lang w:val="nb-NO"/>
      <w14:ligatures w14:val="standardContextual"/>
    </w:rPr>
  </w:style>
  <w:style w:customStyle="1" w:styleId="SitatTegn" w:type="character">
    <w:name w:val="Sitat Tegn"/>
    <w:basedOn w:val="Standardskriftforavsnitt"/>
    <w:link w:val="Sitat"/>
    <w:uiPriority w:val="29"/>
    <w:rsid w:val="00664515"/>
    <w:rPr>
      <w:i/>
      <w:iCs/>
      <w:color w:themeColor="text1" w:themeTint="BF" w:val="404040"/>
    </w:rPr>
  </w:style>
  <w:style w:styleId="Listeavsnitt" w:type="paragraph">
    <w:name w:val="List Paragraph"/>
    <w:basedOn w:val="Normal"/>
    <w:uiPriority w:val="34"/>
    <w:qFormat/>
    <w:rsid w:val="00664515"/>
    <w:pPr>
      <w:spacing w:after="160" w:line="259" w:lineRule="auto"/>
      <w:ind w:left="720"/>
      <w:contextualSpacing/>
    </w:pPr>
    <w:rPr>
      <w:kern w:val="2"/>
      <w:sz w:val="22"/>
      <w:szCs w:val="22"/>
      <w:lang w:val="nb-NO"/>
      <w14:ligatures w14:val="standardContextual"/>
    </w:rPr>
  </w:style>
  <w:style w:styleId="Sterkutheving" w:type="character">
    <w:name w:val="Intense Emphasis"/>
    <w:basedOn w:val="Standardskriftforavsnitt"/>
    <w:uiPriority w:val="21"/>
    <w:qFormat/>
    <w:rsid w:val="00664515"/>
    <w:rPr>
      <w:i/>
      <w:iCs/>
      <w:color w:themeColor="accent1" w:themeShade="BF" w:val="0F4761"/>
    </w:rPr>
  </w:style>
  <w:style w:styleId="Sterktsitat" w:type="paragraph">
    <w:name w:val="Intense Quote"/>
    <w:basedOn w:val="Normal"/>
    <w:next w:val="Normal"/>
    <w:link w:val="SterktsitatTegn"/>
    <w:uiPriority w:val="30"/>
    <w:qFormat/>
    <w:rsid w:val="00664515"/>
    <w:pPr>
      <w:pBdr>
        <w:top w:color="0F4761" w:space="10" w:sz="4" w:themeColor="accent1" w:themeShade="BF" w:val="single"/>
        <w:bottom w:color="0F4761" w:space="10" w:sz="4" w:themeColor="accent1" w:themeShade="BF" w:val="single"/>
      </w:pBdr>
      <w:spacing w:after="360" w:before="360" w:line="259" w:lineRule="auto"/>
      <w:ind w:left="864" w:right="864"/>
      <w:jc w:val="center"/>
    </w:pPr>
    <w:rPr>
      <w:i/>
      <w:iCs/>
      <w:color w:themeColor="accent1" w:themeShade="BF" w:val="0F4761"/>
      <w:kern w:val="2"/>
      <w:sz w:val="22"/>
      <w:szCs w:val="22"/>
      <w:lang w:val="nb-NO"/>
      <w14:ligatures w14:val="standardContextual"/>
    </w:rPr>
  </w:style>
  <w:style w:customStyle="1" w:styleId="SterktsitatTegn" w:type="character">
    <w:name w:val="Sterkt sitat Tegn"/>
    <w:basedOn w:val="Standardskriftforavsnitt"/>
    <w:link w:val="Sterktsitat"/>
    <w:uiPriority w:val="30"/>
    <w:rsid w:val="00664515"/>
    <w:rPr>
      <w:i/>
      <w:iCs/>
      <w:color w:themeColor="accent1" w:themeShade="BF" w:val="0F4761"/>
    </w:rPr>
  </w:style>
  <w:style w:styleId="Sterkreferanse" w:type="character">
    <w:name w:val="Intense Reference"/>
    <w:basedOn w:val="Standardskriftforavsnitt"/>
    <w:uiPriority w:val="32"/>
    <w:qFormat/>
    <w:rsid w:val="00664515"/>
    <w:rPr>
      <w:b/>
      <w:bCs/>
      <w:smallCaps/>
      <w:color w:themeColor="accent1" w:themeShade="BF" w:val="0F4761"/>
      <w:spacing w:val="5"/>
    </w:rPr>
  </w:style>
  <w:style w:styleId="Brdtekst" w:type="paragraph">
    <w:name w:val="Body Text"/>
    <w:basedOn w:val="Normal"/>
    <w:link w:val="BrdtekstTegn"/>
    <w:qFormat/>
    <w:rsid w:val="00664515"/>
    <w:pPr>
      <w:spacing w:after="180" w:before="180" w:line="480" w:lineRule="auto"/>
    </w:pPr>
    <w:rPr>
      <w:rFonts w:ascii="Times New Roman" w:hAnsi="Times New Roman"/>
    </w:rPr>
  </w:style>
  <w:style w:customStyle="1" w:styleId="BrdtekstTegn" w:type="character">
    <w:name w:val="Brødtekst Tegn"/>
    <w:basedOn w:val="Standardskriftforavsnitt"/>
    <w:link w:val="Brdtekst"/>
    <w:rsid w:val="00664515"/>
    <w:rPr>
      <w:rFonts w:ascii="Times New Roman" w:hAnsi="Times New Roman"/>
      <w:kern w:val="0"/>
      <w:sz w:val="24"/>
      <w:szCs w:val="24"/>
      <w:lang w:val="en-US"/>
      <w14:ligatures w14:val="none"/>
    </w:rPr>
  </w:style>
  <w:style w:customStyle="1" w:styleId="FirstParagraph" w:type="paragraph">
    <w:name w:val="First Paragraph"/>
    <w:basedOn w:val="Brdtekst"/>
    <w:next w:val="Brdtekst"/>
    <w:qFormat/>
    <w:rsid w:val="00664515"/>
  </w:style>
  <w:style w:customStyle="1" w:styleId="Author" w:type="paragraph">
    <w:name w:val="Author"/>
    <w:next w:val="Brdtekst"/>
    <w:qFormat/>
    <w:rsid w:val="00664515"/>
    <w:pPr>
      <w:keepNext/>
      <w:keepLines/>
      <w:spacing w:after="480" w:before="480" w:line="240" w:lineRule="auto"/>
      <w:ind w:left="567"/>
      <w:contextualSpacing/>
    </w:pPr>
    <w:rPr>
      <w:rFonts w:ascii="Times New Roman" w:hAnsi="Times New Roman"/>
      <w:kern w:val="0"/>
      <w:sz w:val="24"/>
      <w:szCs w:val="24"/>
      <w:lang w:val="en-US"/>
      <w14:ligatures w14:val="none"/>
    </w:rPr>
  </w:style>
  <w:style w:customStyle="1" w:styleId="abstracttitle" w:type="paragraph">
    <w:name w:val="abstracttitle"/>
    <w:basedOn w:val="Normal"/>
    <w:next w:val="Abstract"/>
    <w:qFormat/>
    <w:rsid w:val="00664515"/>
    <w:pPr>
      <w:keepNext/>
      <w:keepLines/>
      <w:pageBreakBefore/>
      <w:spacing w:after="0" w:before="300"/>
      <w:ind w:left="284"/>
    </w:pPr>
    <w:rPr>
      <w:rFonts w:ascii="Times New Roman" w:hAnsi="Times New Roman"/>
      <w:b/>
      <w:szCs w:val="20"/>
    </w:rPr>
  </w:style>
  <w:style w:customStyle="1" w:styleId="Abstract" w:type="paragraph">
    <w:name w:val="Abstract"/>
    <w:basedOn w:val="Normal"/>
    <w:next w:val="Brdtekst"/>
    <w:qFormat/>
    <w:rsid w:val="00664515"/>
    <w:pPr>
      <w:keepNext/>
      <w:keepLines/>
      <w:spacing w:after="300" w:before="100" w:line="480" w:lineRule="auto"/>
      <w:ind w:left="284"/>
    </w:pPr>
    <w:rPr>
      <w:rFonts w:ascii="Times New Roman" w:hAnsi="Times New Roman"/>
      <w:szCs w:val="20"/>
    </w:rPr>
  </w:style>
  <w:style w:customStyle="1" w:styleId="author-meta" w:type="paragraph">
    <w:name w:val="author-meta"/>
    <w:basedOn w:val="Overskrift2"/>
    <w:link w:val="author-metaTegn"/>
    <w:qFormat/>
    <w:rsid w:val="00664515"/>
    <w:pPr>
      <w:spacing w:after="0" w:before="0" w:line="240" w:lineRule="auto"/>
      <w:ind w:left="567"/>
      <w:contextualSpacing/>
    </w:pPr>
    <w:rPr>
      <w:rFonts w:ascii="Times New Roman" w:hAnsi="Times New Roman"/>
      <w:bCs/>
      <w:kern w:val="0"/>
      <w:sz w:val="24"/>
      <w:szCs w:val="28"/>
      <w:lang w:val="en-US"/>
      <w14:ligatures w14:val="none"/>
    </w:rPr>
  </w:style>
  <w:style w:customStyle="1" w:styleId="author-metaTegn" w:type="character">
    <w:name w:val="author-meta Tegn"/>
    <w:basedOn w:val="Overskrift2Tegn"/>
    <w:link w:val="author-meta"/>
    <w:rsid w:val="00664515"/>
    <w:rPr>
      <w:rFonts w:ascii="Times New Roman" w:cstheme="majorBidi" w:eastAsiaTheme="majorEastAsia" w:hAnsi="Times New Roman"/>
      <w:bCs/>
      <w:color w:themeColor="accent1" w:themeShade="BF" w:val="0F4761"/>
      <w:kern w:val="0"/>
      <w:sz w:val="24"/>
      <w:szCs w:val="28"/>
      <w:lang w:val="en-US"/>
      <w14:ligatures w14:val="none"/>
    </w:rPr>
  </w:style>
  <w:style w:styleId="Topptekst" w:type="paragraph">
    <w:name w:val="header"/>
    <w:basedOn w:val="Normal"/>
    <w:link w:val="TopptekstTegn"/>
    <w:uiPriority w:val="99"/>
    <w:rsid w:val="00664515"/>
    <w:pPr>
      <w:tabs>
        <w:tab w:pos="4536" w:val="center"/>
        <w:tab w:pos="9072" w:val="right"/>
      </w:tabs>
      <w:spacing w:after="0"/>
    </w:pPr>
  </w:style>
  <w:style w:customStyle="1" w:styleId="TopptekstTegn" w:type="character">
    <w:name w:val="Topptekst Tegn"/>
    <w:basedOn w:val="Standardskriftforavsnitt"/>
    <w:link w:val="Topptekst"/>
    <w:uiPriority w:val="99"/>
    <w:rsid w:val="00664515"/>
    <w:rPr>
      <w:kern w:val="0"/>
      <w:sz w:val="24"/>
      <w:szCs w:val="24"/>
      <w:lang w:val="en-US"/>
      <w14:ligatures w14:val="none"/>
    </w:rPr>
  </w:style>
  <w:style w:styleId="Linjenummer" w:type="character">
    <w:name w:val="line number"/>
    <w:basedOn w:val="Standardskriftforavsnitt"/>
    <w:uiPriority w:val="99"/>
    <w:semiHidden/>
    <w:unhideWhenUsed/>
    <w:rsid w:val="00664515"/>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Type="http://schemas.openxmlformats.org/officeDocument/2006/relationships/hyperlink" Id="rId65" Target="https://doi.org/10.1002/14651858.CD002759.pub2" TargetMode="External" /><Relationship Type="http://schemas.openxmlformats.org/officeDocument/2006/relationships/hyperlink" Id="rId113" Target="https://doi.org/10.1002/bies.201500117" TargetMode="External" /><Relationship Type="http://schemas.openxmlformats.org/officeDocument/2006/relationships/hyperlink" Id="rId61" Target="https://doi.org/10.1016/j.arr.2017.04.004" TargetMode="External" /><Relationship Type="http://schemas.openxmlformats.org/officeDocument/2006/relationships/hyperlink" Id="rId111" Target="https://doi.org/10.1016/j.cell.2013.06.052" TargetMode="External" /><Relationship Type="http://schemas.openxmlformats.org/officeDocument/2006/relationships/hyperlink" Id="rId98" Target="https://doi.org/10.1016/j.jmb.2017.06.019" TargetMode="External" /><Relationship Type="http://schemas.openxmlformats.org/officeDocument/2006/relationships/hyperlink" Id="rId81" Target="https://doi.org/10.1038/jhg.2015.24" TargetMode="External" /><Relationship Type="http://schemas.openxmlformats.org/officeDocument/2006/relationships/hyperlink" Id="rId52" Target="https://doi.org/10.1038/ng.3414" TargetMode="External" /><Relationship Type="http://schemas.openxmlformats.org/officeDocument/2006/relationships/hyperlink" Id="rId92" Target="https://doi.org/10.1038/s41586-020-2499-y" TargetMode="External" /><Relationship Type="http://schemas.openxmlformats.org/officeDocument/2006/relationships/hyperlink" Id="rId50" Target="https://doi.org/10.1038/s41588-021-00828-9" TargetMode="External" /><Relationship Type="http://schemas.openxmlformats.org/officeDocument/2006/relationships/hyperlink" Id="rId46" Target="https://doi.org/10.1038/s41588-022-01279-6" TargetMode="External" /><Relationship Type="http://schemas.openxmlformats.org/officeDocument/2006/relationships/hyperlink" Id="rId89" Target="https://doi.org/10.1038/s42003-022-03224-z" TargetMode="External" /><Relationship Type="http://schemas.openxmlformats.org/officeDocument/2006/relationships/hyperlink" Id="rId41" Target="https://doi.org/10.1038/s43587-022-00189-w" TargetMode="External" /><Relationship Type="http://schemas.openxmlformats.org/officeDocument/2006/relationships/hyperlink" Id="rId107" Target="https://doi.org/10.1093/bioinformatics/btv642" TargetMode="External" /><Relationship Type="http://schemas.openxmlformats.org/officeDocument/2006/relationships/hyperlink" Id="rId77" Target="https://doi.org/10.1093/nar/gkz1068" TargetMode="External" /><Relationship Type="http://schemas.openxmlformats.org/officeDocument/2006/relationships/hyperlink" Id="rId69" Target="https://doi.org/10.1101/2022.03.14.484341" TargetMode="External" /><Relationship Type="http://schemas.openxmlformats.org/officeDocument/2006/relationships/hyperlink" Id="rId43" Target="https://doi.org/10.1101/2023.03.29.534370" TargetMode="External" /><Relationship Type="http://schemas.openxmlformats.org/officeDocument/2006/relationships/hyperlink" Id="rId57" Target="https://doi.org/10.1101/2024.04.25.591048" TargetMode="External" /><Relationship Type="http://schemas.openxmlformats.org/officeDocument/2006/relationships/hyperlink" Id="rId38" Target="https://doi.org/10.1101/gr.177790.114" TargetMode="External" /><Relationship Type="http://schemas.openxmlformats.org/officeDocument/2006/relationships/hyperlink" Id="rId31" Target="https://doi.org/10.1111/acel.12928" TargetMode="External" /><Relationship Type="http://schemas.openxmlformats.org/officeDocument/2006/relationships/hyperlink" Id="rId59" Target="https://doi.org/10.1111/j.1600-0838.2006.00575.x" TargetMode="External" /><Relationship Type="http://schemas.openxmlformats.org/officeDocument/2006/relationships/hyperlink" Id="rId63" Target="https://doi.org/10.1186/1471-2105-12-323" TargetMode="External" /><Relationship Type="http://schemas.openxmlformats.org/officeDocument/2006/relationships/hyperlink" Id="rId55" Target="https://doi.org/10.1186/s12859-020-03866-y" TargetMode="External" /><Relationship Type="http://schemas.openxmlformats.org/officeDocument/2006/relationships/hyperlink" Id="rId75" Target="https://doi.org/10.1186/s12967-021-02969-1" TargetMode="External" /><Relationship Type="http://schemas.openxmlformats.org/officeDocument/2006/relationships/hyperlink" Id="rId73" Target="https://doi.org/10.1186/s13059-017-1184-4" TargetMode="External" /><Relationship Type="http://schemas.openxmlformats.org/officeDocument/2006/relationships/hyperlink" Id="rId94" Target="https://doi.org/10.1186/s13059-017-1339-3" TargetMode="External" /><Relationship Type="http://schemas.openxmlformats.org/officeDocument/2006/relationships/hyperlink" Id="rId86" Target="https://doi.org/10.1249/MSS.0b013e3181eb6265" TargetMode="External" /><Relationship Type="http://schemas.openxmlformats.org/officeDocument/2006/relationships/hyperlink" Id="rId34" Target="https://doi.org/10.3390/cells12242819" TargetMode="External" /><Relationship Type="http://schemas.openxmlformats.org/officeDocument/2006/relationships/hyperlink" Id="rId103" Target="https://doi.org/10.7554/eLife.49874" TargetMode="External" /><Relationship Type="http://schemas.openxmlformats.org/officeDocument/2006/relationships/hyperlink" Id="rId105" Target="https://doi.org/10.7554/eLife.74335" TargetMode="External" /><Relationship Type="http://schemas.openxmlformats.org/officeDocument/2006/relationships/hyperlink" Id="rId84" Target="https://doi.org/10.7554/elife.87811.2" TargetMode="External" /></Relationships>
</file>

<file path=word/_rels/footnotes.xml.rels><?xml version="1.0" encoding="UTF-8"?><Relationships xmlns="http://schemas.openxmlformats.org/package/2006/relationships"><Relationship Type="http://schemas.openxmlformats.org/officeDocument/2006/relationships/hyperlink" Id="rId65" Target="https://doi.org/10.1002/14651858.CD002759.pub2" TargetMode="External" /><Relationship Type="http://schemas.openxmlformats.org/officeDocument/2006/relationships/hyperlink" Id="rId113" Target="https://doi.org/10.1002/bies.201500117" TargetMode="External" /><Relationship Type="http://schemas.openxmlformats.org/officeDocument/2006/relationships/hyperlink" Id="rId61" Target="https://doi.org/10.1016/j.arr.2017.04.004" TargetMode="External" /><Relationship Type="http://schemas.openxmlformats.org/officeDocument/2006/relationships/hyperlink" Id="rId111" Target="https://doi.org/10.1016/j.cell.2013.06.052" TargetMode="External" /><Relationship Type="http://schemas.openxmlformats.org/officeDocument/2006/relationships/hyperlink" Id="rId98" Target="https://doi.org/10.1016/j.jmb.2017.06.019" TargetMode="External" /><Relationship Type="http://schemas.openxmlformats.org/officeDocument/2006/relationships/hyperlink" Id="rId81" Target="https://doi.org/10.1038/jhg.2015.24" TargetMode="External" /><Relationship Type="http://schemas.openxmlformats.org/officeDocument/2006/relationships/hyperlink" Id="rId52" Target="https://doi.org/10.1038/ng.3414" TargetMode="External" /><Relationship Type="http://schemas.openxmlformats.org/officeDocument/2006/relationships/hyperlink" Id="rId92" Target="https://doi.org/10.1038/s41586-020-2499-y" TargetMode="External" /><Relationship Type="http://schemas.openxmlformats.org/officeDocument/2006/relationships/hyperlink" Id="rId50" Target="https://doi.org/10.1038/s41588-021-00828-9" TargetMode="External" /><Relationship Type="http://schemas.openxmlformats.org/officeDocument/2006/relationships/hyperlink" Id="rId46" Target="https://doi.org/10.1038/s41588-022-01279-6" TargetMode="External" /><Relationship Type="http://schemas.openxmlformats.org/officeDocument/2006/relationships/hyperlink" Id="rId89" Target="https://doi.org/10.1038/s42003-022-03224-z" TargetMode="External" /><Relationship Type="http://schemas.openxmlformats.org/officeDocument/2006/relationships/hyperlink" Id="rId41" Target="https://doi.org/10.1038/s43587-022-00189-w" TargetMode="External" /><Relationship Type="http://schemas.openxmlformats.org/officeDocument/2006/relationships/hyperlink" Id="rId107" Target="https://doi.org/10.1093/bioinformatics/btv642" TargetMode="External" /><Relationship Type="http://schemas.openxmlformats.org/officeDocument/2006/relationships/hyperlink" Id="rId77" Target="https://doi.org/10.1093/nar/gkz1068" TargetMode="External" /><Relationship Type="http://schemas.openxmlformats.org/officeDocument/2006/relationships/hyperlink" Id="rId69" Target="https://doi.org/10.1101/2022.03.14.484341" TargetMode="External" /><Relationship Type="http://schemas.openxmlformats.org/officeDocument/2006/relationships/hyperlink" Id="rId43" Target="https://doi.org/10.1101/2023.03.29.534370" TargetMode="External" /><Relationship Type="http://schemas.openxmlformats.org/officeDocument/2006/relationships/hyperlink" Id="rId57" Target="https://doi.org/10.1101/2024.04.25.591048" TargetMode="External" /><Relationship Type="http://schemas.openxmlformats.org/officeDocument/2006/relationships/hyperlink" Id="rId38" Target="https://doi.org/10.1101/gr.177790.114" TargetMode="External" /><Relationship Type="http://schemas.openxmlformats.org/officeDocument/2006/relationships/hyperlink" Id="rId31" Target="https://doi.org/10.1111/acel.12928" TargetMode="External" /><Relationship Type="http://schemas.openxmlformats.org/officeDocument/2006/relationships/hyperlink" Id="rId59" Target="https://doi.org/10.1111/j.1600-0838.2006.00575.x" TargetMode="External" /><Relationship Type="http://schemas.openxmlformats.org/officeDocument/2006/relationships/hyperlink" Id="rId63" Target="https://doi.org/10.1186/1471-2105-12-323" TargetMode="External" /><Relationship Type="http://schemas.openxmlformats.org/officeDocument/2006/relationships/hyperlink" Id="rId55" Target="https://doi.org/10.1186/s12859-020-03866-y" TargetMode="External" /><Relationship Type="http://schemas.openxmlformats.org/officeDocument/2006/relationships/hyperlink" Id="rId75" Target="https://doi.org/10.1186/s12967-021-02969-1" TargetMode="External" /><Relationship Type="http://schemas.openxmlformats.org/officeDocument/2006/relationships/hyperlink" Id="rId73" Target="https://doi.org/10.1186/s13059-017-1184-4" TargetMode="External" /><Relationship Type="http://schemas.openxmlformats.org/officeDocument/2006/relationships/hyperlink" Id="rId94" Target="https://doi.org/10.1186/s13059-017-1339-3" TargetMode="External" /><Relationship Type="http://schemas.openxmlformats.org/officeDocument/2006/relationships/hyperlink" Id="rId86" Target="https://doi.org/10.1249/MSS.0b013e3181eb6265" TargetMode="External" /><Relationship Type="http://schemas.openxmlformats.org/officeDocument/2006/relationships/hyperlink" Id="rId34" Target="https://doi.org/10.3390/cells12242819" TargetMode="External" /><Relationship Type="http://schemas.openxmlformats.org/officeDocument/2006/relationships/hyperlink" Id="rId103" Target="https://doi.org/10.7554/eLife.49874" TargetMode="External" /><Relationship Type="http://schemas.openxmlformats.org/officeDocument/2006/relationships/hyperlink" Id="rId105" Target="https://doi.org/10.7554/eLife.74335" TargetMode="External" /><Relationship Type="http://schemas.openxmlformats.org/officeDocument/2006/relationships/hyperlink" Id="rId84" Target="https://doi.org/10.7554/elife.87811.2" TargetMode="External" /></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TotalTime>
  <Pages>2</Pages>
  <Words>82</Words>
  <Characters>438</Characters>
  <Application>Microsoft Office Word</Application>
  <DocSecurity>0</DocSecurity>
  <Lines>3</Lines>
  <Paragraphs>1</Paragraphs>
  <ScaleCrop>false</ScaleCrop>
  <Company>HINN</Company>
  <LinksUpToDate>false</LinksUpToDate>
  <CharactersWithSpaces>519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Impact of age and exercise on intron retention</dc:title>
  <dc:creator>Chidimma Phoebe Echebiria,b, Kristian Lianb, Håvard Hamarslandb, Knut Sindre Mølmenb, Rafi Ahmada, Stian Ellefsenb, and Daniel Hammarströmb</dc:creator>
  <cp:keywords/>
  <dcterms:created xsi:type="dcterms:W3CDTF">2025-01-23T08:27:46Z</dcterms:created>
  <dcterms:modified xsi:type="dcterms:W3CDTF">2025-01-23T08:27:46Z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resources/My_Library.bib</vt:lpwstr>
  </property>
  <property fmtid="{D5CDD505-2E9C-101B-9397-08002B2CF9AE}" pid="5" name="by-author">
    <vt:lpwstr/>
  </property>
  <property fmtid="{D5CDD505-2E9C-101B-9397-08002B2CF9AE}" pid="6" name="csl">
    <vt:lpwstr>resources/journal-of-cell-science.csl</vt:lpwstr>
  </property>
  <property fmtid="{D5CDD505-2E9C-101B-9397-08002B2CF9AE}" pid="7" name="editor">
    <vt:lpwstr>visual</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arget_journal">
    <vt:lpwstr>https://journals.biologists.com/jcs</vt:lpwstr>
  </property>
  <property fmtid="{D5CDD505-2E9C-101B-9397-08002B2CF9AE}" pid="13" name="toc-title">
    <vt:lpwstr>Table of contents</vt:lpwstr>
  </property>
</Properties>
</file>