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tel"/>
      </w:pPr>
      <w:r>
        <w:t xml:space="preserve">Impact</w:t>
      </w:r>
      <w:r>
        <w:t xml:space="preserve"> </w:t>
      </w:r>
      <w:r>
        <w:t xml:space="preserve">of</w:t>
      </w:r>
      <w:r>
        <w:t xml:space="preserve"> </w:t>
      </w:r>
      <w:r>
        <w:t xml:space="preserve">age</w:t>
      </w:r>
      <w:r>
        <w:t xml:space="preserve"> </w:t>
      </w:r>
      <w:r>
        <w:t xml:space="preserve">and</w:t>
      </w:r>
      <w:r>
        <w:t xml:space="preserve"> </w:t>
      </w:r>
      <w:r>
        <w:t xml:space="preserve">resistance</w:t>
      </w:r>
      <w:r>
        <w:t xml:space="preserve"> </w:t>
      </w:r>
      <w:r>
        <w:t xml:space="preserve">exercise</w:t>
      </w:r>
      <w:r>
        <w:t xml:space="preserve"> </w:t>
      </w:r>
      <w:r>
        <w:t xml:space="preserve">training</w:t>
      </w:r>
      <w:r>
        <w:t xml:space="preserve"> </w:t>
      </w:r>
      <w:r>
        <w:t xml:space="preserve">on</w:t>
      </w:r>
      <w:r>
        <w:t xml:space="preserve"> </w:t>
      </w:r>
      <w:r>
        <w:t xml:space="preserve">intron</w:t>
      </w:r>
      <w:r>
        <w:t xml:space="preserve"> </w:t>
      </w:r>
      <w:r>
        <w:t xml:space="preserve">retention</w:t>
      </w:r>
    </w:p>
    <w:p>
      <w:pPr>
        <w:pStyle w:val="Author"/>
      </w:pPr>
      <w:r>
        <w:t xml:space="preserve">Chidimma</w:t>
      </w:r>
      <w:r>
        <w:t xml:space="preserve"> </w:t>
      </w:r>
      <w:r>
        <w:t xml:space="preserve">Phoebe</w:t>
      </w:r>
      <w:r>
        <w:t xml:space="preserve"> </w:t>
      </w:r>
      <w:r>
        <w:t xml:space="preserve">Echebiri</w:t>
      </w:r>
      <w:r>
        <w:rPr>
          <w:vertAlign w:val="superscript"/>
        </w:rPr>
        <w:t xml:space="preserve">a,b</w:t>
      </w:r>
      <w:r>
        <w:t xml:space="preserve">,</w:t>
      </w:r>
      <w:r>
        <w:t xml:space="preserve"> </w:t>
      </w:r>
      <w:r>
        <w:t xml:space="preserve">Kristian</w:t>
      </w:r>
      <w:r>
        <w:t xml:space="preserve"> </w:t>
      </w:r>
      <w:r>
        <w:t xml:space="preserve">Lian</w:t>
      </w:r>
      <w:r>
        <w:rPr>
          <w:vertAlign w:val="superscript"/>
        </w:rPr>
        <w:t xml:space="preserve">b</w:t>
      </w:r>
      <w:r>
        <w:t xml:space="preserve">,</w:t>
      </w:r>
      <w:r>
        <w:t xml:space="preserve"> </w:t>
      </w:r>
      <w:r>
        <w:t xml:space="preserve">Torkil</w:t>
      </w:r>
      <w:r>
        <w:t xml:space="preserve"> </w:t>
      </w:r>
      <w:r>
        <w:t xml:space="preserve">Rogneflåten</w:t>
      </w:r>
      <w:r>
        <w:rPr>
          <w:vertAlign w:val="superscript"/>
        </w:rPr>
        <w:t xml:space="preserve">b</w:t>
      </w:r>
      <w:r>
        <w:t xml:space="preserve">,</w:t>
      </w:r>
      <w:r>
        <w:t xml:space="preserve"> </w:t>
      </w:r>
      <w:r>
        <w:t xml:space="preserve">Håvard</w:t>
      </w:r>
      <w:r>
        <w:t xml:space="preserve"> </w:t>
      </w:r>
      <w:r>
        <w:t xml:space="preserve">Hamarsland</w:t>
      </w:r>
      <w:r>
        <w:rPr>
          <w:vertAlign w:val="superscript"/>
        </w:rPr>
        <w:t xml:space="preserve">b</w:t>
      </w:r>
      <w:r>
        <w:t xml:space="preserve">,</w:t>
      </w:r>
      <w:r>
        <w:t xml:space="preserve"> </w:t>
      </w:r>
      <w:r>
        <w:t xml:space="preserve">Knut</w:t>
      </w:r>
      <w:r>
        <w:t xml:space="preserve"> </w:t>
      </w:r>
      <w:r>
        <w:t xml:space="preserve">Sindre</w:t>
      </w:r>
      <w:r>
        <w:t xml:space="preserve"> </w:t>
      </w:r>
      <w:r>
        <w:t xml:space="preserve">Mølmen</w:t>
      </w:r>
      <w:r>
        <w:rPr>
          <w:vertAlign w:val="superscript"/>
        </w:rPr>
        <w:t xml:space="preserve">b</w:t>
      </w:r>
      <w:r>
        <w:t xml:space="preserve">,</w:t>
      </w:r>
      <w:r>
        <w:t xml:space="preserve"> </w:t>
      </w:r>
      <w:r>
        <w:t xml:space="preserve">Rafi</w:t>
      </w:r>
      <w:r>
        <w:t xml:space="preserve"> </w:t>
      </w:r>
      <w:r>
        <w:t xml:space="preserve">Ahmad</w:t>
      </w:r>
      <w:r>
        <w:rPr>
          <w:vertAlign w:val="superscript"/>
        </w:rPr>
        <w:t xml:space="preserve">a</w:t>
      </w:r>
      <w:r>
        <w:t xml:space="preserve">,</w:t>
      </w:r>
      <w:r>
        <w:t xml:space="preserve"> </w:t>
      </w:r>
      <w:r>
        <w:t xml:space="preserve">Stian</w:t>
      </w:r>
      <w:r>
        <w:t xml:space="preserve"> </w:t>
      </w:r>
      <w:r>
        <w:t xml:space="preserve">Ellefsen</w:t>
      </w:r>
      <w:r>
        <w:rPr>
          <w:vertAlign w:val="superscript"/>
        </w:rPr>
        <w:t xml:space="preserve">b</w:t>
      </w:r>
      <w:r>
        <w:t xml:space="preserve">,</w:t>
      </w:r>
      <w:r>
        <w:t xml:space="preserve"> </w:t>
      </w:r>
      <w:r>
        <w:t xml:space="preserve">and</w:t>
      </w:r>
      <w:r>
        <w:t xml:space="preserve"> </w:t>
      </w:r>
      <w:r>
        <w:t xml:space="preserve">Daniel</w:t>
      </w:r>
      <w:r>
        <w:t xml:space="preserve"> </w:t>
      </w:r>
      <w:r>
        <w:t xml:space="preserve">Hammarström</w:t>
      </w:r>
      <w:r>
        <w:rPr>
          <w:vertAlign w:val="superscript"/>
        </w:rPr>
        <w:t xml:space="preserve">b</w:t>
      </w:r>
    </w:p>
    <w:p>
      <w:pPr>
        <w:pStyle w:val="author-meta"/>
      </w:pPr>
      <w:r>
        <w:rPr>
          <w:vertAlign w:val="superscript"/>
        </w:rPr>
        <w:t xml:space="preserve">a</w:t>
      </w:r>
      <w:r>
        <w:t xml:space="preserve"> </w:t>
      </w:r>
      <w:r>
        <w:t xml:space="preserve">Department of Biotechnology, University of Inland Norway, Faculty of Applied Ecology, Agricultural Sciences and Biotechnology, Hamar, Norway</w:t>
      </w:r>
    </w:p>
    <w:p>
      <w:pPr>
        <w:pStyle w:val="author-meta"/>
      </w:pPr>
      <w:r>
        <w:rPr>
          <w:vertAlign w:val="superscript"/>
        </w:rPr>
        <w:t xml:space="preserve">b</w:t>
      </w:r>
      <w:r>
        <w:t xml:space="preserve"> </w:t>
      </w:r>
      <w:r>
        <w:t xml:space="preserve">Section for Health and Exercise Physiology, Department of Public Health and Sport Sciences, University of Inland Norway, Lillehammer, Norway</w:t>
      </w:r>
    </w:p>
    <w:p>
      <w:pPr>
        <w:pStyle w:val="author-meta"/>
      </w:pPr>
      <w:r>
        <w:t xml:space="preserve">Correspondance: Chidimma Phoebe Echebiri (chidimma.echebiri@inn.no), Daniel Hammarstr�m (daniel.hammarstrom@inn.no).</w:t>
      </w:r>
    </w:p>
    <w:p>
      <w:pPr>
        <w:pStyle w:val="abstracttitle"/>
      </w:pPr>
      <w:r>
        <w:t xml:space="preserve">Abstract</w:t>
      </w:r>
    </w:p>
    <w:p>
      <w:pPr>
        <w:pStyle w:val="Brdtekst"/>
      </w:pPr>
      <w:r>
        <w:t xml:space="preserve">Progressive resistance exercise training (RT) elicits a range of adaptive responses in the human transcriptome, most of which have been studied in-depth. Several studies have shown that processes such as aging, disease conditions and physical exercise affect the pre-mRNA splicing machinery. There is however limited information about intron retention in healthy human skeletal muscle and how it is impacted by aging and resistance exercise training. This study investigates intron retention in the</w:t>
      </w:r>
      <w:r>
        <w:t xml:space="preserve"> </w:t>
      </w:r>
      <w:r>
        <w:rPr>
          <w:iCs/>
          <w:i/>
        </w:rPr>
        <w:t xml:space="preserve">vastus lateralis</w:t>
      </w:r>
      <w:r>
        <w:t xml:space="preserve"> </w:t>
      </w:r>
      <w:r>
        <w:t xml:space="preserve">muscle of 371 participants ( 195 females aged 19 to 93 ; 176 males aged 19 to 87) ; and explores if and how resistance exercise training affects splicing efficiency in the 338 participants (( 178 females aged 19 to 93 ; 160 males aged 19 to 87) who completed ~ 12 weeks of training . Using SpliceQ, splicing efficiency of introns in paired_end RNA sequence data from six different RT intevrntion studies involving 367 partricipants. Differentially spliced introns at baseline and at post exercise were identified using betabinomial generalised linear models allowing for study and participant level intercepts. The differentially spliced introns were further investigated to identify patterns related to their gene lengths, ontology and functions.</w:t>
      </w:r>
    </w:p>
    <w:bookmarkStart w:id="20" w:name="introduction"/>
    <w:p>
      <w:pPr>
        <w:pStyle w:val="Overskrift2"/>
      </w:pPr>
      <w:r>
        <w:t xml:space="preserve">Introduction</w:t>
      </w:r>
    </w:p>
    <w:p>
      <w:pPr>
        <w:pStyle w:val="FirstParagraph"/>
      </w:pPr>
      <w:r>
        <w:t xml:space="preserve">Aging is characterized by a progressive decline in most biological functions leading to reduced vitality, increased risk of diseases and eventually death</w:t>
      </w:r>
      <w:r>
        <w:t xml:space="preserve"> </w:t>
      </w:r>
      <w:r>
        <w:t xml:space="preserve">(Gyenis et al., 2023; Keshavarz et al., 2023 ; López-Otín et al., 2013; Schaum et al., 2020)</w:t>
      </w:r>
      <w:r>
        <w:t xml:space="preserve"> </w:t>
      </w:r>
      <w:r>
        <w:t xml:space="preserve">. Physiologically, aging is associated with the induction of different stress response pathways in different cells, tissues and species</w:t>
      </w:r>
      <w:r>
        <w:t xml:space="preserve"> </w:t>
      </w:r>
      <w:r>
        <w:t xml:space="preserve">(Stegeman and Weake, 2017; Welle et al., 2003)</w:t>
      </w:r>
      <w:r>
        <w:t xml:space="preserve">. Aging and aging-like phenotypes are also associated with increased mis-splicing</w:t>
      </w:r>
      <w:r>
        <w:t xml:space="preserve"> </w:t>
      </w:r>
      <w:r>
        <w:t xml:space="preserve">(Angarola and Anczuków, 2021 ; García-Ruiz et al., 2023 ; Nishida et al., 2015 ; Holly et al., 2013; Latorre and Harries, 2017; Mariotti et al., 2022; Pabis et al., 2024; Stegeman and Weake, 2017)</w:t>
      </w:r>
      <w:r>
        <w:t xml:space="preserve"> </w:t>
      </w:r>
      <w:r>
        <w:t xml:space="preserve">as a result of alterations in the expression of splicing factors ; a resilience strategy aimed at counteracting aging-induced damages and loss of function</w:t>
      </w:r>
      <w:r>
        <w:t xml:space="preserve"> </w:t>
      </w:r>
      <w:r>
        <w:t xml:space="preserve">(Ferrucci et al., 2022 ; Ubaida-Mohien et al., 2019b)</w:t>
      </w:r>
      <w:r>
        <w:t xml:space="preserve">.</w:t>
      </w:r>
    </w:p>
    <w:p>
      <w:pPr>
        <w:pStyle w:val="Brdtekst"/>
      </w:pPr>
      <w:r>
        <w:t xml:space="preserve">Intron retention (IR) is the major form of alternative splicing that is affected by aging</w:t>
      </w:r>
      <w:r>
        <w:t xml:space="preserve"> </w:t>
      </w:r>
      <w:r>
        <w:t xml:space="preserve">(Bhadra et al., 2020; Kodama et al., 2024; Mariotti et al., 2022)</w:t>
      </w:r>
      <w:r>
        <w:t xml:space="preserve">. It mostly affects protein-coding genes thus resulting in a transcriptomic and proteomic diversity that could influence cellular plasticity. IR occurs when a full intron, or parts of an intron in a mature messenger RNA (mRNA) is retained during splicing, resulting in the presence of an unprocessed sequence in the mRNA. The retention leads either to the degradation of the IR-containing transcripts through nonsense-mediated decay or the action of nucleases; or to frameshifts that cause the generation of alternative protein isoforms</w:t>
      </w:r>
      <w:r>
        <w:t xml:space="preserve"> </w:t>
      </w:r>
      <w:r>
        <w:t xml:space="preserve">(Baralle and Romano, 2023 ; Zheng et al., 2020 ; Jacob and Smith, 2017 ; Mauger et al., 2016; Monteuuis et al., 2019; Wong and Schmitz, 2022 )</w:t>
      </w:r>
      <w:r>
        <w:t xml:space="preserve">. IR predominantly occurs in transcripts that lack physiological relevance in cells and tissues they are detected in</w:t>
      </w:r>
      <w:r>
        <w:t xml:space="preserve"> </w:t>
      </w:r>
      <w:r>
        <w:t xml:space="preserve">(Braunschweig et al., 2014)</w:t>
      </w:r>
      <w:r>
        <w:t xml:space="preserve">. Increase in IR is a signature of the aging process</w:t>
      </w:r>
      <w:r>
        <w:t xml:space="preserve"> </w:t>
      </w:r>
      <w:r>
        <w:t xml:space="preserve">(Adusumalli et al., 2019; Baralle and Romano, 2023; Bhadra et al., 2020)</w:t>
      </w:r>
      <w:r>
        <w:t xml:space="preserve"> </w:t>
      </w:r>
      <w:r>
        <w:t xml:space="preserve">and is often measured in terms of splicing efficiency which describes the amount of introns retained in a mature mRNA. Splicing efficiency is cell and tissue specific</w:t>
      </w:r>
      <w:r>
        <w:t xml:space="preserve"> </w:t>
      </w:r>
      <w:r>
        <w:t xml:space="preserve">(Baralle and Romano, 2023; Nishida et al., 2015)</w:t>
      </w:r>
      <w:r>
        <w:t xml:space="preserve"> </w:t>
      </w:r>
      <w:r>
        <w:t xml:space="preserve">but tends to be similar between the introns of a gene</w:t>
      </w:r>
      <w:r>
        <w:t xml:space="preserve"> </w:t>
      </w:r>
      <w:r>
        <w:t xml:space="preserve">(Sánchez-Escabias et al., 2022)</w:t>
      </w:r>
      <w:r>
        <w:t xml:space="preserve"> </w:t>
      </w:r>
      <w:r>
        <w:t xml:space="preserve">. Besides aging, poor splicing efficiency has also been linked to human diseases like alpha thalassemia</w:t>
      </w:r>
      <w:r>
        <w:t xml:space="preserve"> </w:t>
      </w:r>
      <w:r>
        <w:t xml:space="preserve">(Nelson et al., 2005)</w:t>
      </w:r>
      <w:r>
        <w:t xml:space="preserve"> </w:t>
      </w:r>
      <w:r>
        <w:t xml:space="preserve">, inflammatory bowel disease</w:t>
      </w:r>
      <w:r>
        <w:t xml:space="preserve"> </w:t>
      </w:r>
      <w:r>
        <w:t xml:space="preserve">(Häsler et al., 2011)</w:t>
      </w:r>
      <w:r>
        <w:t xml:space="preserve"> </w:t>
      </w:r>
      <w:r>
        <w:t xml:space="preserve">, neurodegenerative diseases</w:t>
      </w:r>
      <w:r>
        <w:t xml:space="preserve"> </w:t>
      </w:r>
      <w:r>
        <w:t xml:space="preserve">(Ong and Adusumalli, 2020 ; Sznajder et al., 2018)</w:t>
      </w:r>
      <w:r>
        <w:t xml:space="preserve"> </w:t>
      </w:r>
      <w:r>
        <w:t xml:space="preserve">and an increased risk of certain cancers</w:t>
      </w:r>
      <w:r>
        <w:t xml:space="preserve"> </w:t>
      </w:r>
      <w:r>
        <w:t xml:space="preserve">(Dvinge and Bradley, 2015 ; Inoue et al., 2021 ; Shah et al., 2022)</w:t>
      </w:r>
      <w:r>
        <w:t xml:space="preserve">.</w:t>
      </w:r>
    </w:p>
    <w:p>
      <w:pPr>
        <w:pStyle w:val="Brdtekst"/>
      </w:pPr>
      <w:r>
        <w:t xml:space="preserve">Progressive resistance exercise training (RT) describes the type of physical exercise training where the skeletal muscle is exercised against progressively increased types of resistance</w:t>
      </w:r>
      <w:r>
        <w:t xml:space="preserve"> </w:t>
      </w:r>
      <w:r>
        <w:t xml:space="preserve">(Liu and Latham, 2009)</w:t>
      </w:r>
      <w:r>
        <w:t xml:space="preserve">. The benefits of RT include improvements in muscle strength, muscle mass, bone density, mRNA splicing</w:t>
      </w:r>
      <w:r>
        <w:t xml:space="preserve"> </w:t>
      </w:r>
      <w:r>
        <w:t xml:space="preserve">(Kodama et al., 2024)</w:t>
      </w:r>
      <w:r>
        <w:t xml:space="preserve"> </w:t>
      </w:r>
      <w:r>
        <w:t xml:space="preserve">and several other major hallmarks of aging</w:t>
      </w:r>
      <w:r>
        <w:t xml:space="preserve"> </w:t>
      </w:r>
      <w:r>
        <w:t xml:space="preserve">(Garatachea et al., 2015 )</w:t>
      </w:r>
      <w:r>
        <w:t xml:space="preserve">. RT could thus be a potent preventive or treatment strategy for improving aging-related functional disabilities associated with the aging skeletal muscle</w:t>
      </w:r>
      <w:r>
        <w:t xml:space="preserve"> </w:t>
      </w:r>
      <w:r>
        <w:t xml:space="preserve">(Peterson et al., 2011 ; Kryger and Andersen, 2007 ; Lu et al., 2021 )</w:t>
      </w:r>
      <w:r>
        <w:t xml:space="preserve">as well as for improving cardiorespiratory fitness in older persons</w:t>
      </w:r>
      <w:r>
        <w:t xml:space="preserve"> </w:t>
      </w:r>
      <w:r>
        <w:t xml:space="preserve">(Smart et al., 2022)</w:t>
      </w:r>
      <w:r>
        <w:t xml:space="preserve">. A lot is currently known about adaptive responses to RT. However, intron retention in response to RT is relatively unexplored in healthy individuals . If increased intron retention is linked to disease conditions and RT correlates to improved health condition, it should be important to investigate if the benefits of RT include improved splicing efficiency. This study is aimed at investigating differentially spliced introns in human</w:t>
      </w:r>
      <w:r>
        <w:t xml:space="preserve"> </w:t>
      </w:r>
      <w:r>
        <w:rPr>
          <w:iCs/>
          <w:i/>
        </w:rPr>
        <w:t xml:space="preserve">vastus lateralis</w:t>
      </w:r>
      <w:r>
        <w:t xml:space="preserve"> </w:t>
      </w:r>
      <w:r>
        <w:t xml:space="preserve">with increasing age, and how about 12 weeks of RT can affect splicing efficiency. This study will hopefully generate more insights into the molecular mediators of response to RT.</w:t>
      </w:r>
    </w:p>
    <w:bookmarkEnd w:id="20"/>
    <w:bookmarkStart w:id="127" w:name="results"/>
    <w:p>
      <w:pPr>
        <w:pStyle w:val="Overskrift1"/>
      </w:pPr>
      <w:r>
        <w:t xml:space="preserve">Results</w:t>
      </w:r>
    </w:p>
    <w:p>
      <w:pPr>
        <w:pStyle w:val="TableCaption"/>
      </w:pPr>
      <w:r>
        <w:t xml:space="preserve">Table 1:Introns with poor splicing efficiency across all baseline samples</w:t>
      </w:r>
    </w:p>
    <w:tbl>
      <w:tblPr>
        <w:tblStyle w:val="Table"/>
        <w:tblW w:type="pct" w:w="5000"/>
        <w:tblLook w:firstRow="1" w:lastRow="0" w:firstColumn="0" w:lastColumn="0" w:noHBand="0" w:noVBand="0" w:val="0020"/>
        <w:jc w:val="start"/>
        <w:tblLayout w:type="fixed"/>
        <w:tblCaption w:val="Table 1:Introns with poor splicing efficiency across all baseline samples"/>
      </w:tblPr>
      <w:tblGrid>
        <w:gridCol w:w="1549"/>
        <w:gridCol w:w="860"/>
        <w:gridCol w:w="2668"/>
        <w:gridCol w:w="1635"/>
        <w:gridCol w:w="430"/>
        <w:gridCol w:w="344"/>
        <w:gridCol w:w="430"/>
      </w:tblGrid>
      <w:tr>
        <w:trPr>
          <w:tblHeader w:val="true"/>
        </w:trPr>
        <w:tc>
          <w:tcPr/>
          <w:p>
            <w:pPr>
              <w:pStyle w:val="Compact"/>
              <w:jc w:val="left"/>
            </w:pPr>
            <w:r>
              <w:t xml:space="preserve">transcript_ID</w:t>
            </w:r>
          </w:p>
        </w:tc>
        <w:tc>
          <w:tcPr/>
          <w:p>
            <w:pPr>
              <w:pStyle w:val="Compact"/>
              <w:jc w:val="left"/>
            </w:pPr>
            <w:r>
              <w:t xml:space="preserve">intron_ID</w:t>
            </w:r>
          </w:p>
        </w:tc>
        <w:tc>
          <w:tcPr/>
          <w:p>
            <w:pPr>
              <w:pStyle w:val="Compact"/>
              <w:jc w:val="left"/>
            </w:pPr>
            <w:r>
              <w:t xml:space="preserve">transcript_biotype</w:t>
            </w:r>
          </w:p>
        </w:tc>
        <w:tc>
          <w:tcPr/>
          <w:p>
            <w:pPr>
              <w:pStyle w:val="Compact"/>
              <w:jc w:val="left"/>
            </w:pPr>
            <w:r>
              <w:t xml:space="preserve">external_gene_name</w:t>
            </w:r>
          </w:p>
        </w:tc>
        <w:tc>
          <w:tcPr/>
          <w:p>
            <w:pPr>
              <w:pStyle w:val="Compact"/>
              <w:jc w:val="right"/>
            </w:pPr>
            <w:r>
              <w:t xml:space="preserve">mode</w:t>
            </w:r>
          </w:p>
        </w:tc>
        <w:tc>
          <w:tcPr/>
          <w:p>
            <w:pPr>
              <w:pStyle w:val="Compact"/>
              <w:jc w:val="right"/>
            </w:pPr>
            <w:r>
              <w:t xml:space="preserve">min</w:t>
            </w:r>
          </w:p>
        </w:tc>
        <w:tc>
          <w:tcPr/>
          <w:p>
            <w:pPr>
              <w:pStyle w:val="Compact"/>
              <w:jc w:val="right"/>
            </w:pPr>
            <w:r>
              <w:t xml:space="preserve">max</w:t>
            </w:r>
          </w:p>
        </w:tc>
      </w:tr>
      <w:tr>
        <w:tc>
          <w:tcPr/>
          <w:p>
            <w:pPr>
              <w:pStyle w:val="Compact"/>
              <w:jc w:val="left"/>
            </w:pPr>
            <w:r>
              <w:t xml:space="preserve">ENST00000566974.1</w:t>
            </w:r>
          </w:p>
        </w:tc>
        <w:tc>
          <w:tcPr/>
          <w:p>
            <w:pPr>
              <w:pStyle w:val="Compact"/>
              <w:jc w:val="left"/>
            </w:pPr>
            <w:r>
              <w:t xml:space="preserve">1</w:t>
            </w:r>
          </w:p>
        </w:tc>
        <w:tc>
          <w:tcPr/>
          <w:p>
            <w:pPr>
              <w:pStyle w:val="Compact"/>
              <w:jc w:val="left"/>
            </w:pPr>
            <w:r>
              <w:t xml:space="preserve">lncRNA</w:t>
            </w:r>
          </w:p>
        </w:tc>
        <w:tc>
          <w:tcPr/>
          <w:p>
            <w:pPr>
              <w:pStyle w:val="Compact"/>
              <w:jc w:val="left"/>
            </w:pPr>
            <w:r>
              <w:t xml:space="preserve">SYNM-AS2</w:t>
            </w:r>
          </w:p>
        </w:tc>
        <w:tc>
          <w:tcPr/>
          <w:p>
            <w:pPr>
              <w:pStyle w:val="Compact"/>
              <w:jc w:val="right"/>
            </w:pPr>
            <w:r>
              <w:t xml:space="preserve">0.00</w:t>
            </w:r>
          </w:p>
        </w:tc>
        <w:tc>
          <w:tcPr/>
          <w:p>
            <w:pPr>
              <w:pStyle w:val="Compact"/>
              <w:jc w:val="right"/>
            </w:pPr>
            <w:r>
              <w:t xml:space="preserve">0</w:t>
            </w:r>
          </w:p>
        </w:tc>
        <w:tc>
          <w:tcPr/>
          <w:p>
            <w:pPr>
              <w:pStyle w:val="Compact"/>
              <w:jc w:val="right"/>
            </w:pPr>
            <w:r>
              <w:t xml:space="preserve">0.01</w:t>
            </w:r>
          </w:p>
        </w:tc>
      </w:tr>
      <w:tr>
        <w:tc>
          <w:tcPr/>
          <w:p>
            <w:pPr>
              <w:pStyle w:val="Compact"/>
              <w:jc w:val="left"/>
            </w:pPr>
            <w:r>
              <w:t xml:space="preserve">ENST00000583349.1</w:t>
            </w:r>
          </w:p>
        </w:tc>
        <w:tc>
          <w:tcPr/>
          <w:p>
            <w:pPr>
              <w:pStyle w:val="Compact"/>
              <w:jc w:val="left"/>
            </w:pPr>
            <w:r>
              <w:t xml:space="preserve">1</w:t>
            </w:r>
          </w:p>
        </w:tc>
        <w:tc>
          <w:tcPr/>
          <w:p>
            <w:pPr>
              <w:pStyle w:val="Compact"/>
              <w:jc w:val="left"/>
            </w:pPr>
            <w:r>
              <w:t xml:space="preserve">lncRNA</w:t>
            </w:r>
          </w:p>
        </w:tc>
        <w:tc>
          <w:tcPr/>
          <w:p>
            <w:pPr>
              <w:pStyle w:val="Compact"/>
            </w:pPr>
          </w:p>
        </w:tc>
        <w:tc>
          <w:tcPr/>
          <w:p>
            <w:pPr>
              <w:pStyle w:val="Compact"/>
              <w:jc w:val="right"/>
            </w:pPr>
            <w:r>
              <w:t xml:space="preserve">0.00</w:t>
            </w:r>
          </w:p>
        </w:tc>
        <w:tc>
          <w:tcPr/>
          <w:p>
            <w:pPr>
              <w:pStyle w:val="Compact"/>
              <w:jc w:val="right"/>
            </w:pPr>
            <w:r>
              <w:t xml:space="preserve">0</w:t>
            </w:r>
          </w:p>
        </w:tc>
        <w:tc>
          <w:tcPr/>
          <w:p>
            <w:pPr>
              <w:pStyle w:val="Compact"/>
              <w:jc w:val="right"/>
            </w:pPr>
            <w:r>
              <w:t xml:space="preserve">0.13</w:t>
            </w:r>
          </w:p>
        </w:tc>
      </w:tr>
      <w:tr>
        <w:tc>
          <w:tcPr/>
          <w:p>
            <w:pPr>
              <w:pStyle w:val="Compact"/>
              <w:jc w:val="left"/>
            </w:pPr>
            <w:r>
              <w:t xml:space="preserve">ENST00000587767.1</w:t>
            </w:r>
          </w:p>
        </w:tc>
        <w:tc>
          <w:tcPr/>
          <w:p>
            <w:pPr>
              <w:pStyle w:val="Compact"/>
              <w:jc w:val="left"/>
            </w:pPr>
            <w:r>
              <w:t xml:space="preserve">1</w:t>
            </w:r>
          </w:p>
        </w:tc>
        <w:tc>
          <w:tcPr/>
          <w:p>
            <w:pPr>
              <w:pStyle w:val="Compact"/>
              <w:jc w:val="left"/>
            </w:pPr>
            <w:r>
              <w:t xml:space="preserve">lncRNA</w:t>
            </w:r>
          </w:p>
        </w:tc>
        <w:tc>
          <w:tcPr/>
          <w:p>
            <w:pPr>
              <w:pStyle w:val="Compact"/>
            </w:pPr>
          </w:p>
        </w:tc>
        <w:tc>
          <w:tcPr/>
          <w:p>
            <w:pPr>
              <w:pStyle w:val="Compact"/>
              <w:jc w:val="right"/>
            </w:pPr>
            <w:r>
              <w:t xml:space="preserve">0.00</w:t>
            </w:r>
          </w:p>
        </w:tc>
        <w:tc>
          <w:tcPr/>
          <w:p>
            <w:pPr>
              <w:pStyle w:val="Compact"/>
              <w:jc w:val="right"/>
            </w:pPr>
            <w:r>
              <w:t xml:space="preserve">0</w:t>
            </w:r>
          </w:p>
        </w:tc>
        <w:tc>
          <w:tcPr/>
          <w:p>
            <w:pPr>
              <w:pStyle w:val="Compact"/>
              <w:jc w:val="right"/>
            </w:pPr>
            <w:r>
              <w:t xml:space="preserve">0.00</w:t>
            </w:r>
          </w:p>
        </w:tc>
      </w:tr>
      <w:tr>
        <w:tc>
          <w:tcPr/>
          <w:p>
            <w:pPr>
              <w:pStyle w:val="Compact"/>
              <w:jc w:val="left"/>
            </w:pPr>
            <w:r>
              <w:t xml:space="preserve">ENST00000588805.1</w:t>
            </w:r>
          </w:p>
        </w:tc>
        <w:tc>
          <w:tcPr/>
          <w:p>
            <w:pPr>
              <w:pStyle w:val="Compact"/>
              <w:jc w:val="left"/>
            </w:pPr>
            <w:r>
              <w:t xml:space="preserve">2</w:t>
            </w:r>
          </w:p>
        </w:tc>
        <w:tc>
          <w:tcPr/>
          <w:p>
            <w:pPr>
              <w:pStyle w:val="Compact"/>
              <w:jc w:val="left"/>
            </w:pPr>
            <w:r>
              <w:t xml:space="preserve">protein_coding_CDS_not_defined</w:t>
            </w:r>
          </w:p>
        </w:tc>
        <w:tc>
          <w:tcPr/>
          <w:p>
            <w:pPr>
              <w:pStyle w:val="Compact"/>
              <w:jc w:val="left"/>
            </w:pPr>
            <w:r>
              <w:t xml:space="preserve">MEIOC</w:t>
            </w:r>
          </w:p>
        </w:tc>
        <w:tc>
          <w:tcPr/>
          <w:p>
            <w:pPr>
              <w:pStyle w:val="Compact"/>
              <w:jc w:val="right"/>
            </w:pPr>
            <w:r>
              <w:t xml:space="preserve">0.00</w:t>
            </w:r>
          </w:p>
        </w:tc>
        <w:tc>
          <w:tcPr/>
          <w:p>
            <w:pPr>
              <w:pStyle w:val="Compact"/>
              <w:jc w:val="right"/>
            </w:pPr>
            <w:r>
              <w:t xml:space="preserve">0</w:t>
            </w:r>
          </w:p>
        </w:tc>
        <w:tc>
          <w:tcPr/>
          <w:p>
            <w:pPr>
              <w:pStyle w:val="Compact"/>
              <w:jc w:val="right"/>
            </w:pPr>
            <w:r>
              <w:t xml:space="preserve">0.07</w:t>
            </w:r>
          </w:p>
        </w:tc>
      </w:tr>
      <w:tr>
        <w:tc>
          <w:tcPr/>
          <w:p>
            <w:pPr>
              <w:pStyle w:val="Compact"/>
              <w:jc w:val="left"/>
            </w:pPr>
            <w:r>
              <w:t xml:space="preserve">ENST00000589355.1</w:t>
            </w:r>
          </w:p>
        </w:tc>
        <w:tc>
          <w:tcPr/>
          <w:p>
            <w:pPr>
              <w:pStyle w:val="Compact"/>
              <w:jc w:val="left"/>
            </w:pPr>
            <w:r>
              <w:t xml:space="preserve">1</w:t>
            </w:r>
          </w:p>
        </w:tc>
        <w:tc>
          <w:tcPr/>
          <w:p>
            <w:pPr>
              <w:pStyle w:val="Compact"/>
              <w:jc w:val="left"/>
            </w:pPr>
            <w:r>
              <w:t xml:space="preserve">lncRNA</w:t>
            </w:r>
          </w:p>
        </w:tc>
        <w:tc>
          <w:tcPr/>
          <w:p>
            <w:pPr>
              <w:pStyle w:val="Compact"/>
              <w:jc w:val="left"/>
            </w:pPr>
            <w:r>
              <w:t xml:space="preserve">TTN-AS1</w:t>
            </w:r>
          </w:p>
        </w:tc>
        <w:tc>
          <w:tcPr/>
          <w:p>
            <w:pPr>
              <w:pStyle w:val="Compact"/>
              <w:jc w:val="right"/>
            </w:pPr>
            <w:r>
              <w:t xml:space="preserve">0.00</w:t>
            </w:r>
          </w:p>
        </w:tc>
        <w:tc>
          <w:tcPr/>
          <w:p>
            <w:pPr>
              <w:pStyle w:val="Compact"/>
              <w:jc w:val="right"/>
            </w:pPr>
            <w:r>
              <w:t xml:space="preserve">0</w:t>
            </w:r>
          </w:p>
        </w:tc>
        <w:tc>
          <w:tcPr/>
          <w:p>
            <w:pPr>
              <w:pStyle w:val="Compact"/>
              <w:jc w:val="right"/>
            </w:pPr>
            <w:r>
              <w:t xml:space="preserve">0.00</w:t>
            </w:r>
          </w:p>
        </w:tc>
      </w:tr>
      <w:tr>
        <w:tc>
          <w:tcPr/>
          <w:p>
            <w:pPr>
              <w:pStyle w:val="Compact"/>
              <w:jc w:val="left"/>
            </w:pPr>
            <w:r>
              <w:t xml:space="preserve">ENST00000592758.1</w:t>
            </w:r>
          </w:p>
        </w:tc>
        <w:tc>
          <w:tcPr/>
          <w:p>
            <w:pPr>
              <w:pStyle w:val="Compact"/>
              <w:jc w:val="left"/>
            </w:pPr>
            <w:r>
              <w:t xml:space="preserve">1</w:t>
            </w:r>
          </w:p>
        </w:tc>
        <w:tc>
          <w:tcPr/>
          <w:p>
            <w:pPr>
              <w:pStyle w:val="Compact"/>
              <w:jc w:val="left"/>
            </w:pPr>
            <w:r>
              <w:t xml:space="preserve">lncRNA</w:t>
            </w:r>
          </w:p>
        </w:tc>
        <w:tc>
          <w:tcPr/>
          <w:p>
            <w:pPr>
              <w:pStyle w:val="Compact"/>
            </w:pPr>
          </w:p>
        </w:tc>
        <w:tc>
          <w:tcPr/>
          <w:p>
            <w:pPr>
              <w:pStyle w:val="Compact"/>
              <w:jc w:val="right"/>
            </w:pPr>
            <w:r>
              <w:t xml:space="preserve">0.01</w:t>
            </w:r>
          </w:p>
        </w:tc>
        <w:tc>
          <w:tcPr/>
          <w:p>
            <w:pPr>
              <w:pStyle w:val="Compact"/>
              <w:jc w:val="right"/>
            </w:pPr>
            <w:r>
              <w:t xml:space="preserve">0</w:t>
            </w:r>
          </w:p>
        </w:tc>
        <w:tc>
          <w:tcPr/>
          <w:p>
            <w:pPr>
              <w:pStyle w:val="Compact"/>
              <w:jc w:val="right"/>
            </w:pPr>
            <w:r>
              <w:t xml:space="preserve">0.20</w:t>
            </w:r>
          </w:p>
        </w:tc>
      </w:tr>
    </w:tbl>
    <w:bookmarkStart w:id="22" w:name="Xe772a49fa336388ba1056fac18340d47d2c4ed0"/>
    <w:p>
      <w:pPr>
        <w:pStyle w:val="Overskrift4"/>
      </w:pPr>
      <w:r>
        <w:t xml:space="preserve">Some introns have characteristically poor or perfect splicing efficiency</w:t>
      </w:r>
    </w:p>
    <w:p>
      <w:pPr>
        <w:pStyle w:val="FirstParagraph"/>
      </w:pPr>
      <w:r>
        <w:t xml:space="preserve">To determine if there were introns having same splicing efficiency patterns across all baseline samples, we investigated those with poor splicing efficiency, as well as those with perfect splicing efficiency across all samples. To identify introns with characteristically low splicing efficiency , we filtered the baseline dataset for introns whose splicing efficiency across all baseline samples have a maximum total splicing efficiency of 0.2 . Six introns belonging to six different transcripts were shown to be almost 100% retained in all samples. The introns are as shown in</w:t>
      </w:r>
      <w:r>
        <w:t xml:space="preserve"> </w:t>
      </w:r>
      <w:r>
        <w:rPr>
          <w:bCs/>
          <w:b/>
        </w:rPr>
        <w:t xml:space="preserve">Table 1</w:t>
      </w:r>
      <w:r>
        <w:t xml:space="preserve"> </w:t>
      </w:r>
      <w:r>
        <w:rPr>
          <w:bCs/>
          <w:b/>
        </w:rPr>
        <w:t xml:space="preserve">.</w:t>
      </w:r>
      <w:r>
        <w:t xml:space="preserve"> </w:t>
      </w:r>
      <w:r>
        <w:t xml:space="preserve">5 of the 6 transcripts containing the poorly spliced introns are long non-coding RNAs without functional annotation on the org.Hs.eg.db database</w:t>
      </w:r>
      <w:r>
        <w:t xml:space="preserve"> </w:t>
      </w:r>
      <w:r>
        <w:t xml:space="preserve">Manual</w:t>
      </w:r>
      <w:r>
        <w:t xml:space="preserve"> </w:t>
      </w:r>
      <w:r>
        <w:t xml:space="preserve">. The other transcript containing the poorly spliced intron is an alternatively spliced transcript of the MEIOC gene that lacks a coding sequence (CDS). GO analysis of the MEIOC transcript reveals it is involved in meiotic processes as seen in Figure 1.</w:t>
      </w:r>
    </w:p>
    <w:p>
      <w:pPr>
        <w:pStyle w:val="Brdtekst"/>
      </w:pPr>
      <w:r>
        <w:t xml:space="preserve">239 introns from 179 transcripts belonging to 26 genes were perfectly spliced across all datasets. These genes were mostly protein_coding genes enriched for biological processes that are physiologically relevent to the skeletal muscle as can be seen in</w:t>
      </w:r>
      <w:r>
        <w:t xml:space="preserve"> </w:t>
      </w:r>
      <w:hyperlink r:id="rId21">
        <w:r>
          <w:rPr>
            <w:rStyle w:val="Hyperlink"/>
            <w:bCs/>
            <w:b/>
          </w:rPr>
          <w:t xml:space="preserve">Figure 1</w:t>
        </w:r>
      </w:hyperlink>
      <w:r>
        <w:t xml:space="preserve">.</w:t>
      </w:r>
    </w:p>
    <w:bookmarkEnd w:id="22"/>
    <w:bookmarkStart w:id="23" w:name="X3eb6849452ab827e3f31d3142075d982ffe3b40"/>
    <w:p>
      <w:pPr>
        <w:pStyle w:val="Overskrift3"/>
      </w:pPr>
      <w:r>
        <w:t xml:space="preserve">Transcript length did not correlate to splicing efficiency</w:t>
      </w:r>
    </w:p>
    <w:p>
      <w:pPr>
        <w:pStyle w:val="FirstParagraph"/>
      </w:pPr>
      <w:r>
        <w:t xml:space="preserve">To investigate if there was a correlation between transcript length and splicing efficiency at baseline, a pearson’s product-moment correlation test was performed and a negligle correllation of -0.018 at a pvalue of 0.007 was found between the transcript length and splicing efficiency</w:t>
      </w:r>
    </w:p>
    <w:p>
      <w:pPr>
        <w:pStyle w:val="Brdtekst"/>
      </w:pPr>
      <w:r>
        <w:t xml:space="preserve">When both post and preexercise data were included, 8738 introns were captured across all datasets</w:t>
      </w:r>
    </w:p>
    <w:p>
      <w:pPr>
        <w:pStyle w:val="Brdtekst"/>
      </w:pPr>
      <w:r>
        <w:t xml:space="preserve">We measured intron retention as splicing efficiency using SpliceQ</w:t>
      </w:r>
      <w:r>
        <w:t xml:space="preserve"> </w:t>
      </w:r>
      <w:r>
        <w:t xml:space="preserve">(</w:t>
      </w:r>
      <w:r>
        <w:rPr>
          <w:bCs/>
          <w:b/>
        </w:rPr>
        <w:t xml:space="preserve">demelocosta2021?</w:t>
      </w:r>
      <w:r>
        <w:t xml:space="preserve">)</w:t>
      </w:r>
      <w:r>
        <w:t xml:space="preserve">. mis-splicing occurs more in non-protein coding genes than in protein-coding genes</w:t>
      </w:r>
      <w:r>
        <w:t xml:space="preserve"> </w:t>
      </w:r>
      <w:r>
        <w:t xml:space="preserve">García-Ruiz et al. (2023)</w:t>
      </w:r>
      <w:r>
        <w:t xml:space="preserve">, this disagrees with the results we obtained . We however take cognisance of the limitations in RNA-Seq’s reported ability to correctly quantify non-coding RNAs</w:t>
      </w:r>
      <w:r>
        <w:t xml:space="preserve"> </w:t>
      </w:r>
      <w:r>
        <w:t xml:space="preserve">Stokes et al. (2023)</w:t>
      </w:r>
      <w:r>
        <w:t xml:space="preserve">.</w:t>
      </w:r>
    </w:p>
    <w:bookmarkEnd w:id="23"/>
    <w:bookmarkStart w:id="24" w:name="Xc77112a0dba8f4e338bba3932d25e9daa7feb38"/>
    <w:p>
      <w:pPr>
        <w:pStyle w:val="Overskrift3"/>
      </w:pPr>
      <w:r>
        <w:t xml:space="preserve">Differentially spliced introns at baseline</w:t>
      </w:r>
    </w:p>
    <w:p>
      <w:pPr>
        <w:pStyle w:val="FirstParagraph"/>
      </w:pPr>
      <w:r>
        <w:t xml:space="preserve">1022 introns were differentially spliced at baseline, based on age. OF which 718 has negative estimates while 304 had positive estimates . Gene ontology analyses reveal that the introns that tend to get poorly spliced with age tend to be related to skeletal muscle processes.</w:t>
      </w:r>
    </w:p>
    <w:p>
      <w:pPr>
        <w:pStyle w:val="Brdtekst"/>
      </w:pPr>
      <w:r>
        <w:t xml:space="preserve">Saudemont et al. (2017)</w:t>
      </w:r>
      <w:r>
        <w:t xml:space="preserve"> </w:t>
      </w:r>
      <w:r>
        <w:t xml:space="preserve">stipulated a mutation-selection-drift theory that suggests shorter, intron-poor and lowly expressed genes show a poorer splicing efficiency</w:t>
      </w:r>
    </w:p>
    <w:p>
      <w:pPr>
        <w:pStyle w:val="Brdtekst"/>
      </w:pPr>
      <w:r>
        <w:t xml:space="preserve">There appears to be a progressive decrease in Splicing efficiency from young to middle aged, and then old</w:t>
      </w:r>
    </w:p>
    <w:p>
      <w:pPr>
        <w:pStyle w:val="Brdtekst"/>
      </w:pPr>
      <w:r>
        <w:t xml:space="preserve">detect differentially spliced introns between young and old participants, At baseline, using the filter characteristics of adjusted p.values =&lt; 0.05, only age had differentially spliced introns, sex and interaction between sex and age showed no ds introns. age alone revealed 1786 out of 18541 introns were differentially spliced between old and young participants. When this data was further queried to detected those with absolute log2fc of 1, it showed that 511 were significantly spliced differently between old and young participants. 3 introns were differentially sploiced by sex</w:t>
      </w:r>
    </w:p>
    <w:p>
      <w:pPr>
        <w:pStyle w:val="Brdtekst"/>
      </w:pPr>
      <w:r>
        <w:t xml:space="preserve">Seven introns were shown to be differentially expressed by age when used as a continous variable</w:t>
      </w:r>
    </w:p>
    <w:p>
      <w:pPr>
        <w:pStyle w:val="Brdtekst"/>
      </w:pPr>
      <w:r>
        <w:t xml:space="preserve">Of the 1693 ds introns captured in the full dataset, 135 were changed postexercise. Based on the Estimate values, they were all improvements</w:t>
      </w:r>
    </w:p>
    <w:p>
      <w:pPr>
        <w:pStyle w:val="Brdtekst"/>
      </w:pPr>
      <w:r>
        <w:t xml:space="preserve">At baseline, the splicing efficiency of 23063 introns were captured across all the 422 baseline samples in the data. , 1022 introns from 925 transcripts were differentially spliced. At the gene level, these corresponded to 132 genes. We explored</w:t>
      </w:r>
    </w:p>
    <w:bookmarkEnd w:id="24"/>
    <w:bookmarkStart w:id="30" w:name="materials-and-methods"/>
    <w:p>
      <w:pPr>
        <w:pStyle w:val="Overskrift2"/>
      </w:pPr>
      <w:r>
        <w:t xml:space="preserve">Materials and methods</w:t>
      </w:r>
    </w:p>
    <w:bookmarkStart w:id="25" w:name="datasets"/>
    <w:p>
      <w:pPr>
        <w:pStyle w:val="Overskrift4"/>
      </w:pPr>
      <w:r>
        <w:t xml:space="preserve">Datasets</w:t>
      </w:r>
    </w:p>
    <w:p>
      <w:pPr>
        <w:pStyle w:val="FirstParagraph"/>
      </w:pPr>
      <w:r>
        <w:t xml:space="preserve">Six datasets designed to investigate different aspects of adaptive response to RT are included in the study. Five of these datasets are from the TrainOme group while one is a publicly available dataset from</w:t>
      </w:r>
      <w:r>
        <w:t xml:space="preserve"> </w:t>
      </w:r>
      <w:r>
        <w:t xml:space="preserve">(</w:t>
      </w:r>
      <w:r>
        <w:rPr>
          <w:bCs/>
          <w:b/>
        </w:rPr>
        <w:t xml:space="preserve">robinson2017?</w:t>
      </w:r>
      <w:r>
        <w:t xml:space="preserve">)</w:t>
      </w:r>
      <w:r>
        <w:t xml:space="preserve">. The datasets were selected based on the criteria that they included paired-end Illumina RNA-Seq data from the</w:t>
      </w:r>
      <w:r>
        <w:t xml:space="preserve"> </w:t>
      </w:r>
      <w:r>
        <w:rPr>
          <w:iCs/>
          <w:i/>
        </w:rPr>
        <w:t xml:space="preserve">vastus lateralis</w:t>
      </w:r>
      <w:r>
        <w:t xml:space="preserve"> </w:t>
      </w:r>
      <w:r>
        <w:t xml:space="preserve">muscle of human subjects who performed at least 10 weeks of RT with samples collected at baseline and at the end of the program . Age, recorded as a numerical variable of all participants also needed to be included in the data. The study protocols of the different datasets are described elsewhere.</w:t>
      </w:r>
    </w:p>
    <w:p>
      <w:pPr>
        <w:pStyle w:val="Brdtekst"/>
      </w:pPr>
      <w:r>
        <w:t xml:space="preserve">ReLieF project</w:t>
      </w:r>
      <w:r>
        <w:t xml:space="preserve"> </w:t>
      </w:r>
      <w:r>
        <w:t xml:space="preserve">(</w:t>
      </w:r>
      <w:r>
        <w:rPr>
          <w:bCs/>
          <w:b/>
        </w:rPr>
        <w:t xml:space="preserve">lian?</w:t>
      </w:r>
      <w:r>
        <w:t xml:space="preserve">)</w:t>
      </w:r>
      <w:r>
        <w:t xml:space="preserve">.</w:t>
      </w:r>
    </w:p>
    <w:p>
      <w:pPr>
        <w:pStyle w:val="Brdtekst"/>
      </w:pPr>
      <w:r>
        <w:t xml:space="preserve">Alpha and Omega (ClinicalTrial.gov Identifier NCT04279951)</w:t>
      </w:r>
    </w:p>
    <w:p>
      <w:pPr>
        <w:pStyle w:val="Brdtekst"/>
      </w:pPr>
      <w:r>
        <w:t xml:space="preserve">ContraTrain (ClinicalTrial.gov Identifier NCT03795025)</w:t>
      </w:r>
    </w:p>
    <w:p>
      <w:pPr>
        <w:pStyle w:val="Brdtekst"/>
      </w:pPr>
      <w:r>
        <w:t xml:space="preserve">The characteristics of included studies are presented in</w:t>
      </w:r>
      <w:r>
        <w:t xml:space="preserve"> </w:t>
      </w:r>
      <w:r>
        <w:rPr>
          <w:bCs/>
          <w:b/>
        </w:rPr>
        <w:t xml:space="preserve">Table 1</w:t>
      </w:r>
    </w:p>
    <w:tbl>
      <w:tblPr>
        <w:tblStyle w:val="Table"/>
        <w:tblW w:type="pct" w:w="4913"/>
        <w:tblLook w:firstRow="1" w:lastRow="0" w:firstColumn="0" w:lastColumn="0" w:noHBand="0" w:noVBand="0" w:val="0020"/>
        <w:jc w:val="start"/>
        <w:tblLayout w:type="fixed"/>
      </w:tblPr>
      <w:tblGrid>
        <w:gridCol w:w="1693"/>
        <w:gridCol w:w="2060"/>
        <w:gridCol w:w="1144"/>
        <w:gridCol w:w="1144"/>
        <w:gridCol w:w="1739"/>
      </w:tblGrid>
      <w:tr>
        <w:trPr>
          <w:tblHeader w:val="true"/>
        </w:trPr>
        <w:tc>
          <w:tcPr/>
          <w:p>
            <w:pPr>
              <w:pStyle w:val="Compact"/>
              <w:jc w:val="left"/>
            </w:pPr>
            <w:r>
              <w:t xml:space="preserve">Dataset name</w:t>
            </w:r>
          </w:p>
        </w:tc>
        <w:tc>
          <w:tcPr/>
          <w:p>
            <w:pPr>
              <w:pStyle w:val="Compact"/>
              <w:jc w:val="left"/>
            </w:pPr>
            <w:r>
              <w:t xml:space="preserve">Number of participants. postexc in bracket</w:t>
            </w:r>
          </w:p>
        </w:tc>
        <w:tc>
          <w:tcPr/>
          <w:p>
            <w:pPr>
              <w:pStyle w:val="Compact"/>
              <w:jc w:val="left"/>
            </w:pPr>
            <w:r>
              <w:t xml:space="preserve">Age range (in years)</w:t>
            </w:r>
          </w:p>
        </w:tc>
        <w:tc>
          <w:tcPr/>
          <w:p>
            <w:pPr>
              <w:pStyle w:val="Compact"/>
              <w:jc w:val="left"/>
            </w:pPr>
            <w:r>
              <w:t xml:space="preserve">RT duration (in weeks)</w:t>
            </w:r>
          </w:p>
        </w:tc>
        <w:tc>
          <w:tcPr/>
          <w:p>
            <w:pPr>
              <w:pStyle w:val="Compact"/>
              <w:jc w:val="left"/>
            </w:pPr>
            <w:r>
              <w:t xml:space="preserve">Linked Publication</w:t>
            </w:r>
          </w:p>
        </w:tc>
      </w:tr>
      <w:tr>
        <w:tc>
          <w:tcPr/>
          <w:p>
            <w:pPr>
              <w:pStyle w:val="Compact"/>
              <w:jc w:val="left"/>
            </w:pPr>
            <w:r>
              <w:t xml:space="preserve">COPD</w:t>
            </w:r>
          </w:p>
        </w:tc>
        <w:tc>
          <w:tcPr/>
          <w:p>
            <w:pPr>
              <w:pStyle w:val="Compact"/>
              <w:jc w:val="left"/>
            </w:pPr>
            <w:r>
              <w:t xml:space="preserve">53 (53)</w:t>
            </w:r>
          </w:p>
        </w:tc>
        <w:tc>
          <w:tcPr/>
          <w:p>
            <w:pPr>
              <w:pStyle w:val="Compact"/>
              <w:jc w:val="left"/>
            </w:pPr>
            <w:r>
              <w:t xml:space="preserve">56-79</w:t>
            </w:r>
          </w:p>
        </w:tc>
        <w:tc>
          <w:tcPr/>
          <w:p>
            <w:pPr>
              <w:pStyle w:val="Compact"/>
              <w:jc w:val="left"/>
            </w:pPr>
            <w:r>
              <w:t xml:space="preserve">13</w:t>
            </w:r>
          </w:p>
        </w:tc>
        <w:tc>
          <w:tcPr/>
          <w:p>
            <w:pPr>
              <w:pStyle w:val="Compact"/>
              <w:jc w:val="left"/>
            </w:pPr>
            <w:r>
              <w:t xml:space="preserve">Mølmen et al. (2021)</w:t>
            </w:r>
          </w:p>
        </w:tc>
      </w:tr>
      <w:tr>
        <w:tc>
          <w:tcPr/>
          <w:p>
            <w:pPr>
              <w:pStyle w:val="Compact"/>
              <w:jc w:val="left"/>
            </w:pPr>
            <w:r>
              <w:t xml:space="preserve">Volume</w:t>
            </w:r>
          </w:p>
        </w:tc>
        <w:tc>
          <w:tcPr/>
          <w:p>
            <w:pPr>
              <w:pStyle w:val="Compact"/>
              <w:jc w:val="left"/>
            </w:pPr>
            <w:r>
              <w:t xml:space="preserve">25 (25)</w:t>
            </w:r>
          </w:p>
        </w:tc>
        <w:tc>
          <w:tcPr/>
          <w:p>
            <w:pPr>
              <w:pStyle w:val="Compact"/>
              <w:jc w:val="left"/>
            </w:pPr>
            <w:r>
              <w:t xml:space="preserve">20-37</w:t>
            </w:r>
          </w:p>
        </w:tc>
        <w:tc>
          <w:tcPr/>
          <w:p>
            <w:pPr>
              <w:pStyle w:val="Compact"/>
              <w:jc w:val="left"/>
            </w:pPr>
            <w:r>
              <w:t xml:space="preserve">12</w:t>
            </w:r>
          </w:p>
        </w:tc>
        <w:tc>
          <w:tcPr/>
          <w:p>
            <w:pPr>
              <w:pStyle w:val="Compact"/>
              <w:jc w:val="left"/>
            </w:pPr>
            <w:r>
              <w:t xml:space="preserve">Khan et al. (2020)</w:t>
            </w:r>
          </w:p>
        </w:tc>
      </w:tr>
      <w:tr>
        <w:tc>
          <w:tcPr/>
          <w:p>
            <w:pPr>
              <w:pStyle w:val="Compact"/>
              <w:jc w:val="left"/>
            </w:pPr>
            <w:r>
              <w:t xml:space="preserve">Contratrain</w:t>
            </w:r>
          </w:p>
        </w:tc>
        <w:tc>
          <w:tcPr/>
          <w:p>
            <w:pPr>
              <w:pStyle w:val="Compact"/>
              <w:jc w:val="left"/>
            </w:pPr>
            <w:r>
              <w:t xml:space="preserve">32 (26)</w:t>
            </w:r>
          </w:p>
        </w:tc>
        <w:tc>
          <w:tcPr/>
          <w:p>
            <w:pPr>
              <w:pStyle w:val="Compact"/>
              <w:jc w:val="left"/>
            </w:pPr>
            <w:r>
              <w:t xml:space="preserve">19-35</w:t>
            </w:r>
          </w:p>
        </w:tc>
        <w:tc>
          <w:tcPr/>
          <w:p>
            <w:pPr>
              <w:pStyle w:val="Compact"/>
              <w:jc w:val="left"/>
            </w:pPr>
            <w:r>
              <w:t xml:space="preserve">10</w:t>
            </w:r>
          </w:p>
        </w:tc>
        <w:tc>
          <w:tcPr/>
          <w:p>
            <w:pPr>
              <w:pStyle w:val="Compact"/>
              <w:jc w:val="left"/>
            </w:pPr>
            <w:r>
              <w:t xml:space="preserve">Hamarsland</w:t>
            </w:r>
            <w:r>
              <w:t xml:space="preserve"> </w:t>
            </w:r>
            <w:r>
              <w:rPr>
                <w:iCs/>
                <w:i/>
              </w:rPr>
              <w:t xml:space="preserve">et al</w:t>
            </w:r>
            <w:r>
              <w:t xml:space="preserve"> </w:t>
            </w:r>
            <w:r>
              <w:t xml:space="preserve">(in preparation)</w:t>
            </w:r>
          </w:p>
        </w:tc>
      </w:tr>
      <w:tr>
        <w:tc>
          <w:tcPr/>
          <w:p>
            <w:pPr>
              <w:pStyle w:val="Compact"/>
              <w:jc w:val="left"/>
            </w:pPr>
            <w:r>
              <w:t xml:space="preserve">Alpha/ Omega</w:t>
            </w:r>
          </w:p>
        </w:tc>
        <w:tc>
          <w:tcPr/>
          <w:p>
            <w:pPr>
              <w:pStyle w:val="Compact"/>
              <w:jc w:val="left"/>
            </w:pPr>
            <w:r>
              <w:t xml:space="preserve">143</w:t>
            </w:r>
          </w:p>
        </w:tc>
        <w:tc>
          <w:tcPr/>
          <w:p>
            <w:pPr>
              <w:pStyle w:val="Compact"/>
              <w:jc w:val="left"/>
            </w:pPr>
            <w:r>
              <w:t xml:space="preserve">23-60</w:t>
            </w:r>
          </w:p>
        </w:tc>
        <w:tc>
          <w:tcPr/>
          <w:p>
            <w:pPr>
              <w:pStyle w:val="Compact"/>
              <w:jc w:val="left"/>
            </w:pPr>
            <w:r>
              <w:t xml:space="preserve">12</w:t>
            </w:r>
          </w:p>
        </w:tc>
        <w:tc>
          <w:tcPr/>
          <w:p>
            <w:pPr>
              <w:pStyle w:val="Compact"/>
              <w:jc w:val="left"/>
            </w:pPr>
            <w:r>
              <w:t xml:space="preserve">Hamarsland</w:t>
            </w:r>
            <w:r>
              <w:t xml:space="preserve"> </w:t>
            </w:r>
            <w:r>
              <w:rPr>
                <w:iCs/>
                <w:i/>
              </w:rPr>
              <w:t xml:space="preserve">et al</w:t>
            </w:r>
            <w:r>
              <w:t xml:space="preserve"> </w:t>
            </w:r>
            <w:r>
              <w:t xml:space="preserve">(in preparation)</w:t>
            </w:r>
          </w:p>
        </w:tc>
      </w:tr>
      <w:tr>
        <w:tc>
          <w:tcPr/>
          <w:p>
            <w:pPr>
              <w:pStyle w:val="Compact"/>
              <w:jc w:val="left"/>
            </w:pPr>
            <w:r>
              <w:t xml:space="preserve">SRP102542 (GEO Accession GSE97084)</w:t>
            </w:r>
          </w:p>
        </w:tc>
        <w:tc>
          <w:tcPr/>
          <w:p>
            <w:pPr>
              <w:pStyle w:val="Compact"/>
              <w:jc w:val="left"/>
            </w:pPr>
            <w:r>
              <w:t xml:space="preserve">52</w:t>
            </w:r>
          </w:p>
        </w:tc>
        <w:tc>
          <w:tcPr/>
          <w:p>
            <w:pPr>
              <w:jc w:val="left"/>
            </w:pPr>
            <w:r>
              <w:t xml:space="preserve">19-30 (Young cohort)</w:t>
            </w:r>
          </w:p>
          <w:p>
            <w:pPr>
              <w:jc w:val="left"/>
            </w:pPr>
            <w:r>
              <w:t xml:space="preserve">65-78 (Old cohort)</w:t>
            </w:r>
          </w:p>
        </w:tc>
        <w:tc>
          <w:tcPr/>
          <w:p>
            <w:pPr>
              <w:pStyle w:val="Compact"/>
              <w:jc w:val="left"/>
            </w:pPr>
            <w:r>
              <w:t xml:space="preserve">12</w:t>
            </w:r>
          </w:p>
        </w:tc>
        <w:tc>
          <w:tcPr/>
          <w:p>
            <w:pPr>
              <w:pStyle w:val="Compact"/>
              <w:jc w:val="left"/>
            </w:pPr>
            <w:r>
              <w:t xml:space="preserve">Robinson et al. (2017)</w:t>
            </w:r>
          </w:p>
        </w:tc>
      </w:tr>
      <w:tr>
        <w:tc>
          <w:tcPr/>
          <w:p>
            <w:pPr>
              <w:pStyle w:val="Compact"/>
              <w:jc w:val="left"/>
            </w:pPr>
            <w:r>
              <w:t xml:space="preserve">Relief</w:t>
            </w:r>
          </w:p>
        </w:tc>
        <w:tc>
          <w:tcPr/>
          <w:p>
            <w:pPr>
              <w:pStyle w:val="Compact"/>
              <w:jc w:val="left"/>
            </w:pPr>
            <w:r>
              <w:t xml:space="preserve">73(66)</w:t>
            </w:r>
          </w:p>
        </w:tc>
        <w:tc>
          <w:tcPr/>
          <w:p>
            <w:pPr>
              <w:jc w:val="left"/>
            </w:pPr>
            <w:r>
              <w:t xml:space="preserve">20 - 29 (Young cohort)</w:t>
            </w:r>
          </w:p>
          <w:p>
            <w:pPr>
              <w:jc w:val="left"/>
            </w:pPr>
            <w:r>
              <w:t xml:space="preserve">72 - 93 (Old cohort)</w:t>
            </w:r>
          </w:p>
        </w:tc>
        <w:tc>
          <w:tcPr/>
          <w:p>
            <w:pPr>
              <w:pStyle w:val="Compact"/>
              <w:jc w:val="left"/>
            </w:pPr>
            <w:r>
              <w:t xml:space="preserve">12</w:t>
            </w:r>
          </w:p>
        </w:tc>
        <w:tc>
          <w:tcPr/>
          <w:p>
            <w:pPr>
              <w:pStyle w:val="Compact"/>
              <w:jc w:val="left"/>
            </w:pPr>
            <w:r>
              <w:t xml:space="preserve">Lian</w:t>
            </w:r>
            <w:r>
              <w:t xml:space="preserve"> </w:t>
            </w:r>
            <w:r>
              <w:rPr>
                <w:iCs/>
                <w:i/>
              </w:rPr>
              <w:t xml:space="preserve">et al</w:t>
            </w:r>
            <w:r>
              <w:t xml:space="preserve"> </w:t>
            </w:r>
            <w:r>
              <w:t xml:space="preserve">(in preparation)</w:t>
            </w:r>
          </w:p>
        </w:tc>
      </w:tr>
    </w:tbl>
    <w:p>
      <w:pPr>
        <w:pStyle w:val="Brdtekst"/>
      </w:pPr>
      <w:r>
        <w:t xml:space="preserve">The benjamin and hochberg method</w:t>
      </w:r>
      <w:r>
        <w:t xml:space="preserve"> </w:t>
      </w:r>
      <w:r>
        <w:t xml:space="preserve">Benjamini and Hochberg (1995)</w:t>
      </w:r>
      <w:r>
        <w:t xml:space="preserve"> </w:t>
      </w:r>
      <w:r>
        <w:t xml:space="preserve">was used to control for false discovery rates</w:t>
      </w:r>
    </w:p>
    <w:bookmarkEnd w:id="25"/>
    <w:bookmarkStart w:id="29" w:name="methodology"/>
    <w:p>
      <w:pPr>
        <w:pStyle w:val="Overskrift3"/>
      </w:pPr>
      <w:r>
        <w:t xml:space="preserve">Methodology</w:t>
      </w:r>
    </w:p>
    <w:bookmarkStart w:id="26" w:name="rna-sequence-data-processing"/>
    <w:p>
      <w:pPr>
        <w:pStyle w:val="Overskrift4"/>
      </w:pPr>
      <w:r>
        <w:t xml:space="preserve">RNA sequence data processing</w:t>
      </w:r>
    </w:p>
    <w:p>
      <w:pPr>
        <w:pStyle w:val="FirstParagraph"/>
      </w:pPr>
      <w:r>
        <w:t xml:space="preserve">The quality of the reads were checked using FASTQC(v0.11.9). Using STAR (2.7.9a) the reads were mapped to the human reference genome (GRCh38, gencode v47 primary annotaion ) using the 2-pass alignment method described by</w:t>
      </w:r>
      <w:r>
        <w:t xml:space="preserve"> </w:t>
      </w:r>
      <w:r>
        <w:t xml:space="preserve">(Veeneman et al., 2016)</w:t>
      </w:r>
      <w:r>
        <w:t xml:space="preserve">. This method is said to advance the quantification and discovery of splicing events. RSEM (1.3.3)</w:t>
      </w:r>
      <w:r>
        <w:t xml:space="preserve"> </w:t>
      </w:r>
      <w:r>
        <w:t xml:space="preserve">(Li and Dewey, 2011)</w:t>
      </w:r>
      <w:r>
        <w:t xml:space="preserve"> </w:t>
      </w:r>
      <w:r>
        <w:t xml:space="preserve">was used to quantify transcript and gene level expressions while SpliceQ</w:t>
      </w:r>
      <w:r>
        <w:t xml:space="preserve"> </w:t>
      </w:r>
      <w:r>
        <w:t xml:space="preserve">Melo Costa et al. (2021)</w:t>
      </w:r>
      <w:r>
        <w:t xml:space="preserve"> </w:t>
      </w:r>
      <w:r>
        <w:t xml:space="preserve">was used to quantify splicing efficiency.</w:t>
      </w:r>
    </w:p>
    <w:bookmarkEnd w:id="26"/>
    <w:bookmarkStart w:id="27" w:name="splicing-data-analyses-on-baseline-data"/>
    <w:p>
      <w:pPr>
        <w:pStyle w:val="Overskrift4"/>
      </w:pPr>
      <w:r>
        <w:t xml:space="preserve">Splicing data analyses on baseline data</w:t>
      </w:r>
    </w:p>
    <w:p>
      <w:pPr>
        <w:pStyle w:val="FirstParagraph"/>
      </w:pPr>
      <w:r>
        <w:t xml:space="preserve">Figure 1 shows the distribution of the baseline data by age_group, sex and study.Using baseline data alone, we sought to identify differentially spliced introns by age, sex and age group. For this, we built two generalized linear mixed beta regression models. One captured age as a continuous variable and analysed the interaction between age and sex as fixed effects, while study and participant were used as random effect having individual intercepts</w:t>
      </w:r>
    </w:p>
    <w:p>
      <w:pPr>
        <w:pStyle w:val="Brdtekst"/>
      </w:pPr>
      <w:r>
        <w:t xml:space="preserve">The second model, used age as a categorical variable where the participants were grouped into several age ranges as shown in the table below. Similar to the first model, the interaction of age_group and sex was used as fixed effects,</w:t>
      </w:r>
    </w:p>
    <w:p>
      <w:pPr>
        <w:pStyle w:val="Brdtekst"/>
      </w:pPr>
      <w:r>
        <w:t xml:space="preserve">The differentially spliced introns were defined as those with p values at or below 0.05 and log2Fc of above 0.5.</w:t>
      </w:r>
    </w:p>
    <w:p>
      <w:pPr>
        <w:pStyle w:val="Brdtekst"/>
      </w:pPr>
      <w:r>
        <w:t xml:space="preserve">As recommended by</w:t>
      </w:r>
      <w:r>
        <w:t xml:space="preserve"> </w:t>
      </w:r>
      <w:r>
        <w:t xml:space="preserve">(</w:t>
      </w:r>
      <w:r>
        <w:rPr>
          <w:bCs/>
          <w:b/>
        </w:rPr>
        <w:t xml:space="preserve">zhao2020?</w:t>
      </w:r>
      <w:r>
        <w:t xml:space="preserve">)</w:t>
      </w:r>
      <w:r>
        <w:t xml:space="preserve"> </w:t>
      </w:r>
      <w:r>
        <w:t xml:space="preserve">in scenerios where multiple datasets are combined, we used the class-specific strategy of quantile normalization to normalize the gene expression data.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Age range</w:t>
            </w:r>
          </w:p>
        </w:tc>
        <w:tc>
          <w:tcPr/>
          <w:p>
            <w:pPr>
              <w:pStyle w:val="Compact"/>
              <w:jc w:val="left"/>
            </w:pPr>
            <w:r>
              <w:t xml:space="preserve">Name in dataset</w:t>
            </w:r>
          </w:p>
        </w:tc>
      </w:tr>
      <w:tr>
        <w:tc>
          <w:tcPr/>
          <w:p>
            <w:pPr>
              <w:pStyle w:val="Compact"/>
              <w:jc w:val="left"/>
            </w:pPr>
            <w:r>
              <w:t xml:space="preserve">20 and below</w:t>
            </w:r>
          </w:p>
        </w:tc>
        <w:tc>
          <w:tcPr/>
          <w:p>
            <w:pPr>
              <w:pStyle w:val="Compact"/>
              <w:jc w:val="left"/>
            </w:pPr>
            <w:r>
              <w:t xml:space="preserve">&lt;=20</w:t>
            </w:r>
          </w:p>
        </w:tc>
      </w:tr>
      <w:tr>
        <w:tc>
          <w:tcPr/>
          <w:p>
            <w:pPr>
              <w:pStyle w:val="Compact"/>
              <w:jc w:val="left"/>
            </w:pPr>
            <w:r>
              <w:t xml:space="preserve">21 to 30</w:t>
            </w:r>
          </w:p>
        </w:tc>
        <w:tc>
          <w:tcPr/>
          <w:p>
            <w:pPr>
              <w:pStyle w:val="Compact"/>
              <w:jc w:val="left"/>
            </w:pPr>
            <w:r>
              <w:t xml:space="preserve">&gt;20 &amp; &lt;=30</w:t>
            </w:r>
          </w:p>
        </w:tc>
      </w:tr>
      <w:tr>
        <w:tc>
          <w:tcPr/>
          <w:p>
            <w:pPr>
              <w:pStyle w:val="Compact"/>
              <w:jc w:val="left"/>
            </w:pPr>
            <w:r>
              <w:t xml:space="preserve">31 to 40</w:t>
            </w:r>
          </w:p>
        </w:tc>
        <w:tc>
          <w:tcPr/>
          <w:p>
            <w:pPr>
              <w:pStyle w:val="Compact"/>
              <w:jc w:val="left"/>
            </w:pPr>
            <w:r>
              <w:t xml:space="preserve">&gt;30 &amp; &lt;= 40</w:t>
            </w:r>
          </w:p>
        </w:tc>
      </w:tr>
      <w:tr>
        <w:tc>
          <w:tcPr/>
          <w:p>
            <w:pPr>
              <w:pStyle w:val="Compact"/>
              <w:jc w:val="left"/>
            </w:pPr>
            <w:r>
              <w:t xml:space="preserve">41 to 50</w:t>
            </w:r>
          </w:p>
        </w:tc>
        <w:tc>
          <w:tcPr/>
          <w:p>
            <w:pPr>
              <w:pStyle w:val="Compact"/>
              <w:jc w:val="left"/>
            </w:pPr>
            <w:r>
              <w:t xml:space="preserve">&gt;40 &amp; &lt;= 50</w:t>
            </w:r>
          </w:p>
        </w:tc>
      </w:tr>
      <w:tr>
        <w:tc>
          <w:tcPr/>
          <w:p>
            <w:pPr>
              <w:pStyle w:val="Compact"/>
              <w:jc w:val="left"/>
            </w:pPr>
            <w:r>
              <w:t xml:space="preserve">51 to 60</w:t>
            </w:r>
          </w:p>
        </w:tc>
        <w:tc>
          <w:tcPr/>
          <w:p>
            <w:pPr>
              <w:pStyle w:val="Compact"/>
              <w:jc w:val="left"/>
            </w:pPr>
            <w:r>
              <w:t xml:space="preserve">&gt;50 &amp; &lt;= 60</w:t>
            </w:r>
          </w:p>
        </w:tc>
      </w:tr>
      <w:tr>
        <w:tc>
          <w:tcPr/>
          <w:p>
            <w:pPr>
              <w:pStyle w:val="Compact"/>
              <w:jc w:val="left"/>
            </w:pPr>
            <w:r>
              <w:t xml:space="preserve">61 to 70</w:t>
            </w:r>
          </w:p>
        </w:tc>
        <w:tc>
          <w:tcPr/>
          <w:p>
            <w:pPr>
              <w:pStyle w:val="Compact"/>
              <w:jc w:val="left"/>
            </w:pPr>
            <w:r>
              <w:t xml:space="preserve">&gt;60 &amp; &lt;=70</w:t>
            </w:r>
          </w:p>
        </w:tc>
      </w:tr>
      <w:tr>
        <w:tc>
          <w:tcPr/>
          <w:p>
            <w:pPr>
              <w:pStyle w:val="Compact"/>
              <w:jc w:val="left"/>
            </w:pPr>
            <w:r>
              <w:t xml:space="preserve">Above 71</w:t>
            </w:r>
          </w:p>
        </w:tc>
        <w:tc>
          <w:tcPr/>
          <w:p>
            <w:pPr>
              <w:pStyle w:val="Compact"/>
              <w:jc w:val="left"/>
            </w:pPr>
            <w:r>
              <w:t xml:space="preserve">&gt;71</w:t>
            </w:r>
          </w:p>
        </w:tc>
      </w:tr>
    </w:tbl>
    <w:bookmarkEnd w:id="27"/>
    <w:bookmarkStart w:id="28" w:name="X66a4a969b062cb694a25fdadafabec3c72ea90f"/>
    <w:p>
      <w:pPr>
        <w:pStyle w:val="Overskrift4"/>
      </w:pPr>
      <w:r>
        <w:t xml:space="preserve">Exploration of the effects of RT on intron retention</w:t>
      </w:r>
    </w:p>
    <w:p>
      <w:pPr>
        <w:pStyle w:val="FirstParagraph"/>
      </w:pPr>
      <w:r>
        <w:t xml:space="preserve">First, we analysed the effect of RT on the differentially spliced introns at baseline, using RT as a fixed effect while study and participants were random effects each having individual intercepts.</w:t>
      </w:r>
    </w:p>
    <w:p>
      <w:pPr>
        <w:pStyle w:val="Brdtekst"/>
      </w:pPr>
      <w:r>
        <w:t xml:space="preserve">introns that were not represented across all samples were excluded from the analyses. This happens largely due to the settings in SpliceQ</w:t>
      </w:r>
      <w:r>
        <w:t xml:space="preserve"> </w:t>
      </w:r>
      <w:r>
        <w:t xml:space="preserve">(Melo Costa et al., 2021)</w:t>
      </w:r>
      <w:r>
        <w:t xml:space="preserve">. For the full RT model, participants that did not perform RT were excluded from the analyses. Such participants were found in the ContraTrain and SRP102542 studies</w:t>
      </w:r>
    </w:p>
    <w:p>
      <w:pPr>
        <w:pStyle w:val="Brdtekst"/>
      </w:pPr>
      <w:r>
        <w:t xml:space="preserve">The full dataset was filtered to select only introns measured across all samples. A model was built using generalized linear mixed beta regression model using the interaction between age group, RT and sex as fixed effects, while study and participant were used as random effect having individual intercepts.</w:t>
      </w:r>
    </w:p>
    <w:p>
      <w:pPr>
        <w:pStyle w:val="Brdtekst"/>
      </w:pPr>
      <w:r>
        <w:t xml:space="preserve">The interaction effects were filtered as well as the effect of RT.</w:t>
      </w:r>
    </w:p>
    <w:p>
      <w:pPr>
        <w:pStyle w:val="Brdtekst"/>
      </w:pPr>
      <w:r>
        <w:t xml:space="preserve">The characteristics of the genes containing the differntially spliced introns were explored. This included their lengths and gene ontology</w:t>
      </w:r>
    </w:p>
    <w:bookmarkEnd w:id="28"/>
    <w:bookmarkEnd w:id="29"/>
    <w:bookmarkEnd w:id="30"/>
    <w:bookmarkStart w:id="126" w:name="discussion"/>
    <w:p>
      <w:pPr>
        <w:pStyle w:val="Overskrift2"/>
      </w:pPr>
      <w:r>
        <w:t xml:space="preserve">Discussion</w:t>
      </w:r>
    </w:p>
    <w:p>
      <w:pPr>
        <w:pStyle w:val="FirstParagraph"/>
      </w:pPr>
      <w:r>
        <w:t xml:space="preserve">splicing efficiency improves with increased expression level of genes</w:t>
      </w:r>
      <w:r>
        <w:t xml:space="preserve"> </w:t>
      </w:r>
      <w:r>
        <w:t xml:space="preserve">(Saudemont et al., 2017)</w:t>
      </w:r>
      <w:r>
        <w:t xml:space="preserve"> </w:t>
      </w:r>
      <w:r>
        <w:t xml:space="preserve">and with longer genes which tend to agree that intron retention in normal circumstances are part of posttranscriptional regulation. IR reduces the expression of physiologically less relevant genes in a particular cell or tissue</w:t>
      </w:r>
      <w:r>
        <w:t xml:space="preserve"> </w:t>
      </w:r>
      <w:r>
        <w:t xml:space="preserve">Braunschweig et al. (2014)</w:t>
      </w:r>
      <w:r>
        <w:t xml:space="preserve"> </w:t>
      </w:r>
      <w:r>
        <w:t xml:space="preserve">. Poor splicing efficiency of physiologically relevant genes can be deleterious thus its prevalence in less relevant genes are considered a mechanism with which gene expression is regulated. Aging is associated with the induction of different stress response pathways in different cells, tissues and species</w:t>
      </w:r>
      <w:r>
        <w:t xml:space="preserve"> </w:t>
      </w:r>
      <w:r>
        <w:t xml:space="preserve">(Stegeman and Weake, 2017; Welle et al., 2003)</w:t>
      </w:r>
      <w:r>
        <w:t xml:space="preserve">. IR is a physiological mechanism that controls gene expression</w:t>
      </w:r>
      <w:r>
        <w:t xml:space="preserve"> </w:t>
      </w:r>
      <w:r>
        <w:t xml:space="preserve">(Wong et al., 2016 ; Schmitz et al., 2017 )</w:t>
      </w:r>
    </w:p>
    <w:p>
      <w:pPr>
        <w:pStyle w:val="Brdtekst"/>
      </w:pPr>
      <w:r>
        <w:t xml:space="preserve">Physical exercise helps maintain muscle health, general well-being. and has been linked to a reduced risk of with a reduced risk of all-cause mortality and cardiovascular diseases</w:t>
      </w:r>
      <w:r>
        <w:t xml:space="preserve"> </w:t>
      </w:r>
      <w:r>
        <w:t xml:space="preserve">Ekelund et al. (2019)</w:t>
      </w:r>
      <w:r>
        <w:t xml:space="preserve"> </w:t>
      </w:r>
      <w:r>
        <w:t xml:space="preserve">.</w:t>
      </w:r>
    </w:p>
    <w:p>
      <w:pPr>
        <w:pStyle w:val="Brdtekst"/>
      </w:pPr>
      <w:r>
        <w:t xml:space="preserve">Thus, it plays roles in gene regulation, normal physiology and disease conditions</w:t>
      </w:r>
      <w:r>
        <w:t xml:space="preserve"> </w:t>
      </w:r>
      <w:r>
        <w:t xml:space="preserve">(Ge and Porse, 2014; Inoue et al., 2021; Wong et al., 2016)</w:t>
      </w:r>
      <w:r>
        <w:t xml:space="preserve">.</w:t>
      </w:r>
    </w:p>
    <w:p>
      <w:pPr>
        <w:pStyle w:val="Brdtekst"/>
      </w:pPr>
      <w:r>
        <w:t xml:space="preserve">Splicing efficiency is cell and tissue specific</w:t>
      </w:r>
      <w:r>
        <w:t xml:space="preserve"> </w:t>
      </w:r>
      <w:r>
        <w:t xml:space="preserve">(Baralle and Romano, 2023; Nishida et al., 2015)</w:t>
      </w:r>
      <w:r>
        <w:t xml:space="preserve"> </w:t>
      </w:r>
      <w:r>
        <w:t xml:space="preserve">but tends to be similar between the introns of a gene</w:t>
      </w:r>
      <w:r>
        <w:t xml:space="preserve"> </w:t>
      </w:r>
      <w:r>
        <w:t xml:space="preserve">(Sánchez-Escabias et al., 2022)</w:t>
      </w:r>
      <w:r>
        <w:t xml:space="preserve"> </w:t>
      </w:r>
      <w:r>
        <w:t xml:space="preserve">. This suggests that a balanced study of intron retention should compare same introns in same genes and same tissues across the subjects of interest.</w:t>
      </w:r>
    </w:p>
    <w:p>
      <w:pPr>
        <w:pStyle w:val="Brdtekst"/>
      </w:pPr>
      <w:r>
        <w:t xml:space="preserve">IR is also linked to the inactivation of tumour supressor genes</w:t>
      </w:r>
      <w:r>
        <w:t xml:space="preserve"> </w:t>
      </w:r>
      <w:r>
        <w:t xml:space="preserve">(Jung et al., 2015)</w:t>
      </w:r>
    </w:p>
    <w:p>
      <w:pPr>
        <w:pStyle w:val="Brdtekst"/>
      </w:pPr>
      <w:r>
        <w:t xml:space="preserve">IR affects about 80% of human protein-coding genes</w:t>
      </w:r>
      <w:r>
        <w:t xml:space="preserve"> </w:t>
      </w:r>
      <w:r>
        <w:t xml:space="preserve">(Middleton et al., 2017 ; Braunschweig et al., 2014 )</w:t>
      </w:r>
      <w:r>
        <w:t xml:space="preserve"> </w:t>
      </w:r>
      <w:r>
        <w:t xml:space="preserve">and . High IR levels reportedly correlate with the down-regulation of mRNA transcripts in myelocytes and granulocytes</w:t>
      </w:r>
      <w:r>
        <w:t xml:space="preserve"> </w:t>
      </w:r>
      <w:r>
        <w:t xml:space="preserve">Wong et al. (2013)</w:t>
      </w:r>
      <w:r>
        <w:t xml:space="preserve"> </w:t>
      </w:r>
      <w:r>
        <w:t xml:space="preserve">. Short genes with high mRNA levels tend to be inefficiently spliced compared to long genes with high mRNA levels . That is, there is a positive correlation between gene length, expression level and splicing efficiency (SE)</w:t>
      </w:r>
      <w:r>
        <w:t xml:space="preserve"> </w:t>
      </w:r>
      <w:r>
        <w:t xml:space="preserve">Braunschweig et al. (2014)</w:t>
      </w:r>
      <w:r>
        <w:t xml:space="preserve"> </w:t>
      </w:r>
      <w:r>
        <w:t xml:space="preserve">.</w:t>
      </w:r>
    </w:p>
    <w:p>
      <w:pPr>
        <w:pStyle w:val="Brdtekst"/>
      </w:pPr>
      <w:r>
        <w:t xml:space="preserve">IR tends to increasingly occur in response to specific developmental cues and serve as a strategy for rapid mobilization of some mRNAs for protein translation</w:t>
      </w:r>
      <w:r>
        <w:t xml:space="preserve"> </w:t>
      </w:r>
      <w:r>
        <w:t xml:space="preserve">(Ong and Adusumalli, 2020)</w:t>
      </w:r>
      <w:r>
        <w:t xml:space="preserve">.</w:t>
      </w:r>
    </w:p>
    <w:p>
      <w:pPr>
        <w:pStyle w:val="Brdtekst"/>
      </w:pPr>
      <w:r>
        <w:t xml:space="preserve">This data suggests that SE is more efficient</w:t>
      </w:r>
    </w:p>
    <w:p>
      <w:pPr>
        <w:pStyle w:val="Brdtekst"/>
      </w:pPr>
      <w:r>
        <w:t xml:space="preserve">Alternative splicing (AS) ; a mechanism in mRNA processing in which protein-coding and non-protein coding parts of the RNA are alternatively skipped results to a transcriptomic and proteomic diversity that determines cellular plasticity</w:t>
      </w:r>
      <w:r>
        <w:t xml:space="preserve"> </w:t>
      </w:r>
      <w:r>
        <w:t xml:space="preserve">(Angarola and Anczuków, 2021; Holly et al., 2013; Schwerk and Schulze-Osthoff, 2005 .)</w:t>
      </w:r>
    </w:p>
    <w:p>
      <w:pPr>
        <w:pStyle w:val="Brdtekst"/>
      </w:pPr>
      <w:r>
        <w:t xml:space="preserve">Exercise counteracts the effects of aging on mitochondrial health and can offset aging-related changes to the splicing machinery</w:t>
      </w:r>
      <w:r>
        <w:t xml:space="preserve"> </w:t>
      </w:r>
      <w:r>
        <w:t xml:space="preserve">(Ubaida-Mohien et al., 2019a; Ubaida-Mohien et al., 2022)</w:t>
      </w:r>
    </w:p>
    <w:p>
      <w:pPr>
        <w:pStyle w:val="Brdtekst"/>
      </w:pPr>
      <w:r>
        <w:t xml:space="preserve">Aging is often assessed using the concept of a</w:t>
      </w:r>
      <w:r>
        <w:t xml:space="preserve"> </w:t>
      </w:r>
      <w:r>
        <w:t xml:space="preserve">“</w:t>
      </w:r>
      <w:r>
        <w:t xml:space="preserve">biological clock</w:t>
      </w:r>
      <w:r>
        <w:t xml:space="preserve">”</w:t>
      </w:r>
      <w:r>
        <w:t xml:space="preserve"> </w:t>
      </w:r>
      <w:r>
        <w:t xml:space="preserve">that is organ, system and sex specific</w:t>
      </w:r>
      <w:r>
        <w:t xml:space="preserve"> </w:t>
      </w:r>
      <w:r>
        <w:t xml:space="preserve">(Nie et al., 2022)</w:t>
      </w:r>
      <w:r>
        <w:t xml:space="preserve">.</w:t>
      </w:r>
    </w:p>
    <w:p>
      <w:pPr>
        <w:pStyle w:val="Brdtekst"/>
      </w:pPr>
      <w:r>
        <w:t xml:space="preserve">IR is a physiological mechanism that controls gene expression</w:t>
      </w:r>
      <w:r>
        <w:t xml:space="preserve"> </w:t>
      </w:r>
      <w:r>
        <w:t xml:space="preserve">(Wong et al., 2016 ; Schmitz et al., 2017 )</w:t>
      </w:r>
      <w:r>
        <w:t xml:space="preserve"> </w:t>
      </w:r>
      <w:r>
        <w:t xml:space="preserve">increase in IR is a signature of the aging process</w:t>
      </w:r>
      <w:r>
        <w:t xml:space="preserve"> </w:t>
      </w:r>
      <w:r>
        <w:t xml:space="preserve">Bhadra et al. (2020)</w:t>
      </w:r>
    </w:p>
    <w:p>
      <w:pPr>
        <w:pStyle w:val="Brdtekst"/>
      </w:pPr>
      <w:r>
        <w:t xml:space="preserve">Tissues and organs are altered differently by aging and aging-related processes</w:t>
      </w:r>
      <w:r>
        <w:t xml:space="preserve"> </w:t>
      </w:r>
      <w:r>
        <w:t xml:space="preserve">Baralle and Romano (2023)</w:t>
      </w:r>
      <w:r>
        <w:t xml:space="preserve"> </w:t>
      </w:r>
      <w:r>
        <w:t xml:space="preserve">.</w:t>
      </w:r>
    </w:p>
    <w:p>
      <w:pPr>
        <w:pStyle w:val="Brdtekst"/>
      </w:pPr>
      <w:r>
        <w:t xml:space="preserve">Saudemont et al. (2017)</w:t>
      </w:r>
      <w:r>
        <w:t xml:space="preserve"> </w:t>
      </w:r>
      <w:r>
        <w:t xml:space="preserve">suggest a correlation between physiologic relevance, gene length and splicing efficiency. The generated data agrees with that as the introns poorly spliced across all samples were associated with biological processes of less relevance to the skeletal muscle when compared to those in the perfectly spliced introns. The gene ontology of the genes contaning the poorly spliced introns, and those containing the perfectly spliced introns</w:t>
      </w:r>
    </w:p>
    <w:bookmarkStart w:id="125" w:name="shortcoming"/>
    <w:p>
      <w:pPr>
        <w:pStyle w:val="Overskrift3"/>
      </w:pPr>
      <w:r>
        <w:t xml:space="preserve">Shortcoming</w:t>
      </w:r>
    </w:p>
    <w:p>
      <w:pPr>
        <w:pStyle w:val="FirstParagraph"/>
      </w:pPr>
      <w:r>
        <w:t xml:space="preserve">This study did not group RT into conditions of volume of exercise done. The benefits of RT are known to be volume-dependent and the 4 studies involved varying RT conditions</w:t>
      </w:r>
    </w:p>
    <w:bookmarkStart w:id="124" w:name="refs"/>
    <w:bookmarkStart w:id="32" w:name="ref-adusumalli_increased_2019"/>
    <w:p>
      <w:pPr>
        <w:pStyle w:val="Bibliography"/>
      </w:pPr>
      <w:r>
        <w:rPr>
          <w:bCs/>
          <w:b/>
        </w:rPr>
        <w:t xml:space="preserve">Adusumalli, S., Ngian, Z.-K., Lin, W.-Q., Benoukraf, T. and Ong, C.-T.</w:t>
      </w:r>
      <w:r>
        <w:t xml:space="preserve"> </w:t>
      </w:r>
      <w:r>
        <w:t xml:space="preserve">(2019).</w:t>
      </w:r>
      <w:r>
        <w:t xml:space="preserve"> </w:t>
      </w:r>
      <w:hyperlink r:id="rId31">
        <w:r>
          <w:rPr>
            <w:rStyle w:val="Hyperlink"/>
          </w:rPr>
          <w:t xml:space="preserve">Increased intron retention is a post-transcriptional signature associated with progressive aging and alzheimer’s disease.</w:t>
        </w:r>
      </w:hyperlink>
      <w:r>
        <w:t xml:space="preserve"> </w:t>
      </w:r>
      <w:r>
        <w:rPr>
          <w:iCs/>
          <w:i/>
        </w:rPr>
        <w:t xml:space="preserve">Aging Cell</w:t>
      </w:r>
      <w:r>
        <w:t xml:space="preserve"> </w:t>
      </w:r>
      <w:r>
        <w:rPr>
          <w:bCs/>
          <w:b/>
        </w:rPr>
        <w:t xml:space="preserve">18</w:t>
      </w:r>
      <w:r>
        <w:t xml:space="preserve">, e12928.</w:t>
      </w:r>
    </w:p>
    <w:bookmarkEnd w:id="32"/>
    <w:bookmarkStart w:id="33" w:name="ref-angarola_splicing_2021"/>
    <w:p>
      <w:pPr>
        <w:pStyle w:val="Bibliography"/>
      </w:pPr>
      <w:r>
        <w:rPr>
          <w:bCs/>
          <w:b/>
        </w:rPr>
        <w:t xml:space="preserve">Angarola, B. L. and Anczuków, O.</w:t>
      </w:r>
      <w:r>
        <w:t xml:space="preserve"> </w:t>
      </w:r>
      <w:r>
        <w:t xml:space="preserve">(2021). Splicing alterations in healthy aging and disease.</w:t>
      </w:r>
      <w:r>
        <w:t xml:space="preserve"> </w:t>
      </w:r>
      <w:r>
        <w:rPr>
          <w:iCs/>
          <w:i/>
        </w:rPr>
        <w:t xml:space="preserve">Wiley Interdisciplinary Reviews:</w:t>
      </w:r>
      <w:r>
        <w:rPr>
          <w:iCs/>
          <w:i/>
        </w:rPr>
        <w:t xml:space="preserve"> </w:t>
      </w:r>
      <w:r>
        <w:rPr>
          <w:iCs/>
          <w:i/>
        </w:rPr>
        <w:t xml:space="preserve">RNA</w:t>
      </w:r>
      <w:r>
        <w:t xml:space="preserve"> </w:t>
      </w:r>
      <w:r>
        <w:rPr>
          <w:bCs/>
          <w:b/>
        </w:rPr>
        <w:t xml:space="preserve">12</w:t>
      </w:r>
      <w:r>
        <w:t xml:space="preserve">, e1643.</w:t>
      </w:r>
    </w:p>
    <w:bookmarkEnd w:id="33"/>
    <w:bookmarkStart w:id="35" w:name="ref-baralle_age-related_2023"/>
    <w:p>
      <w:pPr>
        <w:pStyle w:val="Bibliography"/>
      </w:pPr>
      <w:r>
        <w:rPr>
          <w:bCs/>
          <w:b/>
        </w:rPr>
        <w:t xml:space="preserve">Baralle, M. and Romano, M.</w:t>
      </w:r>
      <w:r>
        <w:t xml:space="preserve"> </w:t>
      </w:r>
      <w:r>
        <w:t xml:space="preserve">(2023).</w:t>
      </w:r>
      <w:r>
        <w:t xml:space="preserve"> </w:t>
      </w:r>
      <w:hyperlink r:id="rId34">
        <w:r>
          <w:rPr>
            <w:rStyle w:val="Hyperlink"/>
          </w:rPr>
          <w:t xml:space="preserve">Age-related alternative splicing: Driver or passenger in the aging process?</w:t>
        </w:r>
      </w:hyperlink>
      <w:r>
        <w:t xml:space="preserve"> </w:t>
      </w:r>
      <w:r>
        <w:rPr>
          <w:iCs/>
          <w:i/>
        </w:rPr>
        <w:t xml:space="preserve">Cells</w:t>
      </w:r>
      <w:r>
        <w:t xml:space="preserve"> </w:t>
      </w:r>
      <w:r>
        <w:rPr>
          <w:bCs/>
          <w:b/>
        </w:rPr>
        <w:t xml:space="preserve">12</w:t>
      </w:r>
      <w:r>
        <w:t xml:space="preserve">,.</w:t>
      </w:r>
    </w:p>
    <w:bookmarkEnd w:id="35"/>
    <w:bookmarkStart w:id="36" w:name="ref-benjamini_controlling_1995"/>
    <w:p>
      <w:pPr>
        <w:pStyle w:val="Bibliography"/>
      </w:pPr>
      <w:r>
        <w:rPr>
          <w:bCs/>
          <w:b/>
        </w:rPr>
        <w:t xml:space="preserve">Benjamini, Y. and Hochberg, Y.</w:t>
      </w:r>
      <w:r>
        <w:t xml:space="preserve"> </w:t>
      </w:r>
      <w:r>
        <w:t xml:space="preserve">(1995). Controlling the false discovery rate: A practical and powerful approach to multiple testing.</w:t>
      </w:r>
      <w:r>
        <w:t xml:space="preserve"> </w:t>
      </w:r>
      <w:r>
        <w:rPr>
          <w:iCs/>
          <w:i/>
        </w:rPr>
        <w:t xml:space="preserve">Journal of the Royal statistical society: series B (Methodological)</w:t>
      </w:r>
      <w:r>
        <w:t xml:space="preserve"> </w:t>
      </w:r>
      <w:r>
        <w:rPr>
          <w:bCs/>
          <w:b/>
        </w:rPr>
        <w:t xml:space="preserve">57</w:t>
      </w:r>
      <w:r>
        <w:t xml:space="preserve">, 289–300.</w:t>
      </w:r>
    </w:p>
    <w:bookmarkEnd w:id="36"/>
    <w:bookmarkStart w:id="37" w:name="ref-bhadra_alternative_2020"/>
    <w:p>
      <w:pPr>
        <w:pStyle w:val="Bibliography"/>
      </w:pPr>
      <w:r>
        <w:rPr>
          <w:bCs/>
          <w:b/>
        </w:rPr>
        <w:t xml:space="preserve">Bhadra, M., Howell, P., Dutta, S., Heintz, C. and Mair, W. B.</w:t>
      </w:r>
      <w:r>
        <w:t xml:space="preserve"> </w:t>
      </w:r>
      <w:r>
        <w:t xml:space="preserve">(2020). Alternative splicing in aging and longevity.</w:t>
      </w:r>
      <w:r>
        <w:t xml:space="preserve"> </w:t>
      </w:r>
      <w:r>
        <w:rPr>
          <w:iCs/>
          <w:i/>
        </w:rPr>
        <w:t xml:space="preserve">Human genetics</w:t>
      </w:r>
      <w:r>
        <w:t xml:space="preserve"> </w:t>
      </w:r>
      <w:r>
        <w:rPr>
          <w:bCs/>
          <w:b/>
        </w:rPr>
        <w:t xml:space="preserve">139</w:t>
      </w:r>
      <w:r>
        <w:t xml:space="preserve">, 357–369.</w:t>
      </w:r>
    </w:p>
    <w:bookmarkEnd w:id="37"/>
    <w:bookmarkStart w:id="39" w:name="ref-braunschweig_widespread_2014"/>
    <w:p>
      <w:pPr>
        <w:pStyle w:val="Bibliography"/>
      </w:pPr>
      <w:r>
        <w:rPr>
          <w:bCs/>
          <w:b/>
        </w:rPr>
        <w:t xml:space="preserve">Braunschweig, U., Barbosa-Morais, N. L., Pan, Q., Nachman, E. N., Alipanahi, B., Gonatopoulos-Pournatzis, T., Frey, B., Irimia, M. and Blencowe, B. J.</w:t>
      </w:r>
      <w:r>
        <w:t xml:space="preserve"> </w:t>
      </w:r>
      <w:r>
        <w:t xml:space="preserve">(2014).</w:t>
      </w:r>
      <w:r>
        <w:t xml:space="preserve"> </w:t>
      </w:r>
      <w:hyperlink r:id="rId38">
        <w:r>
          <w:rPr>
            <w:rStyle w:val="Hyperlink"/>
          </w:rPr>
          <w:t xml:space="preserve">Widespread intron retention in mammals functionally tunes transcriptomes.</w:t>
        </w:r>
      </w:hyperlink>
      <w:r>
        <w:t xml:space="preserve"> </w:t>
      </w:r>
      <w:r>
        <w:rPr>
          <w:iCs/>
          <w:i/>
        </w:rPr>
        <w:t xml:space="preserve">Genome Res</w:t>
      </w:r>
      <w:r>
        <w:t xml:space="preserve"> </w:t>
      </w:r>
      <w:r>
        <w:rPr>
          <w:bCs/>
          <w:b/>
        </w:rPr>
        <w:t xml:space="preserve">24</w:t>
      </w:r>
      <w:r>
        <w:t xml:space="preserve">, 1774–1786.</w:t>
      </w:r>
    </w:p>
    <w:bookmarkEnd w:id="39"/>
    <w:bookmarkStart w:id="40" w:name="ref-dvinge_widespread_2015"/>
    <w:p>
      <w:pPr>
        <w:pStyle w:val="Bibliography"/>
      </w:pPr>
      <w:r>
        <w:rPr>
          <w:bCs/>
          <w:b/>
        </w:rPr>
        <w:t xml:space="preserve">Dvinge, H. and Bradley, R. K.</w:t>
      </w:r>
      <w:r>
        <w:t xml:space="preserve"> </w:t>
      </w:r>
      <w:r>
        <w:t xml:space="preserve">(2015). Widespread intron retention diversifies most cancer transcriptomes.</w:t>
      </w:r>
      <w:r>
        <w:t xml:space="preserve"> </w:t>
      </w:r>
      <w:r>
        <w:rPr>
          <w:iCs/>
          <w:i/>
        </w:rPr>
        <w:t xml:space="preserve">Genome medicine</w:t>
      </w:r>
      <w:r>
        <w:t xml:space="preserve"> </w:t>
      </w:r>
      <w:r>
        <w:rPr>
          <w:bCs/>
          <w:b/>
        </w:rPr>
        <w:t xml:space="preserve">7</w:t>
      </w:r>
      <w:r>
        <w:t xml:space="preserve">, 1–13.</w:t>
      </w:r>
    </w:p>
    <w:bookmarkEnd w:id="40"/>
    <w:bookmarkStart w:id="42" w:name="ref-ekelund_dose-response_2019"/>
    <w:p>
      <w:pPr>
        <w:pStyle w:val="Bibliography"/>
      </w:pPr>
      <w:r>
        <w:rPr>
          <w:bCs/>
          <w:b/>
        </w:rPr>
        <w:t xml:space="preserve">Ekelund, U., Tarp, J., Steene-Johannessen, J., Hansen, B. H., Jefferis, B., Fagerland, M. W., Whincup, P., Diaz, K. M., Hooker, S. P., Chernofsky, A., et al.</w:t>
      </w:r>
      <w:r>
        <w:t xml:space="preserve"> </w:t>
      </w:r>
      <w:r>
        <w:t xml:space="preserve">(2019).</w:t>
      </w:r>
      <w:r>
        <w:t xml:space="preserve"> </w:t>
      </w:r>
      <w:hyperlink r:id="rId41">
        <w:r>
          <w:rPr>
            <w:rStyle w:val="Hyperlink"/>
          </w:rPr>
          <w:t xml:space="preserve">Dose-response associations between accelerometry measured physical activity and sedentary time and all cause mortality: Systematic review and harmonised meta-analysis.</w:t>
        </w:r>
      </w:hyperlink>
      <w:r>
        <w:t xml:space="preserve"> </w:t>
      </w:r>
      <w:r>
        <w:rPr>
          <w:iCs/>
          <w:i/>
        </w:rPr>
        <w:t xml:space="preserve">BMJ</w:t>
      </w:r>
      <w:r>
        <w:t xml:space="preserve"> </w:t>
      </w:r>
      <w:r>
        <w:rPr>
          <w:bCs/>
          <w:b/>
        </w:rPr>
        <w:t xml:space="preserve">366</w:t>
      </w:r>
      <w:r>
        <w:t xml:space="preserve">, l4570.</w:t>
      </w:r>
    </w:p>
    <w:bookmarkEnd w:id="42"/>
    <w:bookmarkStart w:id="44" w:name="ref-ferrucci_energysplicing_2022"/>
    <w:p>
      <w:pPr>
        <w:pStyle w:val="Bibliography"/>
      </w:pPr>
      <w:r>
        <w:rPr>
          <w:bCs/>
          <w:b/>
        </w:rPr>
        <w:t xml:space="preserve">Ferrucci, L., Wilson, D. M., Donegà, S. and Gorospe, M.</w:t>
      </w:r>
      <w:r>
        <w:t xml:space="preserve"> </w:t>
      </w:r>
      <w:r>
        <w:t xml:space="preserve">(2022).</w:t>
      </w:r>
      <w:r>
        <w:t xml:space="preserve"> </w:t>
      </w:r>
      <w:hyperlink r:id="rId43">
        <w:r>
          <w:rPr>
            <w:rStyle w:val="Hyperlink"/>
          </w:rPr>
          <w:t xml:space="preserve">The energy–splicing resilience axis hypothesis of aging</w:t>
        </w:r>
      </w:hyperlink>
      <w:r>
        <w:t xml:space="preserve">.</w:t>
      </w:r>
      <w:r>
        <w:t xml:space="preserve"> </w:t>
      </w:r>
      <w:r>
        <w:rPr>
          <w:iCs/>
          <w:i/>
        </w:rPr>
        <w:t xml:space="preserve">Nature Aging</w:t>
      </w:r>
      <w:r>
        <w:t xml:space="preserve"> </w:t>
      </w:r>
      <w:r>
        <w:rPr>
          <w:bCs/>
          <w:b/>
        </w:rPr>
        <w:t xml:space="preserve">2</w:t>
      </w:r>
      <w:r>
        <w:t xml:space="preserve">, 182–185.</w:t>
      </w:r>
    </w:p>
    <w:bookmarkEnd w:id="44"/>
    <w:bookmarkStart w:id="45" w:name="ref-garatachea_exercise_2015"/>
    <w:p>
      <w:pPr>
        <w:pStyle w:val="Bibliography"/>
      </w:pPr>
      <w:r>
        <w:rPr>
          <w:bCs/>
          <w:b/>
        </w:rPr>
        <w:t xml:space="preserve">Garatachea, N., Pareja-Galeano, H., Sanchis-Gomar, F., Santos-Lozano, A., Fiuza-Luces, C., Morán, M., Emanuele, E., Joyner, M. J. and Lucia, A.</w:t>
      </w:r>
      <w:r>
        <w:t xml:space="preserve"> </w:t>
      </w:r>
      <w:r>
        <w:t xml:space="preserve">(2015). Exercise attenuates the major hallmarks of aging.</w:t>
      </w:r>
      <w:r>
        <w:t xml:space="preserve"> </w:t>
      </w:r>
      <w:r>
        <w:rPr>
          <w:iCs/>
          <w:i/>
        </w:rPr>
        <w:t xml:space="preserve">Rejuvenation research</w:t>
      </w:r>
      <w:r>
        <w:t xml:space="preserve"> </w:t>
      </w:r>
      <w:r>
        <w:rPr>
          <w:bCs/>
          <w:b/>
        </w:rPr>
        <w:t xml:space="preserve">18</w:t>
      </w:r>
      <w:r>
        <w:t xml:space="preserve">, 57–89.</w:t>
      </w:r>
    </w:p>
    <w:bookmarkEnd w:id="45"/>
    <w:bookmarkStart w:id="47" w:name="ref-garcia-ruiz_splicing_2023"/>
    <w:p>
      <w:pPr>
        <w:pStyle w:val="Bibliography"/>
      </w:pPr>
      <w:r>
        <w:rPr>
          <w:bCs/>
          <w:b/>
        </w:rPr>
        <w:t xml:space="preserve">García-Ruiz, S., Zhang, D., Gustavsson, E. K., Rocamora-Perez, G., Grant-Peters, M., Fairbrother-Browne, A., Reynolds, R. H., Brenton, J. W., Gil-Martínez, A. L., Chen, Z., et al.</w:t>
      </w:r>
      <w:r>
        <w:t xml:space="preserve"> </w:t>
      </w:r>
      <w:r>
        <w:t xml:space="preserve">(2023).</w:t>
      </w:r>
      <w:r>
        <w:t xml:space="preserve"> </w:t>
      </w:r>
      <w:hyperlink r:id="rId46">
        <w:r>
          <w:rPr>
            <w:rStyle w:val="Hyperlink"/>
          </w:rPr>
          <w:t xml:space="preserve">Splicing accuracy varies across human introns, tissues and age.</w:t>
        </w:r>
      </w:hyperlink>
    </w:p>
    <w:bookmarkEnd w:id="47"/>
    <w:bookmarkStart w:id="48" w:name="ref-ge_functional_2014"/>
    <w:p>
      <w:pPr>
        <w:pStyle w:val="Bibliography"/>
      </w:pPr>
      <w:r>
        <w:rPr>
          <w:bCs/>
          <w:b/>
        </w:rPr>
        <w:t xml:space="preserve">Ge, Y. and Porse, B. T.</w:t>
      </w:r>
      <w:r>
        <w:t xml:space="preserve"> </w:t>
      </w:r>
      <w:r>
        <w:t xml:space="preserve">(2014). The functional consequences of intron retention: Alternative splicing coupled to</w:t>
      </w:r>
      <w:r>
        <w:t xml:space="preserve"> </w:t>
      </w:r>
      <w:r>
        <w:t xml:space="preserve">NMD</w:t>
      </w:r>
      <w:r>
        <w:t xml:space="preserve"> </w:t>
      </w:r>
      <w:r>
        <w:t xml:space="preserve">as a regulator of gene expression.</w:t>
      </w:r>
      <w:r>
        <w:t xml:space="preserve"> </w:t>
      </w:r>
      <w:r>
        <w:rPr>
          <w:iCs/>
          <w:i/>
        </w:rPr>
        <w:t xml:space="preserve">Bioessays</w:t>
      </w:r>
      <w:r>
        <w:t xml:space="preserve"> </w:t>
      </w:r>
      <w:r>
        <w:rPr>
          <w:bCs/>
          <w:b/>
        </w:rPr>
        <w:t xml:space="preserve">36</w:t>
      </w:r>
      <w:r>
        <w:t xml:space="preserve">, 236–243.</w:t>
      </w:r>
    </w:p>
    <w:bookmarkEnd w:id="48"/>
    <w:bookmarkStart w:id="50" w:name="ref-gyenis_genome-wide_2023"/>
    <w:p>
      <w:pPr>
        <w:pStyle w:val="Bibliography"/>
      </w:pPr>
      <w:r>
        <w:rPr>
          <w:bCs/>
          <w:b/>
        </w:rPr>
        <w:t xml:space="preserve">Gyenis, A., Chang, J., Demmers, J. J. P. G., Bruens, S. T., Barnhoorn, S., Brandt, R. M. C., Baar, M. P., Raseta, M., Derks, K. W. J., Hoeijmakers, J. H. J., et al.</w:t>
      </w:r>
      <w:r>
        <w:t xml:space="preserve"> </w:t>
      </w:r>
      <w:r>
        <w:t xml:space="preserve">(2023).</w:t>
      </w:r>
      <w:r>
        <w:t xml:space="preserve"> </w:t>
      </w:r>
      <w:hyperlink r:id="rId49">
        <w:r>
          <w:rPr>
            <w:rStyle w:val="Hyperlink"/>
          </w:rPr>
          <w:t xml:space="preserve">Genome-wide</w:t>
        </w:r>
        <w:r>
          <w:rPr>
            <w:rStyle w:val="Hyperlink"/>
          </w:rPr>
          <w:t xml:space="preserve"> </w:t>
        </w:r>
        <w:r>
          <w:rPr>
            <w:rStyle w:val="Hyperlink"/>
          </w:rPr>
          <w:t xml:space="preserve">RNA</w:t>
        </w:r>
        <w:r>
          <w:rPr>
            <w:rStyle w:val="Hyperlink"/>
          </w:rPr>
          <w:t xml:space="preserve"> </w:t>
        </w:r>
        <w:r>
          <w:rPr>
            <w:rStyle w:val="Hyperlink"/>
          </w:rPr>
          <w:t xml:space="preserve">polymerase stalling shapes the transcriptome during aging</w:t>
        </w:r>
      </w:hyperlink>
      <w:r>
        <w:t xml:space="preserve">.</w:t>
      </w:r>
      <w:r>
        <w:t xml:space="preserve"> </w:t>
      </w:r>
      <w:r>
        <w:rPr>
          <w:iCs/>
          <w:i/>
        </w:rPr>
        <w:t xml:space="preserve">Nature Genetics</w:t>
      </w:r>
      <w:r>
        <w:t xml:space="preserve">.</w:t>
      </w:r>
    </w:p>
    <w:bookmarkEnd w:id="50"/>
    <w:bookmarkStart w:id="51" w:name="ref-hasler_alterations_2011"/>
    <w:p>
      <w:pPr>
        <w:pStyle w:val="Bibliography"/>
      </w:pPr>
      <w:r>
        <w:rPr>
          <w:bCs/>
          <w:b/>
        </w:rPr>
        <w:t xml:space="preserve">Häsler, R., Kerick, M., Mah, N., Hultschig, C., Richter, G., Bretz, F., Sina, C., Lehrach, H., Nietfeld, W. and Schreiber, S.</w:t>
      </w:r>
      <w:r>
        <w:t xml:space="preserve"> </w:t>
      </w:r>
      <w:r>
        <w:t xml:space="preserve">(2011). Alterations of pre-</w:t>
      </w:r>
      <w:r>
        <w:t xml:space="preserve">mRNA</w:t>
      </w:r>
      <w:r>
        <w:t xml:space="preserve"> </w:t>
      </w:r>
      <w:r>
        <w:t xml:space="preserve">splicing in human inflammatory bowel disease.</w:t>
      </w:r>
      <w:r>
        <w:t xml:space="preserve"> </w:t>
      </w:r>
      <w:r>
        <w:rPr>
          <w:iCs/>
          <w:i/>
        </w:rPr>
        <w:t xml:space="preserve">European journal of cell biology</w:t>
      </w:r>
      <w:r>
        <w:t xml:space="preserve"> </w:t>
      </w:r>
      <w:r>
        <w:rPr>
          <w:bCs/>
          <w:b/>
        </w:rPr>
        <w:t xml:space="preserve">90</w:t>
      </w:r>
      <w:r>
        <w:t xml:space="preserve">, 603–611.</w:t>
      </w:r>
    </w:p>
    <w:bookmarkEnd w:id="51"/>
    <w:bookmarkStart w:id="52" w:name="ref-holly_changes_2013"/>
    <w:p>
      <w:pPr>
        <w:pStyle w:val="Bibliography"/>
      </w:pPr>
      <w:r>
        <w:rPr>
          <w:bCs/>
          <w:b/>
        </w:rPr>
        <w:t xml:space="preserve">Holly, A. C., Melzer, D., Pilling, L. C., Fellows, A. C., Tanaka, T., Ferrucci, L. and Harries, L. W.</w:t>
      </w:r>
      <w:r>
        <w:t xml:space="preserve"> </w:t>
      </w:r>
      <w:r>
        <w:t xml:space="preserve">(2013). Changes in splicing factor expression are associated with advancing age in man.</w:t>
      </w:r>
      <w:r>
        <w:t xml:space="preserve"> </w:t>
      </w:r>
      <w:r>
        <w:rPr>
          <w:iCs/>
          <w:i/>
        </w:rPr>
        <w:t xml:space="preserve">Mechanisms of ageing and development</w:t>
      </w:r>
      <w:r>
        <w:t xml:space="preserve"> </w:t>
      </w:r>
      <w:r>
        <w:rPr>
          <w:bCs/>
          <w:b/>
        </w:rPr>
        <w:t xml:space="preserve">134</w:t>
      </w:r>
      <w:r>
        <w:t xml:space="preserve">, 356–366.</w:t>
      </w:r>
    </w:p>
    <w:bookmarkEnd w:id="52"/>
    <w:bookmarkStart w:id="54" w:name="ref-inoue_minor_2021"/>
    <w:p>
      <w:pPr>
        <w:pStyle w:val="Bibliography"/>
      </w:pPr>
      <w:r>
        <w:rPr>
          <w:bCs/>
          <w:b/>
        </w:rPr>
        <w:t xml:space="preserve">Inoue, D., Polaski, J. T., Taylor, J., Castel, P., Chen, S., Kobayashi, S., Hogg, S. J., Hayashi, Y., Pineda, J. M. B., El Marabti, E., et al.</w:t>
      </w:r>
      <w:r>
        <w:t xml:space="preserve"> </w:t>
      </w:r>
      <w:r>
        <w:t xml:space="preserve">(2021).</w:t>
      </w:r>
      <w:r>
        <w:t xml:space="preserve"> </w:t>
      </w:r>
      <w:hyperlink r:id="rId53">
        <w:r>
          <w:rPr>
            <w:rStyle w:val="Hyperlink"/>
          </w:rPr>
          <w:t xml:space="preserve">Minor intron retention drives clonal hematopoietic disorders and diverse cancer predisposition</w:t>
        </w:r>
      </w:hyperlink>
      <w:r>
        <w:t xml:space="preserve">.</w:t>
      </w:r>
      <w:r>
        <w:t xml:space="preserve"> </w:t>
      </w:r>
      <w:r>
        <w:rPr>
          <w:iCs/>
          <w:i/>
        </w:rPr>
        <w:t xml:space="preserve">Nature Genetics</w:t>
      </w:r>
      <w:r>
        <w:t xml:space="preserve"> </w:t>
      </w:r>
      <w:r>
        <w:rPr>
          <w:bCs/>
          <w:b/>
        </w:rPr>
        <w:t xml:space="preserve">53</w:t>
      </w:r>
      <w:r>
        <w:t xml:space="preserve">, 707–718.</w:t>
      </w:r>
    </w:p>
    <w:bookmarkEnd w:id="54"/>
    <w:bookmarkStart w:id="56" w:name="ref-jacob_intron_2017"/>
    <w:p>
      <w:pPr>
        <w:pStyle w:val="Bibliography"/>
      </w:pPr>
      <w:r>
        <w:rPr>
          <w:bCs/>
          <w:b/>
        </w:rPr>
        <w:t xml:space="preserve">Jacob, A. G. and Smith, C. W. J.</w:t>
      </w:r>
      <w:r>
        <w:t xml:space="preserve"> </w:t>
      </w:r>
      <w:r>
        <w:t xml:space="preserve">(2017).</w:t>
      </w:r>
      <w:r>
        <w:t xml:space="preserve"> </w:t>
      </w:r>
      <w:hyperlink r:id="rId55">
        <w:r>
          <w:rPr>
            <w:rStyle w:val="Hyperlink"/>
          </w:rPr>
          <w:t xml:space="preserve">Intron retention as a component of regulated gene expression programs</w:t>
        </w:r>
      </w:hyperlink>
      <w:r>
        <w:t xml:space="preserve">.</w:t>
      </w:r>
      <w:r>
        <w:t xml:space="preserve"> </w:t>
      </w:r>
      <w:r>
        <w:rPr>
          <w:iCs/>
          <w:i/>
        </w:rPr>
        <w:t xml:space="preserve">Human Genetics</w:t>
      </w:r>
      <w:r>
        <w:t xml:space="preserve"> </w:t>
      </w:r>
      <w:r>
        <w:rPr>
          <w:bCs/>
          <w:b/>
        </w:rPr>
        <w:t xml:space="preserve">136</w:t>
      </w:r>
      <w:r>
        <w:t xml:space="preserve">, 1043–1057.</w:t>
      </w:r>
    </w:p>
    <w:bookmarkEnd w:id="56"/>
    <w:bookmarkStart w:id="58" w:name="ref-jung_intron_2015"/>
    <w:p>
      <w:pPr>
        <w:pStyle w:val="Bibliography"/>
      </w:pPr>
      <w:r>
        <w:rPr>
          <w:bCs/>
          <w:b/>
        </w:rPr>
        <w:t xml:space="preserve">Jung, H., Lee, D., Lee, J., Park, D., Kim, Y. J., Park, W.-Y., Hong, D., Park, P. J. and Lee, E.</w:t>
      </w:r>
      <w:r>
        <w:t xml:space="preserve"> </w:t>
      </w:r>
      <w:r>
        <w:t xml:space="preserve">(2015).</w:t>
      </w:r>
      <w:r>
        <w:t xml:space="preserve"> </w:t>
      </w:r>
      <w:hyperlink r:id="rId57">
        <w:r>
          <w:rPr>
            <w:rStyle w:val="Hyperlink"/>
          </w:rPr>
          <w:t xml:space="preserve">Intron retention is a widespread mechanism of tumor-suppressor inactivation</w:t>
        </w:r>
      </w:hyperlink>
      <w:r>
        <w:t xml:space="preserve">.</w:t>
      </w:r>
      <w:r>
        <w:t xml:space="preserve"> </w:t>
      </w:r>
      <w:r>
        <w:rPr>
          <w:iCs/>
          <w:i/>
        </w:rPr>
        <w:t xml:space="preserve">Nature Genetics</w:t>
      </w:r>
      <w:r>
        <w:t xml:space="preserve"> </w:t>
      </w:r>
      <w:r>
        <w:rPr>
          <w:bCs/>
          <w:b/>
        </w:rPr>
        <w:t xml:space="preserve">47</w:t>
      </w:r>
      <w:r>
        <w:t xml:space="preserve">, 1242–1248.</w:t>
      </w:r>
    </w:p>
    <w:bookmarkEnd w:id="58"/>
    <w:bookmarkStart w:id="59" w:name="ref-keshavarz_targeting_2023"/>
    <w:p>
      <w:pPr>
        <w:pStyle w:val="Bibliography"/>
      </w:pPr>
      <w:r>
        <w:rPr>
          <w:bCs/>
          <w:b/>
        </w:rPr>
        <w:t xml:space="preserve">Keshavarz, M., Xie, K., Schaaf, K., Bano, D. and Ehninger, D.</w:t>
      </w:r>
      <w:r>
        <w:t xml:space="preserve"> </w:t>
      </w:r>
      <w:r>
        <w:t xml:space="preserve">(2023). Targeting the</w:t>
      </w:r>
      <w:r>
        <w:t xml:space="preserve"> </w:t>
      </w:r>
      <w:r>
        <w:t xml:space="preserve">“hallmarks of aging”</w:t>
      </w:r>
      <w:r>
        <w:t xml:space="preserve"> </w:t>
      </w:r>
      <w:r>
        <w:t xml:space="preserve">to slow aging and treat age-related disease: Fact or fiction?</w:t>
      </w:r>
      <w:r>
        <w:t xml:space="preserve"> </w:t>
      </w:r>
      <w:r>
        <w:rPr>
          <w:iCs/>
          <w:i/>
        </w:rPr>
        <w:t xml:space="preserve">Molecular Psychiatry</w:t>
      </w:r>
      <w:r>
        <w:t xml:space="preserve"> </w:t>
      </w:r>
      <w:r>
        <w:rPr>
          <w:bCs/>
          <w:b/>
        </w:rPr>
        <w:t xml:space="preserve">28</w:t>
      </w:r>
      <w:r>
        <w:t xml:space="preserve">, 242–255.</w:t>
      </w:r>
    </w:p>
    <w:bookmarkEnd w:id="59"/>
    <w:bookmarkStart w:id="61" w:name="ref-khan_increased_2020"/>
    <w:p>
      <w:pPr>
        <w:pStyle w:val="Bibliography"/>
      </w:pPr>
      <w:r>
        <w:rPr>
          <w:bCs/>
          <w:b/>
        </w:rPr>
        <w:t xml:space="preserve">Khan, Y., Hammarström, D., Rønnestad, B. R., Ellefsen, S. and Ahmad, R.</w:t>
      </w:r>
      <w:r>
        <w:t xml:space="preserve"> </w:t>
      </w:r>
      <w:r>
        <w:t xml:space="preserve">(2020).</w:t>
      </w:r>
      <w:r>
        <w:t xml:space="preserve"> </w:t>
      </w:r>
      <w:hyperlink r:id="rId60">
        <w:r>
          <w:rPr>
            <w:rStyle w:val="Hyperlink"/>
          </w:rPr>
          <w:t xml:space="preserve">Increased biological relevance of transcriptome analyses in human skeletal muscle using a model-specific pipeline</w:t>
        </w:r>
      </w:hyperlink>
      <w:r>
        <w:t xml:space="preserve">.</w:t>
      </w:r>
      <w:r>
        <w:t xml:space="preserve"> </w:t>
      </w:r>
      <w:r>
        <w:rPr>
          <w:iCs/>
          <w:i/>
        </w:rPr>
        <w:t xml:space="preserve">BMC</w:t>
      </w:r>
      <w:r>
        <w:rPr>
          <w:iCs/>
          <w:i/>
        </w:rPr>
        <w:t xml:space="preserve"> </w:t>
      </w:r>
      <w:r>
        <w:rPr>
          <w:iCs/>
          <w:i/>
        </w:rPr>
        <w:t xml:space="preserve">Bioinformatics</w:t>
      </w:r>
      <w:r>
        <w:t xml:space="preserve"> </w:t>
      </w:r>
      <w:r>
        <w:rPr>
          <w:bCs/>
          <w:b/>
        </w:rPr>
        <w:t xml:space="preserve">21</w:t>
      </w:r>
      <w:r>
        <w:t xml:space="preserve">, 548.</w:t>
      </w:r>
    </w:p>
    <w:bookmarkEnd w:id="61"/>
    <w:bookmarkStart w:id="63" w:name="ref-kodama_systematic_2024"/>
    <w:p>
      <w:pPr>
        <w:pStyle w:val="Bibliography"/>
      </w:pPr>
      <w:r>
        <w:rPr>
          <w:bCs/>
          <w:b/>
        </w:rPr>
        <w:t xml:space="preserve">Kodama, H., Ijima, H. and Matsui, Y.</w:t>
      </w:r>
      <w:r>
        <w:t xml:space="preserve"> </w:t>
      </w:r>
      <w:r>
        <w:t xml:space="preserve">(2024).</w:t>
      </w:r>
      <w:r>
        <w:t xml:space="preserve"> </w:t>
      </w:r>
      <w:hyperlink r:id="rId62">
        <w:r>
          <w:rPr>
            <w:rStyle w:val="Hyperlink"/>
          </w:rPr>
          <w:t xml:space="preserve">Systematic identification of exercise-induced anti-aging processes involving intron retention</w:t>
        </w:r>
      </w:hyperlink>
      <w:r>
        <w:t xml:space="preserve">.</w:t>
      </w:r>
      <w:r>
        <w:t xml:space="preserve"> </w:t>
      </w:r>
      <w:r>
        <w:rPr>
          <w:iCs/>
          <w:i/>
        </w:rPr>
        <w:t xml:space="preserve">bioRxiv</w:t>
      </w:r>
      <w:r>
        <w:t xml:space="preserve"> </w:t>
      </w:r>
      <w:r>
        <w:t xml:space="preserve">2024.04.25.591048.</w:t>
      </w:r>
    </w:p>
    <w:bookmarkEnd w:id="63"/>
    <w:bookmarkStart w:id="65" w:name="ref-kryger_resistance_2007"/>
    <w:p>
      <w:pPr>
        <w:pStyle w:val="Bibliography"/>
      </w:pPr>
      <w:r>
        <w:rPr>
          <w:bCs/>
          <w:b/>
        </w:rPr>
        <w:t xml:space="preserve">Kryger, A. I. and Andersen, J. L.</w:t>
      </w:r>
      <w:r>
        <w:t xml:space="preserve"> </w:t>
      </w:r>
      <w:r>
        <w:t xml:space="preserve">(2007).</w:t>
      </w:r>
      <w:r>
        <w:t xml:space="preserve"> </w:t>
      </w:r>
      <w:hyperlink r:id="rId64">
        <w:r>
          <w:rPr>
            <w:rStyle w:val="Hyperlink"/>
          </w:rPr>
          <w:t xml:space="preserve">Resistance training in the oldest old: Consequences for muscle strength, fiber types, fiber size, and</w:t>
        </w:r>
        <w:r>
          <w:rPr>
            <w:rStyle w:val="Hyperlink"/>
          </w:rPr>
          <w:t xml:space="preserve"> </w:t>
        </w:r>
        <w:r>
          <w:rPr>
            <w:rStyle w:val="Hyperlink"/>
          </w:rPr>
          <w:t xml:space="preserve">MHC</w:t>
        </w:r>
        <w:r>
          <w:rPr>
            <w:rStyle w:val="Hyperlink"/>
          </w:rPr>
          <w:t xml:space="preserve"> </w:t>
        </w:r>
        <w:r>
          <w:rPr>
            <w:rStyle w:val="Hyperlink"/>
          </w:rPr>
          <w:t xml:space="preserve">isoforms.</w:t>
        </w:r>
      </w:hyperlink>
      <w:r>
        <w:t xml:space="preserve"> </w:t>
      </w:r>
      <w:r>
        <w:rPr>
          <w:iCs/>
          <w:i/>
        </w:rPr>
        <w:t xml:space="preserve">Scand J Med Sci Sports</w:t>
      </w:r>
      <w:r>
        <w:t xml:space="preserve"> </w:t>
      </w:r>
      <w:r>
        <w:rPr>
          <w:bCs/>
          <w:b/>
        </w:rPr>
        <w:t xml:space="preserve">17</w:t>
      </w:r>
      <w:r>
        <w:t xml:space="preserve">, 422–430.</w:t>
      </w:r>
    </w:p>
    <w:bookmarkEnd w:id="65"/>
    <w:bookmarkStart w:id="67" w:name="ref-latorre_splicing_2017"/>
    <w:p>
      <w:pPr>
        <w:pStyle w:val="Bibliography"/>
      </w:pPr>
      <w:r>
        <w:rPr>
          <w:bCs/>
          <w:b/>
        </w:rPr>
        <w:t xml:space="preserve">Latorre, E. and Harries, Lorna. W.</w:t>
      </w:r>
      <w:r>
        <w:t xml:space="preserve"> </w:t>
      </w:r>
      <w:r>
        <w:t xml:space="preserve">(2017).</w:t>
      </w:r>
      <w:r>
        <w:t xml:space="preserve"> </w:t>
      </w:r>
      <w:hyperlink r:id="rId66">
        <w:r>
          <w:rPr>
            <w:rStyle w:val="Hyperlink"/>
          </w:rPr>
          <w:t xml:space="preserve">Splicing regulatory factors, ageing and age-related disease</w:t>
        </w:r>
      </w:hyperlink>
      <w:r>
        <w:t xml:space="preserve">.</w:t>
      </w:r>
      <w:r>
        <w:t xml:space="preserve"> </w:t>
      </w:r>
      <w:r>
        <w:rPr>
          <w:iCs/>
          <w:i/>
        </w:rPr>
        <w:t xml:space="preserve">Ageing Research Reviews</w:t>
      </w:r>
      <w:r>
        <w:t xml:space="preserve"> </w:t>
      </w:r>
      <w:r>
        <w:rPr>
          <w:bCs/>
          <w:b/>
        </w:rPr>
        <w:t xml:space="preserve">36</w:t>
      </w:r>
      <w:r>
        <w:t xml:space="preserve">, 165–170.</w:t>
      </w:r>
    </w:p>
    <w:bookmarkEnd w:id="67"/>
    <w:bookmarkStart w:id="69" w:name="ref-li_rsem_2011"/>
    <w:p>
      <w:pPr>
        <w:pStyle w:val="Bibliography"/>
      </w:pPr>
      <w:r>
        <w:rPr>
          <w:bCs/>
          <w:b/>
        </w:rPr>
        <w:t xml:space="preserve">Li, B. and Dewey, C. N.</w:t>
      </w:r>
      <w:r>
        <w:t xml:space="preserve"> </w:t>
      </w:r>
      <w:r>
        <w:t xml:space="preserve">(2011).</w:t>
      </w:r>
      <w:r>
        <w:t xml:space="preserve"> </w:t>
      </w:r>
      <w:hyperlink r:id="rId68">
        <w:r>
          <w:rPr>
            <w:rStyle w:val="Hyperlink"/>
          </w:rPr>
          <w:t xml:space="preserve">RSEM</w:t>
        </w:r>
        <w:r>
          <w:rPr>
            <w:rStyle w:val="Hyperlink"/>
          </w:rPr>
          <w:t xml:space="preserve">: Accurate transcript quantification from</w:t>
        </w:r>
        <w:r>
          <w:rPr>
            <w:rStyle w:val="Hyperlink"/>
          </w:rPr>
          <w:t xml:space="preserve"> </w:t>
        </w:r>
        <w:r>
          <w:rPr>
            <w:rStyle w:val="Hyperlink"/>
          </w:rPr>
          <w:t xml:space="preserve">RNA</w:t>
        </w:r>
        <w:r>
          <w:rPr>
            <w:rStyle w:val="Hyperlink"/>
          </w:rPr>
          <w:t xml:space="preserve">-seq data with or without a reference genome</w:t>
        </w:r>
      </w:hyperlink>
      <w:r>
        <w:t xml:space="preserve">.</w:t>
      </w:r>
      <w:r>
        <w:t xml:space="preserve"> </w:t>
      </w:r>
      <w:r>
        <w:rPr>
          <w:iCs/>
          <w:i/>
        </w:rPr>
        <w:t xml:space="preserve">BMC</w:t>
      </w:r>
      <w:r>
        <w:rPr>
          <w:iCs/>
          <w:i/>
        </w:rPr>
        <w:t xml:space="preserve"> </w:t>
      </w:r>
      <w:r>
        <w:rPr>
          <w:iCs/>
          <w:i/>
        </w:rPr>
        <w:t xml:space="preserve">Bioinformatics</w:t>
      </w:r>
      <w:r>
        <w:t xml:space="preserve"> </w:t>
      </w:r>
      <w:r>
        <w:rPr>
          <w:bCs/>
          <w:b/>
        </w:rPr>
        <w:t xml:space="preserve">12</w:t>
      </w:r>
      <w:r>
        <w:t xml:space="preserve">, 323.</w:t>
      </w:r>
    </w:p>
    <w:bookmarkEnd w:id="69"/>
    <w:bookmarkStart w:id="71" w:name="ref-liu_progressive_2009"/>
    <w:p>
      <w:pPr>
        <w:pStyle w:val="Bibliography"/>
      </w:pPr>
      <w:r>
        <w:rPr>
          <w:bCs/>
          <w:b/>
        </w:rPr>
        <w:t xml:space="preserve">Liu, C.-J. and Latham, N. K.</w:t>
      </w:r>
      <w:r>
        <w:t xml:space="preserve"> </w:t>
      </w:r>
      <w:r>
        <w:t xml:space="preserve">(2009).</w:t>
      </w:r>
      <w:r>
        <w:t xml:space="preserve"> </w:t>
      </w:r>
      <w:hyperlink r:id="rId70">
        <w:r>
          <w:rPr>
            <w:rStyle w:val="Hyperlink"/>
          </w:rPr>
          <w:t xml:space="preserve">Progressive resistance strength training for improving physical function in older adults.</w:t>
        </w:r>
      </w:hyperlink>
      <w:r>
        <w:t xml:space="preserve"> </w:t>
      </w:r>
      <w:r>
        <w:rPr>
          <w:iCs/>
          <w:i/>
        </w:rPr>
        <w:t xml:space="preserve">Cochrane Database Syst Rev</w:t>
      </w:r>
      <w:r>
        <w:t xml:space="preserve"> </w:t>
      </w:r>
      <w:r>
        <w:rPr>
          <w:bCs/>
          <w:b/>
        </w:rPr>
        <w:t xml:space="preserve">2009</w:t>
      </w:r>
      <w:r>
        <w:t xml:space="preserve">, CD002759.</w:t>
      </w:r>
    </w:p>
    <w:bookmarkEnd w:id="71"/>
    <w:bookmarkStart w:id="72" w:name="ref-lopez-otin_hallmarks_2013"/>
    <w:p>
      <w:pPr>
        <w:pStyle w:val="Bibliography"/>
      </w:pPr>
      <w:r>
        <w:rPr>
          <w:bCs/>
          <w:b/>
        </w:rPr>
        <w:t xml:space="preserve">López-Otín, C., Blasco, M. A., Partridge, L., Serrano, M. and Kroemer, G.</w:t>
      </w:r>
      <w:r>
        <w:t xml:space="preserve"> </w:t>
      </w:r>
      <w:r>
        <w:t xml:space="preserve">(2013). The hallmarks of aging.</w:t>
      </w:r>
      <w:r>
        <w:t xml:space="preserve"> </w:t>
      </w:r>
      <w:r>
        <w:rPr>
          <w:iCs/>
          <w:i/>
        </w:rPr>
        <w:t xml:space="preserve">Cell</w:t>
      </w:r>
      <w:r>
        <w:t xml:space="preserve"> </w:t>
      </w:r>
      <w:r>
        <w:rPr>
          <w:bCs/>
          <w:b/>
        </w:rPr>
        <w:t xml:space="preserve">153</w:t>
      </w:r>
      <w:r>
        <w:t xml:space="preserve">, 1194–1217.</w:t>
      </w:r>
    </w:p>
    <w:bookmarkEnd w:id="72"/>
    <w:bookmarkStart w:id="73" w:name="ref-lu_effects_2021"/>
    <w:p>
      <w:pPr>
        <w:pStyle w:val="Bibliography"/>
      </w:pPr>
      <w:r>
        <w:rPr>
          <w:bCs/>
          <w:b/>
        </w:rPr>
        <w:t xml:space="preserve">Lu, L., Mao, L., Feng, Y., Ainsworth, B. E., Liu, Y. and Chen, N.</w:t>
      </w:r>
      <w:r>
        <w:t xml:space="preserve"> </w:t>
      </w:r>
      <w:r>
        <w:t xml:space="preserve">(2021). Effects of different exercise training modes on muscle strength and physical performance in older people with sarcopenia: A systematic review and meta-analysis.</w:t>
      </w:r>
      <w:r>
        <w:t xml:space="preserve"> </w:t>
      </w:r>
      <w:r>
        <w:rPr>
          <w:iCs/>
          <w:i/>
        </w:rPr>
        <w:t xml:space="preserve">BMC</w:t>
      </w:r>
      <w:r>
        <w:rPr>
          <w:iCs/>
          <w:i/>
        </w:rPr>
        <w:t xml:space="preserve"> </w:t>
      </w:r>
      <w:r>
        <w:rPr>
          <w:iCs/>
          <w:i/>
        </w:rPr>
        <w:t xml:space="preserve">geriatrics</w:t>
      </w:r>
      <w:r>
        <w:t xml:space="preserve"> </w:t>
      </w:r>
      <w:r>
        <w:rPr>
          <w:bCs/>
          <w:b/>
        </w:rPr>
        <w:t xml:space="preserve">21</w:t>
      </w:r>
      <w:r>
        <w:t xml:space="preserve">, 708.</w:t>
      </w:r>
    </w:p>
    <w:bookmarkEnd w:id="73"/>
    <w:bookmarkStart w:id="74" w:name="ref-manual_orghsegdb_nodate"/>
    <w:p>
      <w:pPr>
        <w:pStyle w:val="Bibliography"/>
      </w:pPr>
      <w:r>
        <w:rPr>
          <w:bCs/>
          <w:b/>
        </w:rPr>
        <w:t xml:space="preserve">Manual, C.</w:t>
      </w:r>
      <w:r>
        <w:t xml:space="preserve"> </w:t>
      </w:r>
      <w:r>
        <w:t xml:space="preserve">Org.hs.eg.db: Genome wide annotation for human.</w:t>
      </w:r>
    </w:p>
    <w:bookmarkEnd w:id="74"/>
    <w:bookmarkStart w:id="76" w:name="ref-mariotti_deterioration_2022"/>
    <w:p>
      <w:pPr>
        <w:pStyle w:val="Bibliography"/>
      </w:pPr>
      <w:r>
        <w:rPr>
          <w:bCs/>
          <w:b/>
        </w:rPr>
        <w:t xml:space="preserve">Mariotti, M., Kerepesi, C., Oliveros, W., Mele, M. and Gladyshev, V. N.</w:t>
      </w:r>
      <w:r>
        <w:t xml:space="preserve"> </w:t>
      </w:r>
      <w:r>
        <w:t xml:space="preserve">(2022).</w:t>
      </w:r>
      <w:r>
        <w:t xml:space="preserve"> </w:t>
      </w:r>
      <w:hyperlink r:id="rId75">
        <w:r>
          <w:rPr>
            <w:rStyle w:val="Hyperlink"/>
          </w:rPr>
          <w:t xml:space="preserve">Deterioration of the human transcriptome with age due to increasing intron retention and spurious splicing</w:t>
        </w:r>
      </w:hyperlink>
      <w:r>
        <w:t xml:space="preserve">.</w:t>
      </w:r>
      <w:r>
        <w:t xml:space="preserve"> </w:t>
      </w:r>
      <w:r>
        <w:rPr>
          <w:iCs/>
          <w:i/>
        </w:rPr>
        <w:t xml:space="preserve">bioRxiv</w:t>
      </w:r>
      <w:r>
        <w:t xml:space="preserve"> </w:t>
      </w:r>
      <w:r>
        <w:t xml:space="preserve">2022.03.14.484341.</w:t>
      </w:r>
    </w:p>
    <w:bookmarkEnd w:id="76"/>
    <w:bookmarkStart w:id="77" w:name="ref-mauger_targeted_2016"/>
    <w:p>
      <w:pPr>
        <w:pStyle w:val="Bibliography"/>
      </w:pPr>
      <w:r>
        <w:rPr>
          <w:bCs/>
          <w:b/>
        </w:rPr>
        <w:t xml:space="preserve">Mauger, O., Lemoine, F. and Scheiffele, P.</w:t>
      </w:r>
      <w:r>
        <w:t xml:space="preserve"> </w:t>
      </w:r>
      <w:r>
        <w:t xml:space="preserve">(2016). Targeted intron retention and excision for rapid gene regulation in response to neuronal activity.</w:t>
      </w:r>
      <w:r>
        <w:t xml:space="preserve"> </w:t>
      </w:r>
      <w:r>
        <w:rPr>
          <w:iCs/>
          <w:i/>
        </w:rPr>
        <w:t xml:space="preserve">Neuron</w:t>
      </w:r>
      <w:r>
        <w:t xml:space="preserve"> </w:t>
      </w:r>
      <w:r>
        <w:rPr>
          <w:bCs/>
          <w:b/>
        </w:rPr>
        <w:t xml:space="preserve">92</w:t>
      </w:r>
      <w:r>
        <w:t xml:space="preserve">, 1266–1278.</w:t>
      </w:r>
    </w:p>
    <w:bookmarkEnd w:id="77"/>
    <w:bookmarkStart w:id="78" w:name="ref-de_melo_costa_splice-q_2021"/>
    <w:p>
      <w:pPr>
        <w:pStyle w:val="Bibliography"/>
      </w:pPr>
      <w:r>
        <w:rPr>
          <w:bCs/>
          <w:b/>
        </w:rPr>
        <w:t xml:space="preserve">Melo Costa, V. R. de, Pfeuffer, J., Louloupi, A., Ørom, U. A. and Piro, R. M.</w:t>
      </w:r>
      <w:r>
        <w:t xml:space="preserve"> </w:t>
      </w:r>
      <w:r>
        <w:t xml:space="preserve">(2021).</w:t>
      </w:r>
      <w:r>
        <w:t xml:space="preserve"> </w:t>
      </w:r>
      <w:r>
        <w:t xml:space="preserve">SPLICE</w:t>
      </w:r>
      <w:r>
        <w:t xml:space="preserve">-q: A python tool for genome-wide quantification of splicing efficiency.</w:t>
      </w:r>
      <w:r>
        <w:t xml:space="preserve"> </w:t>
      </w:r>
      <w:r>
        <w:rPr>
          <w:iCs/>
          <w:i/>
        </w:rPr>
        <w:t xml:space="preserve">BMC</w:t>
      </w:r>
      <w:r>
        <w:rPr>
          <w:iCs/>
          <w:i/>
        </w:rPr>
        <w:t xml:space="preserve"> </w:t>
      </w:r>
      <w:r>
        <w:rPr>
          <w:iCs/>
          <w:i/>
        </w:rPr>
        <w:t xml:space="preserve">bioinformatics</w:t>
      </w:r>
      <w:r>
        <w:t xml:space="preserve"> </w:t>
      </w:r>
      <w:r>
        <w:rPr>
          <w:bCs/>
          <w:b/>
        </w:rPr>
        <w:t xml:space="preserve">22</w:t>
      </w:r>
      <w:r>
        <w:t xml:space="preserve">, 1–14.</w:t>
      </w:r>
    </w:p>
    <w:bookmarkEnd w:id="78"/>
    <w:bookmarkStart w:id="80" w:name="ref-middleton_irfinder_2017"/>
    <w:p>
      <w:pPr>
        <w:pStyle w:val="Bibliography"/>
      </w:pPr>
      <w:r>
        <w:rPr>
          <w:bCs/>
          <w:b/>
        </w:rPr>
        <w:t xml:space="preserve">Middleton, R., Gao, D., Thomas, A., Singh, B., Au, A., Wong, J. J.-L., Bomane, A., Cosson, B., Eyras, E., Rasko, J. E. J., et al.</w:t>
      </w:r>
      <w:r>
        <w:t xml:space="preserve"> </w:t>
      </w:r>
      <w:r>
        <w:t xml:space="preserve">(2017).</w:t>
      </w:r>
      <w:r>
        <w:t xml:space="preserve"> </w:t>
      </w:r>
      <w:hyperlink r:id="rId79">
        <w:r>
          <w:rPr>
            <w:rStyle w:val="Hyperlink"/>
          </w:rPr>
          <w:t xml:space="preserve">IRFinder</w:t>
        </w:r>
        <w:r>
          <w:rPr>
            <w:rStyle w:val="Hyperlink"/>
          </w:rPr>
          <w:t xml:space="preserve">: Assessing the impact of intron retention on mammalian gene expression.</w:t>
        </w:r>
      </w:hyperlink>
      <w:r>
        <w:t xml:space="preserve"> </w:t>
      </w:r>
      <w:r>
        <w:rPr>
          <w:iCs/>
          <w:i/>
        </w:rPr>
        <w:t xml:space="preserve">Genome Biol</w:t>
      </w:r>
      <w:r>
        <w:t xml:space="preserve"> </w:t>
      </w:r>
      <w:r>
        <w:rPr>
          <w:bCs/>
          <w:b/>
        </w:rPr>
        <w:t xml:space="preserve">18</w:t>
      </w:r>
      <w:r>
        <w:t xml:space="preserve">, 51.</w:t>
      </w:r>
    </w:p>
    <w:bookmarkEnd w:id="80"/>
    <w:bookmarkStart w:id="82" w:name="ref-molmen_chronic_2021"/>
    <w:p>
      <w:pPr>
        <w:pStyle w:val="Bibliography"/>
      </w:pPr>
      <w:r>
        <w:rPr>
          <w:bCs/>
          <w:b/>
        </w:rPr>
        <w:t xml:space="preserve">Mølmen, K. S., Hammarström, D., Falch, G. S., Grundtvig, M., Koll, L., Hanestadhaugen, M., Khan, Y., Ahmad, R., Malerbakken, B., Rødølen, T. J., et al.</w:t>
      </w:r>
      <w:r>
        <w:t xml:space="preserve"> </w:t>
      </w:r>
      <w:r>
        <w:t xml:space="preserve">(2021).</w:t>
      </w:r>
      <w:r>
        <w:t xml:space="preserve"> </w:t>
      </w:r>
      <w:hyperlink r:id="rId81">
        <w:r>
          <w:rPr>
            <w:rStyle w:val="Hyperlink"/>
          </w:rPr>
          <w:t xml:space="preserve">Chronic obstructive pulmonary disease does not impair responses to resistance training.</w:t>
        </w:r>
      </w:hyperlink>
      <w:r>
        <w:t xml:space="preserve"> </w:t>
      </w:r>
      <w:r>
        <w:rPr>
          <w:iCs/>
          <w:i/>
        </w:rPr>
        <w:t xml:space="preserve">J Transl Med</w:t>
      </w:r>
      <w:r>
        <w:t xml:space="preserve"> </w:t>
      </w:r>
      <w:r>
        <w:rPr>
          <w:bCs/>
          <w:b/>
        </w:rPr>
        <w:t xml:space="preserve">19</w:t>
      </w:r>
      <w:r>
        <w:t xml:space="preserve">, 292.</w:t>
      </w:r>
    </w:p>
    <w:bookmarkEnd w:id="82"/>
    <w:bookmarkStart w:id="84" w:name="ref-monteuuis_changing_2019"/>
    <w:p>
      <w:pPr>
        <w:pStyle w:val="Bibliography"/>
      </w:pPr>
      <w:r>
        <w:rPr>
          <w:bCs/>
          <w:b/>
        </w:rPr>
        <w:t xml:space="preserve">Monteuuis, G., Wong, J. J. L., Bailey, C. G., Schmitz, U. and Rasko, J. E. J.</w:t>
      </w:r>
      <w:r>
        <w:t xml:space="preserve"> </w:t>
      </w:r>
      <w:r>
        <w:t xml:space="preserve">(2019).</w:t>
      </w:r>
      <w:r>
        <w:t xml:space="preserve"> </w:t>
      </w:r>
      <w:hyperlink r:id="rId83">
        <w:r>
          <w:rPr>
            <w:rStyle w:val="Hyperlink"/>
          </w:rPr>
          <w:t xml:space="preserve">The changing paradigm of intron retention: Regulation, ramifications and recipes</w:t>
        </w:r>
      </w:hyperlink>
      <w:r>
        <w:t xml:space="preserve">.</w:t>
      </w:r>
      <w:r>
        <w:t xml:space="preserve"> </w:t>
      </w:r>
      <w:r>
        <w:rPr>
          <w:iCs/>
          <w:i/>
        </w:rPr>
        <w:t xml:space="preserve">Nucleic Acids Research</w:t>
      </w:r>
      <w:r>
        <w:t xml:space="preserve"> </w:t>
      </w:r>
      <w:r>
        <w:rPr>
          <w:bCs/>
          <w:b/>
        </w:rPr>
        <w:t xml:space="preserve">47</w:t>
      </w:r>
      <w:r>
        <w:t xml:space="preserve">, 11497–11513.</w:t>
      </w:r>
    </w:p>
    <w:bookmarkEnd w:id="84"/>
    <w:bookmarkStart w:id="85" w:name="ref-nelson_novel_2005"/>
    <w:p>
      <w:pPr>
        <w:pStyle w:val="Bibliography"/>
      </w:pPr>
      <w:r>
        <w:rPr>
          <w:bCs/>
          <w:b/>
        </w:rPr>
        <w:t xml:space="preserve">Nelson, M. E., Thurmes, P. J., Hoyer, J. D. and Steensma, D. P.</w:t>
      </w:r>
      <w:r>
        <w:t xml:space="preserve"> </w:t>
      </w:r>
      <w:r>
        <w:t xml:space="preserve">(2005). A novel 5’</w:t>
      </w:r>
      <w:r>
        <w:t xml:space="preserve">ATRX</w:t>
      </w:r>
      <w:r>
        <w:t xml:space="preserve"> </w:t>
      </w:r>
      <w:r>
        <w:t xml:space="preserve">mutation with splicing consequences in acquired alpha thalassemia-myelodysplastic syndrome.</w:t>
      </w:r>
      <w:r>
        <w:t xml:space="preserve"> </w:t>
      </w:r>
      <w:r>
        <w:rPr>
          <w:iCs/>
          <w:i/>
        </w:rPr>
        <w:t xml:space="preserve">haematologica</w:t>
      </w:r>
      <w:r>
        <w:t xml:space="preserve"> </w:t>
      </w:r>
      <w:r>
        <w:rPr>
          <w:bCs/>
          <w:b/>
        </w:rPr>
        <w:t xml:space="preserve">90</w:t>
      </w:r>
      <w:r>
        <w:t xml:space="preserve">, 1463–1470.</w:t>
      </w:r>
    </w:p>
    <w:bookmarkEnd w:id="85"/>
    <w:bookmarkStart w:id="86" w:name="ref-nie_distinct_2022"/>
    <w:p>
      <w:pPr>
        <w:pStyle w:val="Bibliography"/>
      </w:pPr>
      <w:r>
        <w:rPr>
          <w:bCs/>
          <w:b/>
        </w:rPr>
        <w:t xml:space="preserve">Nie, C., Li, Y., Li, R., Yan, Y., Zhang, D., Li, T., Li, Z., Sun, Y., Zhen, H. and Ding, J.</w:t>
      </w:r>
      <w:r>
        <w:t xml:space="preserve"> </w:t>
      </w:r>
      <w:r>
        <w:t xml:space="preserve">(2022). Distinct biological ages of organs and systems identified from a multi-omics study.</w:t>
      </w:r>
      <w:r>
        <w:t xml:space="preserve"> </w:t>
      </w:r>
      <w:r>
        <w:rPr>
          <w:iCs/>
          <w:i/>
        </w:rPr>
        <w:t xml:space="preserve">Cell reports</w:t>
      </w:r>
      <w:r>
        <w:t xml:space="preserve"> </w:t>
      </w:r>
      <w:r>
        <w:rPr>
          <w:bCs/>
          <w:b/>
        </w:rPr>
        <w:t xml:space="preserve">38</w:t>
      </w:r>
      <w:r>
        <w:t xml:space="preserve">,.</w:t>
      </w:r>
    </w:p>
    <w:bookmarkEnd w:id="86"/>
    <w:bookmarkStart w:id="88" w:name="ref-nishida_tissue-_2015"/>
    <w:p>
      <w:pPr>
        <w:pStyle w:val="Bibliography"/>
      </w:pPr>
      <w:r>
        <w:rPr>
          <w:bCs/>
          <w:b/>
        </w:rPr>
        <w:t xml:space="preserve">Nishida, A., Minegishi, M., Takeuchi, A., Niba, E. T. E., Awano, H., Lee, T., Iijima, K., Takeshima, Y. and Matsuo, M.</w:t>
      </w:r>
      <w:r>
        <w:t xml:space="preserve"> </w:t>
      </w:r>
      <w:r>
        <w:t xml:space="preserve">(2015).</w:t>
      </w:r>
      <w:r>
        <w:t xml:space="preserve"> </w:t>
      </w:r>
      <w:hyperlink r:id="rId87">
        <w:r>
          <w:rPr>
            <w:rStyle w:val="Hyperlink"/>
          </w:rPr>
          <w:t xml:space="preserve">Tissue- and case-specific retention of intron 40 in mature dystrophin</w:t>
        </w:r>
        <w:r>
          <w:rPr>
            <w:rStyle w:val="Hyperlink"/>
          </w:rPr>
          <w:t xml:space="preserve"> </w:t>
        </w:r>
        <w:r>
          <w:rPr>
            <w:rStyle w:val="Hyperlink"/>
          </w:rPr>
          <w:t xml:space="preserve">mRNA</w:t>
        </w:r>
      </w:hyperlink>
      <w:r>
        <w:t xml:space="preserve">.</w:t>
      </w:r>
      <w:r>
        <w:t xml:space="preserve"> </w:t>
      </w:r>
      <w:r>
        <w:rPr>
          <w:iCs/>
          <w:i/>
        </w:rPr>
        <w:t xml:space="preserve">Journal of Human Genetics</w:t>
      </w:r>
      <w:r>
        <w:t xml:space="preserve"> </w:t>
      </w:r>
      <w:r>
        <w:rPr>
          <w:bCs/>
          <w:b/>
        </w:rPr>
        <w:t xml:space="preserve">60</w:t>
      </w:r>
      <w:r>
        <w:t xml:space="preserve">, 327–333.</w:t>
      </w:r>
    </w:p>
    <w:bookmarkEnd w:id="88"/>
    <w:bookmarkStart w:id="89" w:name="ref-ong_increased_2020"/>
    <w:p>
      <w:pPr>
        <w:pStyle w:val="Bibliography"/>
      </w:pPr>
      <w:r>
        <w:rPr>
          <w:bCs/>
          <w:b/>
        </w:rPr>
        <w:t xml:space="preserve">Ong, C.-T. and Adusumalli, S.</w:t>
      </w:r>
      <w:r>
        <w:t xml:space="preserve"> </w:t>
      </w:r>
      <w:r>
        <w:t xml:space="preserve">(2020). Increased intron retention is linked to alzheimer’s disease.</w:t>
      </w:r>
      <w:r>
        <w:t xml:space="preserve"> </w:t>
      </w:r>
      <w:r>
        <w:rPr>
          <w:iCs/>
          <w:i/>
        </w:rPr>
        <w:t xml:space="preserve">Neural regeneration research</w:t>
      </w:r>
      <w:r>
        <w:t xml:space="preserve"> </w:t>
      </w:r>
      <w:r>
        <w:rPr>
          <w:bCs/>
          <w:b/>
        </w:rPr>
        <w:t xml:space="preserve">15</w:t>
      </w:r>
      <w:r>
        <w:t xml:space="preserve">, 259–260.</w:t>
      </w:r>
    </w:p>
    <w:bookmarkEnd w:id="89"/>
    <w:bookmarkStart w:id="91" w:name="ref-pabis_concerted_2024"/>
    <w:p>
      <w:pPr>
        <w:pStyle w:val="Bibliography"/>
      </w:pPr>
      <w:r>
        <w:rPr>
          <w:bCs/>
          <w:b/>
        </w:rPr>
        <w:t xml:space="preserve">Pabis, K., Barardo, D., Sirbu, O., Selvarajoo, K., Gruber, J. and Kennedy, B. K.</w:t>
      </w:r>
      <w:r>
        <w:t xml:space="preserve"> </w:t>
      </w:r>
      <w:r>
        <w:t xml:space="preserve">(2024).</w:t>
      </w:r>
      <w:r>
        <w:t xml:space="preserve"> </w:t>
      </w:r>
      <w:hyperlink r:id="rId90">
        <w:r>
          <w:rPr>
            <w:rStyle w:val="Hyperlink"/>
          </w:rPr>
          <w:t xml:space="preserve">A concerted increase in readthrough and intron retention drives transposon expression during aging and senescence</w:t>
        </w:r>
      </w:hyperlink>
      <w:r>
        <w:t xml:space="preserve">.</w:t>
      </w:r>
    </w:p>
    <w:bookmarkEnd w:id="91"/>
    <w:bookmarkStart w:id="93" w:name="ref-peterson_influence_2011"/>
    <w:p>
      <w:pPr>
        <w:pStyle w:val="Bibliography"/>
      </w:pPr>
      <w:r>
        <w:rPr>
          <w:bCs/>
          <w:b/>
        </w:rPr>
        <w:t xml:space="preserve">Peterson, M. D., Sen, A. and Gordon, P. M.</w:t>
      </w:r>
      <w:r>
        <w:t xml:space="preserve"> </w:t>
      </w:r>
      <w:r>
        <w:t xml:space="preserve">(2011).</w:t>
      </w:r>
      <w:r>
        <w:t xml:space="preserve"> </w:t>
      </w:r>
      <w:hyperlink r:id="rId92">
        <w:r>
          <w:rPr>
            <w:rStyle w:val="Hyperlink"/>
          </w:rPr>
          <w:t xml:space="preserve">Influence of resistance exercise on lean body mass in aging adults: A meta-analysis.</w:t>
        </w:r>
      </w:hyperlink>
      <w:r>
        <w:t xml:space="preserve"> </w:t>
      </w:r>
      <w:r>
        <w:rPr>
          <w:iCs/>
          <w:i/>
        </w:rPr>
        <w:t xml:space="preserve">Med Sci Sports Exerc</w:t>
      </w:r>
      <w:r>
        <w:t xml:space="preserve"> </w:t>
      </w:r>
      <w:r>
        <w:rPr>
          <w:bCs/>
          <w:b/>
        </w:rPr>
        <w:t xml:space="preserve">43</w:t>
      </w:r>
      <w:r>
        <w:t xml:space="preserve">, 249–258.</w:t>
      </w:r>
    </w:p>
    <w:bookmarkEnd w:id="93"/>
    <w:bookmarkStart w:id="94" w:name="ref-robinson_enhanced_2017"/>
    <w:p>
      <w:pPr>
        <w:pStyle w:val="Bibliography"/>
      </w:pPr>
      <w:r>
        <w:rPr>
          <w:bCs/>
          <w:b/>
        </w:rPr>
        <w:t xml:space="preserve">Robinson, M. M., Dasari, S., Konopka, A. R., Johnson, M. L., Manjunatha, S., Esponda, R. R., Carter, R. E., Lanza, I. R. and Nair, K. S.</w:t>
      </w:r>
      <w:r>
        <w:t xml:space="preserve"> </w:t>
      </w:r>
      <w:r>
        <w:t xml:space="preserve">(2017). Enhanced protein translation underlies improved metabolic and physical adaptations to different exercise training modes in young and old humans.</w:t>
      </w:r>
      <w:r>
        <w:t xml:space="preserve"> </w:t>
      </w:r>
      <w:r>
        <w:rPr>
          <w:iCs/>
          <w:i/>
        </w:rPr>
        <w:t xml:space="preserve">Cell metabolism</w:t>
      </w:r>
      <w:r>
        <w:t xml:space="preserve"> </w:t>
      </w:r>
      <w:r>
        <w:rPr>
          <w:bCs/>
          <w:b/>
        </w:rPr>
        <w:t xml:space="preserve">25</w:t>
      </w:r>
      <w:r>
        <w:t xml:space="preserve">, 581–592.</w:t>
      </w:r>
    </w:p>
    <w:bookmarkEnd w:id="94"/>
    <w:bookmarkStart w:id="96" w:name="X9abc3901ca7f09d6e15f6daefa88aae206ffc58"/>
    <w:p>
      <w:pPr>
        <w:pStyle w:val="Bibliography"/>
      </w:pPr>
      <w:r>
        <w:rPr>
          <w:bCs/>
          <w:b/>
        </w:rPr>
        <w:t xml:space="preserve">Sánchez-Escabias, E., Guerrero-Martínez, J. A. and Reyes, J. C.</w:t>
      </w:r>
      <w:r>
        <w:t xml:space="preserve"> </w:t>
      </w:r>
      <w:r>
        <w:t xml:space="preserve">(2022).</w:t>
      </w:r>
      <w:r>
        <w:t xml:space="preserve"> </w:t>
      </w:r>
      <w:hyperlink r:id="rId95">
        <w:r>
          <w:rPr>
            <w:rStyle w:val="Hyperlink"/>
          </w:rPr>
          <w:t xml:space="preserve">Co-transcriptional splicing efficiency is a gene-specific feature that can be regulated by</w:t>
        </w:r>
        <w:r>
          <w:rPr>
            <w:rStyle w:val="Hyperlink"/>
          </w:rPr>
          <w:t xml:space="preserve"> </w:t>
        </w:r>
        <w:r>
          <w:rPr>
            <w:rStyle w:val="Hyperlink"/>
          </w:rPr>
          <w:t xml:space="preserve">TGFβ</w:t>
        </w:r>
      </w:hyperlink>
      <w:r>
        <w:t xml:space="preserve">.</w:t>
      </w:r>
      <w:r>
        <w:t xml:space="preserve"> </w:t>
      </w:r>
      <w:r>
        <w:rPr>
          <w:iCs/>
          <w:i/>
        </w:rPr>
        <w:t xml:space="preserve">Communications Biology</w:t>
      </w:r>
      <w:r>
        <w:t xml:space="preserve"> </w:t>
      </w:r>
      <w:r>
        <w:rPr>
          <w:bCs/>
          <w:b/>
        </w:rPr>
        <w:t xml:space="preserve">5</w:t>
      </w:r>
      <w:r>
        <w:t xml:space="preserve">, 277.</w:t>
      </w:r>
    </w:p>
    <w:bookmarkEnd w:id="96"/>
    <w:bookmarkStart w:id="97" w:name="ref-saudemont_fitness_2017"/>
    <w:p>
      <w:pPr>
        <w:pStyle w:val="Bibliography"/>
      </w:pPr>
      <w:r>
        <w:rPr>
          <w:bCs/>
          <w:b/>
        </w:rPr>
        <w:t xml:space="preserve">Saudemont, B., Popa, A., Parmley, J. L., Rocher, V., Blugeon, C., Necsulea, A., Meyer, E. and Duret, L.</w:t>
      </w:r>
      <w:r>
        <w:t xml:space="preserve"> </w:t>
      </w:r>
      <w:r>
        <w:t xml:space="preserve">(2017). The fitness cost of mis-splicing is the main determinant of alternative splicing patterns.</w:t>
      </w:r>
      <w:r>
        <w:t xml:space="preserve"> </w:t>
      </w:r>
      <w:r>
        <w:rPr>
          <w:iCs/>
          <w:i/>
        </w:rPr>
        <w:t xml:space="preserve">Genome biology</w:t>
      </w:r>
      <w:r>
        <w:t xml:space="preserve"> </w:t>
      </w:r>
      <w:r>
        <w:rPr>
          <w:bCs/>
          <w:b/>
        </w:rPr>
        <w:t xml:space="preserve">18</w:t>
      </w:r>
      <w:r>
        <w:t xml:space="preserve">, 1–15.</w:t>
      </w:r>
    </w:p>
    <w:bookmarkEnd w:id="97"/>
    <w:bookmarkStart w:id="99" w:name="ref-schaum_ageing_2020"/>
    <w:p>
      <w:pPr>
        <w:pStyle w:val="Bibliography"/>
      </w:pPr>
      <w:r>
        <w:rPr>
          <w:bCs/>
          <w:b/>
        </w:rPr>
        <w:t xml:space="preserve">Schaum, N., Lehallier, B., Hahn, O., Pálovics, R., Hosseinzadeh, S., Lee, S. E., Sit, R., Lee, D. P., Losada, P. M., Zardeneta, M. E., et al.</w:t>
      </w:r>
      <w:r>
        <w:t xml:space="preserve"> </w:t>
      </w:r>
      <w:r>
        <w:t xml:space="preserve">(2020).</w:t>
      </w:r>
      <w:r>
        <w:t xml:space="preserve"> </w:t>
      </w:r>
      <w:hyperlink r:id="rId98">
        <w:r>
          <w:rPr>
            <w:rStyle w:val="Hyperlink"/>
          </w:rPr>
          <w:t xml:space="preserve">Ageing hallmarks exhibit organ-specific temporal signatures</w:t>
        </w:r>
      </w:hyperlink>
      <w:r>
        <w:t xml:space="preserve">.</w:t>
      </w:r>
      <w:r>
        <w:t xml:space="preserve"> </w:t>
      </w:r>
      <w:r>
        <w:rPr>
          <w:iCs/>
          <w:i/>
        </w:rPr>
        <w:t xml:space="preserve">Nature</w:t>
      </w:r>
      <w:r>
        <w:t xml:space="preserve"> </w:t>
      </w:r>
      <w:r>
        <w:rPr>
          <w:bCs/>
          <w:b/>
        </w:rPr>
        <w:t xml:space="preserve">583</w:t>
      </w:r>
      <w:r>
        <w:t xml:space="preserve">, 596–602.</w:t>
      </w:r>
    </w:p>
    <w:bookmarkEnd w:id="99"/>
    <w:bookmarkStart w:id="101" w:name="ref-schmitz_intron_2017"/>
    <w:p>
      <w:pPr>
        <w:pStyle w:val="Bibliography"/>
      </w:pPr>
      <w:r>
        <w:rPr>
          <w:bCs/>
          <w:b/>
        </w:rPr>
        <w:t xml:space="preserve">Schmitz, U., Pinello, N., Jia, F., Alasmari, S., Ritchie, W., Keightley, M.-C., Shini, S., Lieschke, G. J., Wong, J. J.-L. and Rasko, J. E. J.</w:t>
      </w:r>
      <w:r>
        <w:t xml:space="preserve"> </w:t>
      </w:r>
      <w:r>
        <w:t xml:space="preserve">(2017).</w:t>
      </w:r>
      <w:r>
        <w:t xml:space="preserve"> </w:t>
      </w:r>
      <w:hyperlink r:id="rId100">
        <w:r>
          <w:rPr>
            <w:rStyle w:val="Hyperlink"/>
          </w:rPr>
          <w:t xml:space="preserve">Intron retention enhances gene regulatory complexity in vertebrates</w:t>
        </w:r>
      </w:hyperlink>
      <w:r>
        <w:t xml:space="preserve">.</w:t>
      </w:r>
      <w:r>
        <w:t xml:space="preserve"> </w:t>
      </w:r>
      <w:r>
        <w:rPr>
          <w:iCs/>
          <w:i/>
        </w:rPr>
        <w:t xml:space="preserve">Genome Biology</w:t>
      </w:r>
      <w:r>
        <w:t xml:space="preserve"> </w:t>
      </w:r>
      <w:r>
        <w:rPr>
          <w:bCs/>
          <w:b/>
        </w:rPr>
        <w:t xml:space="preserve">18</w:t>
      </w:r>
      <w:r>
        <w:t xml:space="preserve">, 216.</w:t>
      </w:r>
    </w:p>
    <w:bookmarkEnd w:id="101"/>
    <w:bookmarkStart w:id="102" w:name="ref-schwerk_regulation_2005"/>
    <w:p>
      <w:pPr>
        <w:pStyle w:val="Bibliography"/>
      </w:pPr>
      <w:r>
        <w:rPr>
          <w:bCs/>
          <w:b/>
        </w:rPr>
        <w:t xml:space="preserve">Schwerk, C. and Schulze-Osthoff, K.</w:t>
      </w:r>
      <w:r>
        <w:t xml:space="preserve"> </w:t>
      </w:r>
      <w:r>
        <w:t xml:space="preserve">(2005). Regulation of apoptosis by alternative pre-</w:t>
      </w:r>
      <w:r>
        <w:t xml:space="preserve">mRNA</w:t>
      </w:r>
      <w:r>
        <w:t xml:space="preserve"> </w:t>
      </w:r>
      <w:r>
        <w:t xml:space="preserve">splicing.</w:t>
      </w:r>
      <w:r>
        <w:t xml:space="preserve"> </w:t>
      </w:r>
      <w:r>
        <w:rPr>
          <w:iCs/>
          <w:i/>
        </w:rPr>
        <w:t xml:space="preserve">Molecular cell</w:t>
      </w:r>
      <w:r>
        <w:t xml:space="preserve"> </w:t>
      </w:r>
      <w:r>
        <w:rPr>
          <w:bCs/>
          <w:b/>
        </w:rPr>
        <w:t xml:space="preserve">19</w:t>
      </w:r>
      <w:r>
        <w:t xml:space="preserve">, 1–13.</w:t>
      </w:r>
    </w:p>
    <w:bookmarkEnd w:id="102"/>
    <w:bookmarkStart w:id="103" w:name="ref-shah_towards_2022"/>
    <w:p>
      <w:pPr>
        <w:pStyle w:val="Bibliography"/>
      </w:pPr>
      <w:r>
        <w:rPr>
          <w:bCs/>
          <w:b/>
        </w:rPr>
        <w:t xml:space="preserve">Shah, J. S., Milevskiy, M. J., Petrova, V., Au, A. Y., Wong, J. J., Visvader, J. E., Schmitz, U. and Rasko, J. E.</w:t>
      </w:r>
      <w:r>
        <w:t xml:space="preserve"> </w:t>
      </w:r>
      <w:r>
        <w:t xml:space="preserve">(2022). Towards resolution of the intron retention paradox in breast cancer.</w:t>
      </w:r>
      <w:r>
        <w:t xml:space="preserve"> </w:t>
      </w:r>
      <w:r>
        <w:rPr>
          <w:iCs/>
          <w:i/>
        </w:rPr>
        <w:t xml:space="preserve">Breast Cancer Research</w:t>
      </w:r>
      <w:r>
        <w:t xml:space="preserve"> </w:t>
      </w:r>
      <w:r>
        <w:rPr>
          <w:bCs/>
          <w:b/>
        </w:rPr>
        <w:t xml:space="preserve">24</w:t>
      </w:r>
      <w:r>
        <w:t xml:space="preserve">, 100.</w:t>
      </w:r>
    </w:p>
    <w:bookmarkEnd w:id="103"/>
    <w:bookmarkStart w:id="105" w:name="ref-smart_role_2022"/>
    <w:p>
      <w:pPr>
        <w:pStyle w:val="Bibliography"/>
      </w:pPr>
      <w:r>
        <w:rPr>
          <w:bCs/>
          <w:b/>
        </w:rPr>
        <w:t xml:space="preserve">Smart, T. F. F., Doleman, B., Hatt, J., Paul, M., Toft, S., Lund, J. N. and Phillips, B. E.</w:t>
      </w:r>
      <w:r>
        <w:t xml:space="preserve"> </w:t>
      </w:r>
      <w:r>
        <w:t xml:space="preserve">(2022).</w:t>
      </w:r>
      <w:r>
        <w:t xml:space="preserve"> </w:t>
      </w:r>
      <w:hyperlink r:id="rId104">
        <w:r>
          <w:rPr>
            <w:rStyle w:val="Hyperlink"/>
          </w:rPr>
          <w:t xml:space="preserve">The role of resistance exercise training for improving cardiorespiratory fitness in healthy older adults: A systematic review and meta-analysis</w:t>
        </w:r>
      </w:hyperlink>
      <w:r>
        <w:t xml:space="preserve">.</w:t>
      </w:r>
      <w:r>
        <w:t xml:space="preserve"> </w:t>
      </w:r>
      <w:r>
        <w:rPr>
          <w:iCs/>
          <w:i/>
        </w:rPr>
        <w:t xml:space="preserve">Age and Ageing</w:t>
      </w:r>
      <w:r>
        <w:t xml:space="preserve"> </w:t>
      </w:r>
      <w:r>
        <w:rPr>
          <w:bCs/>
          <w:b/>
        </w:rPr>
        <w:t xml:space="preserve">51</w:t>
      </w:r>
      <w:r>
        <w:t xml:space="preserve">, afac143.</w:t>
      </w:r>
    </w:p>
    <w:bookmarkEnd w:id="105"/>
    <w:bookmarkStart w:id="107" w:name="ref-stegeman_transcriptional_2017"/>
    <w:p>
      <w:pPr>
        <w:pStyle w:val="Bibliography"/>
      </w:pPr>
      <w:r>
        <w:rPr>
          <w:bCs/>
          <w:b/>
        </w:rPr>
        <w:t xml:space="preserve">Stegeman, R. and Weake, V. M.</w:t>
      </w:r>
      <w:r>
        <w:t xml:space="preserve"> </w:t>
      </w:r>
      <w:r>
        <w:t xml:space="preserve">(2017).</w:t>
      </w:r>
      <w:r>
        <w:t xml:space="preserve"> </w:t>
      </w:r>
      <w:hyperlink r:id="rId106">
        <w:r>
          <w:rPr>
            <w:rStyle w:val="Hyperlink"/>
          </w:rPr>
          <w:t xml:space="preserve">Transcriptional signatures of aging</w:t>
        </w:r>
      </w:hyperlink>
      <w:r>
        <w:t xml:space="preserve">.</w:t>
      </w:r>
      <w:r>
        <w:t xml:space="preserve"> </w:t>
      </w:r>
      <w:r>
        <w:rPr>
          <w:iCs/>
          <w:i/>
        </w:rPr>
        <w:t xml:space="preserve">Journal of Molecular Biology</w:t>
      </w:r>
      <w:r>
        <w:t xml:space="preserve"> </w:t>
      </w:r>
      <w:r>
        <w:rPr>
          <w:bCs/>
          <w:b/>
        </w:rPr>
        <w:t xml:space="preserve">429</w:t>
      </w:r>
      <w:r>
        <w:t xml:space="preserve">, 2427–2437.</w:t>
      </w:r>
    </w:p>
    <w:bookmarkEnd w:id="107"/>
    <w:bookmarkStart w:id="108" w:name="ref-stokes_transcriptomics_2023"/>
    <w:p>
      <w:pPr>
        <w:pStyle w:val="Bibliography"/>
      </w:pPr>
      <w:r>
        <w:rPr>
          <w:bCs/>
          <w:b/>
        </w:rPr>
        <w:t xml:space="preserve">Stokes, T., Cen, H. H., Kapranov, P., Gallagher, I. J., Pitsillides, A. A., Volmar, C.-H., Kraus, W. E., Johnson, J. D., Phillips, S. M. and Wahlestedt, C.</w:t>
      </w:r>
      <w:r>
        <w:t xml:space="preserve"> </w:t>
      </w:r>
      <w:r>
        <w:t xml:space="preserve">(2023). Transcriptomics for clinical and experimental biology research: Hang on a seq.</w:t>
      </w:r>
      <w:r>
        <w:t xml:space="preserve"> </w:t>
      </w:r>
      <w:r>
        <w:rPr>
          <w:iCs/>
          <w:i/>
        </w:rPr>
        <w:t xml:space="preserve">Advanced Genetics</w:t>
      </w:r>
      <w:r>
        <w:t xml:space="preserve"> </w:t>
      </w:r>
      <w:r>
        <w:rPr>
          <w:bCs/>
          <w:b/>
        </w:rPr>
        <w:t xml:space="preserve">4</w:t>
      </w:r>
      <w:r>
        <w:t xml:space="preserve">, 2200024.</w:t>
      </w:r>
    </w:p>
    <w:bookmarkEnd w:id="108"/>
    <w:bookmarkStart w:id="109" w:name="ref-sznajder_intron_2018"/>
    <w:p>
      <w:pPr>
        <w:pStyle w:val="Bibliography"/>
      </w:pPr>
      <w:r>
        <w:rPr>
          <w:bCs/>
          <w:b/>
        </w:rPr>
        <w:t xml:space="preserve">Sznajder, Ł. J., Thomas, J. D., Carrell, E. M., Reid, T., McFarland, K. N., Cleary, J. D., Oliveira, R., Nutter, C. A., Bhatt, K. and Sobczak, K.</w:t>
      </w:r>
      <w:r>
        <w:t xml:space="preserve"> </w:t>
      </w:r>
      <w:r>
        <w:t xml:space="preserve">(2018). Intron retention induced by microsatellite expansions as a disease biomarker.</w:t>
      </w:r>
      <w:r>
        <w:t xml:space="preserve"> </w:t>
      </w:r>
      <w:r>
        <w:rPr>
          <w:iCs/>
          <w:i/>
        </w:rPr>
        <w:t xml:space="preserve">Proceedings of the National Academy of Sciences</w:t>
      </w:r>
      <w:r>
        <w:t xml:space="preserve"> </w:t>
      </w:r>
      <w:r>
        <w:rPr>
          <w:bCs/>
          <w:b/>
        </w:rPr>
        <w:t xml:space="preserve">115</w:t>
      </w:r>
      <w:r>
        <w:t xml:space="preserve">, 4234–4239.</w:t>
      </w:r>
    </w:p>
    <w:bookmarkEnd w:id="109"/>
    <w:bookmarkStart w:id="110" w:name="ref-ubaida-mohien_physical_2019"/>
    <w:p>
      <w:pPr>
        <w:pStyle w:val="Bibliography"/>
      </w:pPr>
      <w:r>
        <w:rPr>
          <w:bCs/>
          <w:b/>
        </w:rPr>
        <w:t xml:space="preserve">Ubaida-Mohien, C., Gonzalez-Freire, M., Lyashkov, A., Moaddel, R., Chia, C. W., Simonsick, E. M., Sen, R. and Ferrucci, L.</w:t>
      </w:r>
      <w:r>
        <w:t xml:space="preserve"> </w:t>
      </w:r>
      <w:r>
        <w:t xml:space="preserve">(2019a). Physical activity associated proteomics of skeletal muscle: Being physically active in daily life may protect skeletal muscle from aging.</w:t>
      </w:r>
      <w:r>
        <w:t xml:space="preserve"> </w:t>
      </w:r>
      <w:r>
        <w:rPr>
          <w:iCs/>
          <w:i/>
        </w:rPr>
        <w:t xml:space="preserve">Frontiers in physiology</w:t>
      </w:r>
      <w:r>
        <w:t xml:space="preserve"> </w:t>
      </w:r>
      <w:r>
        <w:rPr>
          <w:bCs/>
          <w:b/>
        </w:rPr>
        <w:t xml:space="preserve">10</w:t>
      </w:r>
      <w:r>
        <w:t xml:space="preserve">, 312.</w:t>
      </w:r>
    </w:p>
    <w:bookmarkEnd w:id="110"/>
    <w:bookmarkStart w:id="112" w:name="ref-ubaida-mohien_discovery_2019"/>
    <w:p>
      <w:pPr>
        <w:pStyle w:val="Bibliography"/>
      </w:pPr>
      <w:r>
        <w:rPr>
          <w:bCs/>
          <w:b/>
        </w:rPr>
        <w:t xml:space="preserve">Ubaida-Mohien, C., Lyashkov, A., Gonzalez-Freire, M., Tharakan, R., Shardell, M., Moaddel, R., Semba, R. D., Chia, C. W., Gorospe, M., Sen, R., et al.</w:t>
      </w:r>
      <w:r>
        <w:t xml:space="preserve"> </w:t>
      </w:r>
      <w:r>
        <w:t xml:space="preserve">(2019b).</w:t>
      </w:r>
      <w:r>
        <w:t xml:space="preserve"> </w:t>
      </w:r>
      <w:hyperlink r:id="rId111">
        <w:r>
          <w:rPr>
            <w:rStyle w:val="Hyperlink"/>
          </w:rPr>
          <w:t xml:space="preserve">Discovery proteomics in aging human skeletal muscle finds change in spliceosome, immunity, proteostasis and mitochondria</w:t>
        </w:r>
      </w:hyperlink>
      <w:r>
        <w:t xml:space="preserve">.</w:t>
      </w:r>
      <w:r>
        <w:t xml:space="preserve"> </w:t>
      </w:r>
      <w:r>
        <w:rPr>
          <w:iCs/>
          <w:i/>
        </w:rPr>
        <w:t xml:space="preserve">eLife</w:t>
      </w:r>
      <w:r>
        <w:t xml:space="preserve"> </w:t>
      </w:r>
      <w:r>
        <w:rPr>
          <w:bCs/>
          <w:b/>
        </w:rPr>
        <w:t xml:space="preserve">8</w:t>
      </w:r>
      <w:r>
        <w:t xml:space="preserve">, e49874.</w:t>
      </w:r>
    </w:p>
    <w:bookmarkEnd w:id="112"/>
    <w:bookmarkStart w:id="114" w:name="ref-ubaida-mohien_unbiased_2022"/>
    <w:p>
      <w:pPr>
        <w:pStyle w:val="Bibliography"/>
      </w:pPr>
      <w:r>
        <w:rPr>
          <w:bCs/>
          <w:b/>
        </w:rPr>
        <w:t xml:space="preserve">Ubaida-Mohien, C., Spendiff, S., Lyashkov, A., Moaddel, R., MacMillan, N. J., Filion, M.-E., Morais, J. A., Taivassalo, T., Ferrucci, L. and Hepple, R. T.</w:t>
      </w:r>
      <w:r>
        <w:t xml:space="preserve"> </w:t>
      </w:r>
      <w:r>
        <w:t xml:space="preserve">(2022).</w:t>
      </w:r>
      <w:r>
        <w:t xml:space="preserve"> </w:t>
      </w:r>
      <w:hyperlink r:id="rId113">
        <w:r>
          <w:rPr>
            <w:rStyle w:val="Hyperlink"/>
          </w:rPr>
          <w:t xml:space="preserve">Unbiased proteomics, histochemistry, and mitochondrial</w:t>
        </w:r>
        <w:r>
          <w:rPr>
            <w:rStyle w:val="Hyperlink"/>
          </w:rPr>
          <w:t xml:space="preserve"> </w:t>
        </w:r>
        <w:r>
          <w:rPr>
            <w:rStyle w:val="Hyperlink"/>
          </w:rPr>
          <w:t xml:space="preserve">DNA</w:t>
        </w:r>
        <w:r>
          <w:rPr>
            <w:rStyle w:val="Hyperlink"/>
          </w:rPr>
          <w:t xml:space="preserve"> </w:t>
        </w:r>
        <w:r>
          <w:rPr>
            <w:rStyle w:val="Hyperlink"/>
          </w:rPr>
          <w:t xml:space="preserve">copy number reveal better mitochondrial health in muscle of high-functioning octogenarians</w:t>
        </w:r>
      </w:hyperlink>
      <w:r>
        <w:t xml:space="preserve">.</w:t>
      </w:r>
      <w:r>
        <w:t xml:space="preserve"> </w:t>
      </w:r>
      <w:r>
        <w:rPr>
          <w:iCs/>
          <w:i/>
        </w:rPr>
        <w:t xml:space="preserve">eLife</w:t>
      </w:r>
      <w:r>
        <w:t xml:space="preserve"> </w:t>
      </w:r>
      <w:r>
        <w:rPr>
          <w:bCs/>
          <w:b/>
        </w:rPr>
        <w:t xml:space="preserve">11</w:t>
      </w:r>
      <w:r>
        <w:t xml:space="preserve">, e74335.</w:t>
      </w:r>
    </w:p>
    <w:bookmarkEnd w:id="114"/>
    <w:bookmarkStart w:id="116" w:name="ref-veeneman_two-pass_2016"/>
    <w:p>
      <w:pPr>
        <w:pStyle w:val="Bibliography"/>
      </w:pPr>
      <w:r>
        <w:rPr>
          <w:bCs/>
          <w:b/>
        </w:rPr>
        <w:t xml:space="preserve">Veeneman, B. A., Shukla, S., Dhanasekaran, S. M., Chinnaiyan, A. M. and Nesvizhskii, A. I.</w:t>
      </w:r>
      <w:r>
        <w:t xml:space="preserve"> </w:t>
      </w:r>
      <w:r>
        <w:t xml:space="preserve">(2016).</w:t>
      </w:r>
      <w:r>
        <w:t xml:space="preserve"> </w:t>
      </w:r>
      <w:hyperlink r:id="rId115">
        <w:r>
          <w:rPr>
            <w:rStyle w:val="Hyperlink"/>
          </w:rPr>
          <w:t xml:space="preserve">Two-pass alignment improves novel splice junction quantification.</w:t>
        </w:r>
      </w:hyperlink>
      <w:r>
        <w:t xml:space="preserve"> </w:t>
      </w:r>
      <w:r>
        <w:rPr>
          <w:iCs/>
          <w:i/>
        </w:rPr>
        <w:t xml:space="preserve">Bioinformatics</w:t>
      </w:r>
      <w:r>
        <w:t xml:space="preserve"> </w:t>
      </w:r>
      <w:r>
        <w:rPr>
          <w:bCs/>
          <w:b/>
        </w:rPr>
        <w:t xml:space="preserve">32</w:t>
      </w:r>
      <w:r>
        <w:t xml:space="preserve">, 43–49.</w:t>
      </w:r>
    </w:p>
    <w:bookmarkEnd w:id="116"/>
    <w:bookmarkStart w:id="117" w:name="ref-welle_gene_2003"/>
    <w:p>
      <w:pPr>
        <w:pStyle w:val="Bibliography"/>
      </w:pPr>
      <w:r>
        <w:rPr>
          <w:bCs/>
          <w:b/>
        </w:rPr>
        <w:t xml:space="preserve">Welle, S., Brooks, A. I., Delehanty, J. M., Needler, N. and Thornton, C. A.</w:t>
      </w:r>
      <w:r>
        <w:t xml:space="preserve"> </w:t>
      </w:r>
      <w:r>
        <w:t xml:space="preserve">(2003). Gene expression profile of aging in human muscle.</w:t>
      </w:r>
      <w:r>
        <w:t xml:space="preserve"> </w:t>
      </w:r>
      <w:r>
        <w:rPr>
          <w:iCs/>
          <w:i/>
        </w:rPr>
        <w:t xml:space="preserve">Physiological genomics</w:t>
      </w:r>
      <w:r>
        <w:t xml:space="preserve"> </w:t>
      </w:r>
      <w:r>
        <w:rPr>
          <w:bCs/>
          <w:b/>
        </w:rPr>
        <w:t xml:space="preserve">14</w:t>
      </w:r>
      <w:r>
        <w:t xml:space="preserve">, 149–159.</w:t>
      </w:r>
    </w:p>
    <w:bookmarkEnd w:id="117"/>
    <w:bookmarkStart w:id="118" w:name="ref-wong_intron_2022"/>
    <w:p>
      <w:pPr>
        <w:pStyle w:val="Bibliography"/>
      </w:pPr>
      <w:r>
        <w:rPr>
          <w:bCs/>
          <w:b/>
        </w:rPr>
        <w:t xml:space="preserve">Wong, J. J.-L. and Schmitz, U.</w:t>
      </w:r>
      <w:r>
        <w:t xml:space="preserve"> </w:t>
      </w:r>
      <w:r>
        <w:t xml:space="preserve">(2022). Intron retention: Importance, challenges, and opportunities.</w:t>
      </w:r>
      <w:r>
        <w:t xml:space="preserve"> </w:t>
      </w:r>
      <w:r>
        <w:rPr>
          <w:iCs/>
          <w:i/>
        </w:rPr>
        <w:t xml:space="preserve">Trends in Genetics</w:t>
      </w:r>
      <w:r>
        <w:t xml:space="preserve"> </w:t>
      </w:r>
      <w:r>
        <w:rPr>
          <w:bCs/>
          <w:b/>
        </w:rPr>
        <w:t xml:space="preserve">38</w:t>
      </w:r>
      <w:r>
        <w:t xml:space="preserve">, 789–792.</w:t>
      </w:r>
    </w:p>
    <w:bookmarkEnd w:id="118"/>
    <w:bookmarkStart w:id="120" w:name="ref-wong_orchestrated_2013"/>
    <w:p>
      <w:pPr>
        <w:pStyle w:val="Bibliography"/>
      </w:pPr>
      <w:r>
        <w:rPr>
          <w:bCs/>
          <w:b/>
        </w:rPr>
        <w:t xml:space="preserve">Wong, J. J.-L., Ritchie, W., Ebner, O. A., Selbach, M., Wong, J. W. H., Huang, Y., Gao, D., Pinello, N., Gonzalez, M., Baidya, K., et al.</w:t>
      </w:r>
      <w:r>
        <w:t xml:space="preserve"> </w:t>
      </w:r>
      <w:r>
        <w:t xml:space="preserve">(2013).</w:t>
      </w:r>
      <w:r>
        <w:t xml:space="preserve"> </w:t>
      </w:r>
      <w:hyperlink r:id="rId119">
        <w:r>
          <w:rPr>
            <w:rStyle w:val="Hyperlink"/>
          </w:rPr>
          <w:t xml:space="preserve">Orchestrated intron retention regulates normal granulocyte differentiation</w:t>
        </w:r>
      </w:hyperlink>
      <w:r>
        <w:t xml:space="preserve">.</w:t>
      </w:r>
      <w:r>
        <w:t xml:space="preserve"> </w:t>
      </w:r>
      <w:r>
        <w:rPr>
          <w:iCs/>
          <w:i/>
        </w:rPr>
        <w:t xml:space="preserve">Cell</w:t>
      </w:r>
      <w:r>
        <w:t xml:space="preserve"> </w:t>
      </w:r>
      <w:r>
        <w:rPr>
          <w:bCs/>
          <w:b/>
        </w:rPr>
        <w:t xml:space="preserve">154</w:t>
      </w:r>
      <w:r>
        <w:t xml:space="preserve">, 583–595.</w:t>
      </w:r>
    </w:p>
    <w:bookmarkEnd w:id="120"/>
    <w:bookmarkStart w:id="122" w:name="ref-wong_intron_2016"/>
    <w:p>
      <w:pPr>
        <w:pStyle w:val="Bibliography"/>
      </w:pPr>
      <w:r>
        <w:rPr>
          <w:bCs/>
          <w:b/>
        </w:rPr>
        <w:t xml:space="preserve">Wong, J. J.-L., Au, A. Y. M., Ritchie, W. and Rasko, J. E. J.</w:t>
      </w:r>
      <w:r>
        <w:t xml:space="preserve"> </w:t>
      </w:r>
      <w:r>
        <w:t xml:space="preserve">(2016).</w:t>
      </w:r>
      <w:r>
        <w:t xml:space="preserve"> </w:t>
      </w:r>
      <w:hyperlink r:id="rId121">
        <w:r>
          <w:rPr>
            <w:rStyle w:val="Hyperlink"/>
          </w:rPr>
          <w:t xml:space="preserve">Intron retention in</w:t>
        </w:r>
        <w:r>
          <w:rPr>
            <w:rStyle w:val="Hyperlink"/>
          </w:rPr>
          <w:t xml:space="preserve"> </w:t>
        </w:r>
        <w:r>
          <w:rPr>
            <w:rStyle w:val="Hyperlink"/>
          </w:rPr>
          <w:t xml:space="preserve">mRNA</w:t>
        </w:r>
        <w:r>
          <w:rPr>
            <w:rStyle w:val="Hyperlink"/>
          </w:rPr>
          <w:t xml:space="preserve">: No longer nonsense: Known and putative roles of intron retention in normal and disease biology.</w:t>
        </w:r>
      </w:hyperlink>
      <w:r>
        <w:t xml:space="preserve"> </w:t>
      </w:r>
      <w:r>
        <w:rPr>
          <w:iCs/>
          <w:i/>
        </w:rPr>
        <w:t xml:space="preserve">Bioessays</w:t>
      </w:r>
      <w:r>
        <w:t xml:space="preserve"> </w:t>
      </w:r>
      <w:r>
        <w:rPr>
          <w:bCs/>
          <w:b/>
        </w:rPr>
        <w:t xml:space="preserve">38</w:t>
      </w:r>
      <w:r>
        <w:t xml:space="preserve">, 41–49.</w:t>
      </w:r>
    </w:p>
    <w:bookmarkEnd w:id="122"/>
    <w:bookmarkStart w:id="123" w:name="ref-zheng_intron_2020"/>
    <w:p>
      <w:pPr>
        <w:pStyle w:val="Bibliography"/>
      </w:pPr>
      <w:r>
        <w:rPr>
          <w:bCs/>
          <w:b/>
        </w:rPr>
        <w:t xml:space="preserve">Zheng, J.-T., Lin, C.-X., Fang, Z.-Y. and Li, H.-D.</w:t>
      </w:r>
      <w:r>
        <w:t xml:space="preserve"> </w:t>
      </w:r>
      <w:r>
        <w:t xml:space="preserve">(2020). Intron retention as a mode for</w:t>
      </w:r>
      <w:r>
        <w:t xml:space="preserve"> </w:t>
      </w:r>
      <w:r>
        <w:t xml:space="preserve">RNA</w:t>
      </w:r>
      <w:r>
        <w:t xml:space="preserve">-seq data analysis.</w:t>
      </w:r>
      <w:r>
        <w:t xml:space="preserve"> </w:t>
      </w:r>
      <w:r>
        <w:rPr>
          <w:iCs/>
          <w:i/>
        </w:rPr>
        <w:t xml:space="preserve">Frontiers in genetics</w:t>
      </w:r>
      <w:r>
        <w:t xml:space="preserve"> </w:t>
      </w:r>
      <w:r>
        <w:rPr>
          <w:bCs/>
          <w:b/>
        </w:rPr>
        <w:t xml:space="preserve">11</w:t>
      </w:r>
      <w:r>
        <w:t xml:space="preserve">, 586.</w:t>
      </w:r>
    </w:p>
    <w:bookmarkEnd w:id="123"/>
    <w:bookmarkEnd w:id="124"/>
    <w:bookmarkEnd w:id="125"/>
    <w:bookmarkEnd w:id="126"/>
    <w:bookmarkEnd w:id="127"/>
    <w:sectPr w:rsidR="0082747B" w:rsidRPr="00664515" w:rsidSect="00664515">
      <w:headerReference r:id="rId9" w:type="default"/>
      <w:pgSz w:h="15840" w:w="12240"/>
      <w:pgMar w:bottom="1417" w:footer="708" w:gutter="0" w:header="708" w:left="1417" w:right="1417" w:top="1417"/>
      <w:lnNumType w:countBy="1" w:restart="continuous"/>
      <w:cols w:space="708"/>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18523016"/>
      <w:docPartObj>
        <w:docPartGallery w:val="Page Numbers (Top of Page)"/>
        <w:docPartUnique/>
      </w:docPartObj>
    </w:sdtPr>
    <w:sdtContent>
      <w:p w14:paraId="48601AD3" w14:textId="77777777" w:rsidR="00000000" w:rsidRDefault="00000000">
        <w:pPr>
          <w:pStyle w:val="Topptekst"/>
          <w:jc w:val="right"/>
        </w:pPr>
        <w:r>
          <w:fldChar w:fldCharType="begin"/>
        </w:r>
        <w:r>
          <w:instrText>PAGE   \* MERGEFORMAT</w:instrText>
        </w:r>
        <w:r>
          <w:fldChar w:fldCharType="separate"/>
        </w:r>
        <w:r>
          <w:rPr>
            <w:lang w:val="nb-NO"/>
          </w:rPr>
          <w:t>2</w:t>
        </w:r>
        <w:r>
          <w:fldChar w:fldCharType="end"/>
        </w:r>
      </w:p>
    </w:sdtContent>
  </w:sdt>
  <w:p w14:paraId="29F1F56F" w14:textId="77777777" w:rsidR="00000000" w:rsidRDefault="00000000">
    <w:pPr>
      <w:pStyle w:val="Topptekst"/>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b-NO"/>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kern w:val="2"/>
        <w:sz w:val="22"/>
        <w:szCs w:val="22"/>
        <w:lang w:bidi="ar-SA" w:eastAsia="en-US" w:val="nb-NO"/>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664515"/>
    <w:pPr>
      <w:spacing w:after="200" w:line="240" w:lineRule="auto"/>
    </w:pPr>
    <w:rPr>
      <w:kern w:val="0"/>
      <w:sz w:val="24"/>
      <w:szCs w:val="24"/>
      <w:lang w:val="en-US"/>
      <w14:ligatures w14:val="none"/>
    </w:rPr>
  </w:style>
  <w:style w:styleId="Overskrift1" w:type="paragraph">
    <w:name w:val="heading 1"/>
    <w:basedOn w:val="Normal"/>
    <w:next w:val="Normal"/>
    <w:link w:val="Overskrift1Tegn"/>
    <w:uiPriority w:val="9"/>
    <w:qFormat/>
    <w:rsid w:val="00664515"/>
    <w:pPr>
      <w:keepNext/>
      <w:keepLines/>
      <w:spacing w:after="80" w:before="360" w:line="259" w:lineRule="auto"/>
      <w:outlineLvl w:val="0"/>
    </w:pPr>
    <w:rPr>
      <w:rFonts w:asciiTheme="majorHAnsi" w:cstheme="majorBidi" w:eastAsiaTheme="majorEastAsia" w:hAnsiTheme="majorHAnsi"/>
      <w:color w:themeColor="accent1" w:themeShade="BF" w:val="0F4761"/>
      <w:kern w:val="2"/>
      <w:sz w:val="40"/>
      <w:szCs w:val="40"/>
      <w:lang w:val="nb-NO"/>
      <w14:ligatures w14:val="standardContextual"/>
    </w:rPr>
  </w:style>
  <w:style w:styleId="Overskrift2" w:type="paragraph">
    <w:name w:val="heading 2"/>
    <w:basedOn w:val="Normal"/>
    <w:next w:val="Normal"/>
    <w:link w:val="Overskrift2Tegn"/>
    <w:uiPriority w:val="9"/>
    <w:unhideWhenUsed/>
    <w:qFormat/>
    <w:rsid w:val="00664515"/>
    <w:pPr>
      <w:keepNext/>
      <w:keepLines/>
      <w:spacing w:after="80" w:before="160" w:line="259" w:lineRule="auto"/>
      <w:outlineLvl w:val="1"/>
    </w:pPr>
    <w:rPr>
      <w:rFonts w:asciiTheme="majorHAnsi" w:cstheme="majorBidi" w:eastAsiaTheme="majorEastAsia" w:hAnsiTheme="majorHAnsi"/>
      <w:color w:themeColor="accent1" w:themeShade="BF" w:val="0F4761"/>
      <w:kern w:val="2"/>
      <w:sz w:val="32"/>
      <w:szCs w:val="32"/>
      <w:lang w:val="nb-NO"/>
      <w14:ligatures w14:val="standardContextual"/>
    </w:rPr>
  </w:style>
  <w:style w:styleId="Overskrift3" w:type="paragraph">
    <w:name w:val="heading 3"/>
    <w:basedOn w:val="Normal"/>
    <w:next w:val="Normal"/>
    <w:link w:val="Overskrift3Tegn"/>
    <w:uiPriority w:val="9"/>
    <w:unhideWhenUsed/>
    <w:qFormat/>
    <w:rsid w:val="00664515"/>
    <w:pPr>
      <w:keepNext/>
      <w:keepLines/>
      <w:spacing w:after="80" w:before="160" w:line="259" w:lineRule="auto"/>
      <w:outlineLvl w:val="2"/>
    </w:pPr>
    <w:rPr>
      <w:rFonts w:cstheme="majorBidi" w:eastAsiaTheme="majorEastAsia"/>
      <w:color w:themeColor="accent1" w:themeShade="BF" w:val="0F4761"/>
      <w:kern w:val="2"/>
      <w:sz w:val="28"/>
      <w:szCs w:val="28"/>
      <w:lang w:val="nb-NO"/>
      <w14:ligatures w14:val="standardContextual"/>
    </w:rPr>
  </w:style>
  <w:style w:styleId="Overskrift4" w:type="paragraph">
    <w:name w:val="heading 4"/>
    <w:basedOn w:val="Normal"/>
    <w:next w:val="Normal"/>
    <w:link w:val="Overskrift4Tegn"/>
    <w:uiPriority w:val="9"/>
    <w:unhideWhenUsed/>
    <w:qFormat/>
    <w:rsid w:val="00664515"/>
    <w:pPr>
      <w:keepNext/>
      <w:keepLines/>
      <w:spacing w:after="40" w:before="80" w:line="259" w:lineRule="auto"/>
      <w:outlineLvl w:val="3"/>
    </w:pPr>
    <w:rPr>
      <w:rFonts w:cstheme="majorBidi" w:eastAsiaTheme="majorEastAsia"/>
      <w:i/>
      <w:iCs/>
      <w:color w:themeColor="accent1" w:themeShade="BF" w:val="0F4761"/>
      <w:kern w:val="2"/>
      <w:sz w:val="22"/>
      <w:szCs w:val="22"/>
      <w:lang w:val="nb-NO"/>
      <w14:ligatures w14:val="standardContextual"/>
    </w:rPr>
  </w:style>
  <w:style w:styleId="Overskrift5" w:type="paragraph">
    <w:name w:val="heading 5"/>
    <w:basedOn w:val="Normal"/>
    <w:next w:val="Normal"/>
    <w:link w:val="Overskrift5Tegn"/>
    <w:uiPriority w:val="9"/>
    <w:semiHidden/>
    <w:unhideWhenUsed/>
    <w:qFormat/>
    <w:rsid w:val="00664515"/>
    <w:pPr>
      <w:keepNext/>
      <w:keepLines/>
      <w:spacing w:after="40" w:before="80" w:line="259" w:lineRule="auto"/>
      <w:outlineLvl w:val="4"/>
    </w:pPr>
    <w:rPr>
      <w:rFonts w:cstheme="majorBidi" w:eastAsiaTheme="majorEastAsia"/>
      <w:color w:themeColor="accent1" w:themeShade="BF" w:val="0F4761"/>
      <w:kern w:val="2"/>
      <w:sz w:val="22"/>
      <w:szCs w:val="22"/>
      <w:lang w:val="nb-NO"/>
      <w14:ligatures w14:val="standardContextual"/>
    </w:rPr>
  </w:style>
  <w:style w:styleId="Overskrift6" w:type="paragraph">
    <w:name w:val="heading 6"/>
    <w:basedOn w:val="Normal"/>
    <w:next w:val="Normal"/>
    <w:link w:val="Overskrift6Tegn"/>
    <w:uiPriority w:val="9"/>
    <w:semiHidden/>
    <w:unhideWhenUsed/>
    <w:qFormat/>
    <w:rsid w:val="00664515"/>
    <w:pPr>
      <w:keepNext/>
      <w:keepLines/>
      <w:spacing w:after="0" w:before="40" w:line="259" w:lineRule="auto"/>
      <w:outlineLvl w:val="5"/>
    </w:pPr>
    <w:rPr>
      <w:rFonts w:cstheme="majorBidi" w:eastAsiaTheme="majorEastAsia"/>
      <w:i/>
      <w:iCs/>
      <w:color w:themeColor="text1" w:themeTint="A6" w:val="595959"/>
      <w:kern w:val="2"/>
      <w:sz w:val="22"/>
      <w:szCs w:val="22"/>
      <w:lang w:val="nb-NO"/>
      <w14:ligatures w14:val="standardContextual"/>
    </w:rPr>
  </w:style>
  <w:style w:styleId="Overskrift7" w:type="paragraph">
    <w:name w:val="heading 7"/>
    <w:basedOn w:val="Normal"/>
    <w:next w:val="Normal"/>
    <w:link w:val="Overskrift7Tegn"/>
    <w:uiPriority w:val="9"/>
    <w:semiHidden/>
    <w:unhideWhenUsed/>
    <w:qFormat/>
    <w:rsid w:val="00664515"/>
    <w:pPr>
      <w:keepNext/>
      <w:keepLines/>
      <w:spacing w:after="0" w:before="40" w:line="259" w:lineRule="auto"/>
      <w:outlineLvl w:val="6"/>
    </w:pPr>
    <w:rPr>
      <w:rFonts w:cstheme="majorBidi" w:eastAsiaTheme="majorEastAsia"/>
      <w:color w:themeColor="text1" w:themeTint="A6" w:val="595959"/>
      <w:kern w:val="2"/>
      <w:sz w:val="22"/>
      <w:szCs w:val="22"/>
      <w:lang w:val="nb-NO"/>
      <w14:ligatures w14:val="standardContextual"/>
    </w:rPr>
  </w:style>
  <w:style w:styleId="Overskrift8" w:type="paragraph">
    <w:name w:val="heading 8"/>
    <w:basedOn w:val="Normal"/>
    <w:next w:val="Normal"/>
    <w:link w:val="Overskrift8Tegn"/>
    <w:uiPriority w:val="9"/>
    <w:semiHidden/>
    <w:unhideWhenUsed/>
    <w:qFormat/>
    <w:rsid w:val="00664515"/>
    <w:pPr>
      <w:keepNext/>
      <w:keepLines/>
      <w:spacing w:after="0" w:line="259" w:lineRule="auto"/>
      <w:outlineLvl w:val="7"/>
    </w:pPr>
    <w:rPr>
      <w:rFonts w:cstheme="majorBidi" w:eastAsiaTheme="majorEastAsia"/>
      <w:i/>
      <w:iCs/>
      <w:color w:themeColor="text1" w:themeTint="D8" w:val="272727"/>
      <w:kern w:val="2"/>
      <w:sz w:val="22"/>
      <w:szCs w:val="22"/>
      <w:lang w:val="nb-NO"/>
      <w14:ligatures w14:val="standardContextual"/>
    </w:rPr>
  </w:style>
  <w:style w:styleId="Overskrift9" w:type="paragraph">
    <w:name w:val="heading 9"/>
    <w:basedOn w:val="Normal"/>
    <w:next w:val="Normal"/>
    <w:link w:val="Overskrift9Tegn"/>
    <w:uiPriority w:val="9"/>
    <w:semiHidden/>
    <w:unhideWhenUsed/>
    <w:qFormat/>
    <w:rsid w:val="00664515"/>
    <w:pPr>
      <w:keepNext/>
      <w:keepLines/>
      <w:spacing w:after="0" w:line="259" w:lineRule="auto"/>
      <w:outlineLvl w:val="8"/>
    </w:pPr>
    <w:rPr>
      <w:rFonts w:cstheme="majorBidi" w:eastAsiaTheme="majorEastAsia"/>
      <w:color w:themeColor="text1" w:themeTint="D8" w:val="272727"/>
      <w:kern w:val="2"/>
      <w:sz w:val="22"/>
      <w:szCs w:val="22"/>
      <w:lang w:val="nb-NO"/>
      <w14:ligatures w14:val="standardContextual"/>
    </w:rPr>
  </w:style>
  <w:style w:default="1" w:styleId="Standardskriftforavsnitt" w:type="character">
    <w:name w:val="Default Paragraph Font"/>
    <w:uiPriority w:val="1"/>
    <w:semiHidden/>
    <w:unhideWhenUsed/>
  </w:style>
  <w:style w:default="1" w:styleId="Vanligtabell" w:type="table">
    <w:name w:val="Normal Table"/>
    <w:uiPriority w:val="99"/>
    <w:semiHidden/>
    <w:unhideWhenUsed/>
    <w:tblPr>
      <w:tblInd w:type="dxa" w:w="0"/>
      <w:tblCellMar>
        <w:top w:type="dxa" w:w="0"/>
        <w:left w:type="dxa" w:w="108"/>
        <w:bottom w:type="dxa" w:w="0"/>
        <w:right w:type="dxa" w:w="108"/>
      </w:tblCellMar>
    </w:tblPr>
  </w:style>
  <w:style w:default="1" w:styleId="Ingenliste" w:type="numbering">
    <w:name w:val="No List"/>
    <w:uiPriority w:val="99"/>
    <w:semiHidden/>
    <w:unhideWhenUsed/>
  </w:style>
  <w:style w:customStyle="1" w:styleId="Overskrift1Tegn" w:type="character">
    <w:name w:val="Overskrift 1 Tegn"/>
    <w:basedOn w:val="Standardskriftforavsnitt"/>
    <w:link w:val="Overskrift1"/>
    <w:uiPriority w:val="9"/>
    <w:rsid w:val="00664515"/>
    <w:rPr>
      <w:rFonts w:asciiTheme="majorHAnsi" w:cstheme="majorBidi" w:eastAsiaTheme="majorEastAsia" w:hAnsiTheme="majorHAnsi"/>
      <w:color w:themeColor="accent1" w:themeShade="BF" w:val="0F4761"/>
      <w:sz w:val="40"/>
      <w:szCs w:val="40"/>
    </w:rPr>
  </w:style>
  <w:style w:customStyle="1" w:styleId="Overskrift2Tegn" w:type="character">
    <w:name w:val="Overskrift 2 Tegn"/>
    <w:basedOn w:val="Standardskriftforavsnitt"/>
    <w:link w:val="Overskrift2"/>
    <w:uiPriority w:val="9"/>
    <w:rsid w:val="00664515"/>
    <w:rPr>
      <w:rFonts w:asciiTheme="majorHAnsi" w:cstheme="majorBidi" w:eastAsiaTheme="majorEastAsia" w:hAnsiTheme="majorHAnsi"/>
      <w:color w:themeColor="accent1" w:themeShade="BF" w:val="0F4761"/>
      <w:sz w:val="32"/>
      <w:szCs w:val="32"/>
    </w:rPr>
  </w:style>
  <w:style w:customStyle="1" w:styleId="Overskrift3Tegn" w:type="character">
    <w:name w:val="Overskrift 3 Tegn"/>
    <w:basedOn w:val="Standardskriftforavsnitt"/>
    <w:link w:val="Overskrift3"/>
    <w:uiPriority w:val="9"/>
    <w:semiHidden/>
    <w:rsid w:val="00664515"/>
    <w:rPr>
      <w:rFonts w:cstheme="majorBidi" w:eastAsiaTheme="majorEastAsia"/>
      <w:color w:themeColor="accent1" w:themeShade="BF" w:val="0F4761"/>
      <w:sz w:val="28"/>
      <w:szCs w:val="28"/>
    </w:rPr>
  </w:style>
  <w:style w:customStyle="1" w:styleId="Overskrift4Tegn" w:type="character">
    <w:name w:val="Overskrift 4 Tegn"/>
    <w:basedOn w:val="Standardskriftforavsnitt"/>
    <w:link w:val="Overskrift4"/>
    <w:uiPriority w:val="9"/>
    <w:semiHidden/>
    <w:rsid w:val="00664515"/>
    <w:rPr>
      <w:rFonts w:cstheme="majorBidi" w:eastAsiaTheme="majorEastAsia"/>
      <w:i/>
      <w:iCs/>
      <w:color w:themeColor="accent1" w:themeShade="BF" w:val="0F4761"/>
    </w:rPr>
  </w:style>
  <w:style w:customStyle="1" w:styleId="Overskrift5Tegn" w:type="character">
    <w:name w:val="Overskrift 5 Tegn"/>
    <w:basedOn w:val="Standardskriftforavsnitt"/>
    <w:link w:val="Overskrift5"/>
    <w:uiPriority w:val="9"/>
    <w:semiHidden/>
    <w:rsid w:val="00664515"/>
    <w:rPr>
      <w:rFonts w:cstheme="majorBidi" w:eastAsiaTheme="majorEastAsia"/>
      <w:color w:themeColor="accent1" w:themeShade="BF" w:val="0F4761"/>
    </w:rPr>
  </w:style>
  <w:style w:customStyle="1" w:styleId="Overskrift6Tegn" w:type="character">
    <w:name w:val="Overskrift 6 Tegn"/>
    <w:basedOn w:val="Standardskriftforavsnitt"/>
    <w:link w:val="Overskrift6"/>
    <w:uiPriority w:val="9"/>
    <w:semiHidden/>
    <w:rsid w:val="00664515"/>
    <w:rPr>
      <w:rFonts w:cstheme="majorBidi" w:eastAsiaTheme="majorEastAsia"/>
      <w:i/>
      <w:iCs/>
      <w:color w:themeColor="text1" w:themeTint="A6" w:val="595959"/>
    </w:rPr>
  </w:style>
  <w:style w:customStyle="1" w:styleId="Overskrift7Tegn" w:type="character">
    <w:name w:val="Overskrift 7 Tegn"/>
    <w:basedOn w:val="Standardskriftforavsnitt"/>
    <w:link w:val="Overskrift7"/>
    <w:uiPriority w:val="9"/>
    <w:semiHidden/>
    <w:rsid w:val="00664515"/>
    <w:rPr>
      <w:rFonts w:cstheme="majorBidi" w:eastAsiaTheme="majorEastAsia"/>
      <w:color w:themeColor="text1" w:themeTint="A6" w:val="595959"/>
    </w:rPr>
  </w:style>
  <w:style w:customStyle="1" w:styleId="Overskrift8Tegn" w:type="character">
    <w:name w:val="Overskrift 8 Tegn"/>
    <w:basedOn w:val="Standardskriftforavsnitt"/>
    <w:link w:val="Overskrift8"/>
    <w:uiPriority w:val="9"/>
    <w:semiHidden/>
    <w:rsid w:val="00664515"/>
    <w:rPr>
      <w:rFonts w:cstheme="majorBidi" w:eastAsiaTheme="majorEastAsia"/>
      <w:i/>
      <w:iCs/>
      <w:color w:themeColor="text1" w:themeTint="D8" w:val="272727"/>
    </w:rPr>
  </w:style>
  <w:style w:customStyle="1" w:styleId="Overskrift9Tegn" w:type="character">
    <w:name w:val="Overskrift 9 Tegn"/>
    <w:basedOn w:val="Standardskriftforavsnitt"/>
    <w:link w:val="Overskrift9"/>
    <w:uiPriority w:val="9"/>
    <w:semiHidden/>
    <w:rsid w:val="00664515"/>
    <w:rPr>
      <w:rFonts w:cstheme="majorBidi" w:eastAsiaTheme="majorEastAsia"/>
      <w:color w:themeColor="text1" w:themeTint="D8" w:val="272727"/>
    </w:rPr>
  </w:style>
  <w:style w:styleId="Tittel" w:type="paragraph">
    <w:name w:val="Title"/>
    <w:basedOn w:val="Normal"/>
    <w:next w:val="Normal"/>
    <w:link w:val="TittelTegn"/>
    <w:qFormat/>
    <w:rsid w:val="00664515"/>
    <w:pPr>
      <w:spacing w:after="80"/>
      <w:contextualSpacing/>
    </w:pPr>
    <w:rPr>
      <w:rFonts w:asciiTheme="majorHAnsi" w:cstheme="majorBidi" w:eastAsiaTheme="majorEastAsia" w:hAnsiTheme="majorHAnsi"/>
      <w:spacing w:val="-10"/>
      <w:kern w:val="28"/>
      <w:sz w:val="56"/>
      <w:szCs w:val="56"/>
      <w:lang w:val="nb-NO"/>
      <w14:ligatures w14:val="standardContextual"/>
    </w:rPr>
  </w:style>
  <w:style w:customStyle="1" w:styleId="TittelTegn" w:type="character">
    <w:name w:val="Tittel Tegn"/>
    <w:basedOn w:val="Standardskriftforavsnitt"/>
    <w:link w:val="Tittel"/>
    <w:uiPriority w:val="10"/>
    <w:rsid w:val="00664515"/>
    <w:rPr>
      <w:rFonts w:asciiTheme="majorHAnsi" w:cstheme="majorBidi" w:eastAsiaTheme="majorEastAsia" w:hAnsiTheme="majorHAnsi"/>
      <w:spacing w:val="-10"/>
      <w:kern w:val="28"/>
      <w:sz w:val="56"/>
      <w:szCs w:val="56"/>
    </w:rPr>
  </w:style>
  <w:style w:styleId="Undertittel" w:type="paragraph">
    <w:name w:val="Subtitle"/>
    <w:basedOn w:val="Normal"/>
    <w:next w:val="Normal"/>
    <w:link w:val="UndertittelTegn"/>
    <w:uiPriority w:val="11"/>
    <w:qFormat/>
    <w:rsid w:val="00664515"/>
    <w:pPr>
      <w:numPr>
        <w:ilvl w:val="1"/>
      </w:numPr>
      <w:spacing w:after="160" w:line="259" w:lineRule="auto"/>
    </w:pPr>
    <w:rPr>
      <w:rFonts w:cstheme="majorBidi" w:eastAsiaTheme="majorEastAsia"/>
      <w:color w:themeColor="text1" w:themeTint="A6" w:val="595959"/>
      <w:spacing w:val="15"/>
      <w:kern w:val="2"/>
      <w:sz w:val="28"/>
      <w:szCs w:val="28"/>
      <w:lang w:val="nb-NO"/>
      <w14:ligatures w14:val="standardContextual"/>
    </w:rPr>
  </w:style>
  <w:style w:customStyle="1" w:styleId="UndertittelTegn" w:type="character">
    <w:name w:val="Undertittel Tegn"/>
    <w:basedOn w:val="Standardskriftforavsnitt"/>
    <w:link w:val="Undertittel"/>
    <w:uiPriority w:val="11"/>
    <w:rsid w:val="00664515"/>
    <w:rPr>
      <w:rFonts w:cstheme="majorBidi" w:eastAsiaTheme="majorEastAsia"/>
      <w:color w:themeColor="text1" w:themeTint="A6" w:val="595959"/>
      <w:spacing w:val="15"/>
      <w:sz w:val="28"/>
      <w:szCs w:val="28"/>
    </w:rPr>
  </w:style>
  <w:style w:styleId="Sitat" w:type="paragraph">
    <w:name w:val="Quote"/>
    <w:basedOn w:val="Normal"/>
    <w:next w:val="Normal"/>
    <w:link w:val="SitatTegn"/>
    <w:uiPriority w:val="29"/>
    <w:qFormat/>
    <w:rsid w:val="00664515"/>
    <w:pPr>
      <w:spacing w:after="160" w:before="160" w:line="259" w:lineRule="auto"/>
      <w:jc w:val="center"/>
    </w:pPr>
    <w:rPr>
      <w:i/>
      <w:iCs/>
      <w:color w:themeColor="text1" w:themeTint="BF" w:val="404040"/>
      <w:kern w:val="2"/>
      <w:sz w:val="22"/>
      <w:szCs w:val="22"/>
      <w:lang w:val="nb-NO"/>
      <w14:ligatures w14:val="standardContextual"/>
    </w:rPr>
  </w:style>
  <w:style w:customStyle="1" w:styleId="SitatTegn" w:type="character">
    <w:name w:val="Sitat Tegn"/>
    <w:basedOn w:val="Standardskriftforavsnitt"/>
    <w:link w:val="Sitat"/>
    <w:uiPriority w:val="29"/>
    <w:rsid w:val="00664515"/>
    <w:rPr>
      <w:i/>
      <w:iCs/>
      <w:color w:themeColor="text1" w:themeTint="BF" w:val="404040"/>
    </w:rPr>
  </w:style>
  <w:style w:styleId="Listeavsnitt" w:type="paragraph">
    <w:name w:val="List Paragraph"/>
    <w:basedOn w:val="Normal"/>
    <w:uiPriority w:val="34"/>
    <w:qFormat/>
    <w:rsid w:val="00664515"/>
    <w:pPr>
      <w:spacing w:after="160" w:line="259" w:lineRule="auto"/>
      <w:ind w:left="720"/>
      <w:contextualSpacing/>
    </w:pPr>
    <w:rPr>
      <w:kern w:val="2"/>
      <w:sz w:val="22"/>
      <w:szCs w:val="22"/>
      <w:lang w:val="nb-NO"/>
      <w14:ligatures w14:val="standardContextual"/>
    </w:rPr>
  </w:style>
  <w:style w:styleId="Sterkutheving" w:type="character">
    <w:name w:val="Intense Emphasis"/>
    <w:basedOn w:val="Standardskriftforavsnitt"/>
    <w:uiPriority w:val="21"/>
    <w:qFormat/>
    <w:rsid w:val="00664515"/>
    <w:rPr>
      <w:i/>
      <w:iCs/>
      <w:color w:themeColor="accent1" w:themeShade="BF" w:val="0F4761"/>
    </w:rPr>
  </w:style>
  <w:style w:styleId="Sterktsitat" w:type="paragraph">
    <w:name w:val="Intense Quote"/>
    <w:basedOn w:val="Normal"/>
    <w:next w:val="Normal"/>
    <w:link w:val="SterktsitatTegn"/>
    <w:uiPriority w:val="30"/>
    <w:qFormat/>
    <w:rsid w:val="00664515"/>
    <w:pPr>
      <w:pBdr>
        <w:top w:color="0F4761" w:space="10" w:sz="4" w:themeColor="accent1" w:themeShade="BF" w:val="single"/>
        <w:bottom w:color="0F4761" w:space="10" w:sz="4" w:themeColor="accent1" w:themeShade="BF" w:val="single"/>
      </w:pBdr>
      <w:spacing w:after="360" w:before="360" w:line="259" w:lineRule="auto"/>
      <w:ind w:left="864" w:right="864"/>
      <w:jc w:val="center"/>
    </w:pPr>
    <w:rPr>
      <w:i/>
      <w:iCs/>
      <w:color w:themeColor="accent1" w:themeShade="BF" w:val="0F4761"/>
      <w:kern w:val="2"/>
      <w:sz w:val="22"/>
      <w:szCs w:val="22"/>
      <w:lang w:val="nb-NO"/>
      <w14:ligatures w14:val="standardContextual"/>
    </w:rPr>
  </w:style>
  <w:style w:customStyle="1" w:styleId="SterktsitatTegn" w:type="character">
    <w:name w:val="Sterkt sitat Tegn"/>
    <w:basedOn w:val="Standardskriftforavsnitt"/>
    <w:link w:val="Sterktsitat"/>
    <w:uiPriority w:val="30"/>
    <w:rsid w:val="00664515"/>
    <w:rPr>
      <w:i/>
      <w:iCs/>
      <w:color w:themeColor="accent1" w:themeShade="BF" w:val="0F4761"/>
    </w:rPr>
  </w:style>
  <w:style w:styleId="Sterkreferanse" w:type="character">
    <w:name w:val="Intense Reference"/>
    <w:basedOn w:val="Standardskriftforavsnitt"/>
    <w:uiPriority w:val="32"/>
    <w:qFormat/>
    <w:rsid w:val="00664515"/>
    <w:rPr>
      <w:b/>
      <w:bCs/>
      <w:smallCaps/>
      <w:color w:themeColor="accent1" w:themeShade="BF" w:val="0F4761"/>
      <w:spacing w:val="5"/>
    </w:rPr>
  </w:style>
  <w:style w:styleId="Brdtekst" w:type="paragraph">
    <w:name w:val="Body Text"/>
    <w:basedOn w:val="Normal"/>
    <w:link w:val="BrdtekstTegn"/>
    <w:qFormat/>
    <w:rsid w:val="00664515"/>
    <w:pPr>
      <w:spacing w:after="180" w:before="180" w:line="480" w:lineRule="auto"/>
    </w:pPr>
    <w:rPr>
      <w:rFonts w:ascii="Times New Roman" w:hAnsi="Times New Roman"/>
    </w:rPr>
  </w:style>
  <w:style w:customStyle="1" w:styleId="BrdtekstTegn" w:type="character">
    <w:name w:val="Brødtekst Tegn"/>
    <w:basedOn w:val="Standardskriftforavsnitt"/>
    <w:link w:val="Brdtekst"/>
    <w:rsid w:val="00664515"/>
    <w:rPr>
      <w:rFonts w:ascii="Times New Roman" w:hAnsi="Times New Roman"/>
      <w:kern w:val="0"/>
      <w:sz w:val="24"/>
      <w:szCs w:val="24"/>
      <w:lang w:val="en-US"/>
      <w14:ligatures w14:val="none"/>
    </w:rPr>
  </w:style>
  <w:style w:customStyle="1" w:styleId="FirstParagraph" w:type="paragraph">
    <w:name w:val="First Paragraph"/>
    <w:basedOn w:val="Brdtekst"/>
    <w:next w:val="Brdtekst"/>
    <w:qFormat/>
    <w:rsid w:val="00664515"/>
  </w:style>
  <w:style w:customStyle="1" w:styleId="Author" w:type="paragraph">
    <w:name w:val="Author"/>
    <w:next w:val="Brdtekst"/>
    <w:qFormat/>
    <w:rsid w:val="00664515"/>
    <w:pPr>
      <w:keepNext/>
      <w:keepLines/>
      <w:spacing w:after="480" w:before="480" w:line="240" w:lineRule="auto"/>
      <w:ind w:left="567"/>
      <w:contextualSpacing/>
    </w:pPr>
    <w:rPr>
      <w:rFonts w:ascii="Times New Roman" w:hAnsi="Times New Roman"/>
      <w:kern w:val="0"/>
      <w:sz w:val="24"/>
      <w:szCs w:val="24"/>
      <w:lang w:val="en-US"/>
      <w14:ligatures w14:val="none"/>
    </w:rPr>
  </w:style>
  <w:style w:customStyle="1" w:styleId="abstracttitle" w:type="paragraph">
    <w:name w:val="abstracttitle"/>
    <w:basedOn w:val="Normal"/>
    <w:next w:val="Abstract"/>
    <w:qFormat/>
    <w:rsid w:val="00664515"/>
    <w:pPr>
      <w:keepNext/>
      <w:keepLines/>
      <w:pageBreakBefore/>
      <w:spacing w:after="0" w:before="300"/>
      <w:ind w:left="284"/>
    </w:pPr>
    <w:rPr>
      <w:rFonts w:ascii="Times New Roman" w:hAnsi="Times New Roman"/>
      <w:b/>
      <w:szCs w:val="20"/>
    </w:rPr>
  </w:style>
  <w:style w:customStyle="1" w:styleId="Abstract" w:type="paragraph">
    <w:name w:val="Abstract"/>
    <w:basedOn w:val="Normal"/>
    <w:next w:val="Brdtekst"/>
    <w:qFormat/>
    <w:rsid w:val="00664515"/>
    <w:pPr>
      <w:keepNext/>
      <w:keepLines/>
      <w:spacing w:after="300" w:before="100" w:line="480" w:lineRule="auto"/>
      <w:ind w:left="284"/>
    </w:pPr>
    <w:rPr>
      <w:rFonts w:ascii="Times New Roman" w:hAnsi="Times New Roman"/>
      <w:szCs w:val="20"/>
    </w:rPr>
  </w:style>
  <w:style w:customStyle="1" w:styleId="author-meta" w:type="paragraph">
    <w:name w:val="author-meta"/>
    <w:basedOn w:val="Overskrift2"/>
    <w:link w:val="author-metaTegn"/>
    <w:qFormat/>
    <w:rsid w:val="00664515"/>
    <w:pPr>
      <w:spacing w:after="0" w:before="0" w:line="240" w:lineRule="auto"/>
      <w:ind w:left="567"/>
      <w:contextualSpacing/>
    </w:pPr>
    <w:rPr>
      <w:rFonts w:ascii="Times New Roman" w:hAnsi="Times New Roman"/>
      <w:bCs/>
      <w:kern w:val="0"/>
      <w:sz w:val="24"/>
      <w:szCs w:val="28"/>
      <w:lang w:val="en-US"/>
      <w14:ligatures w14:val="none"/>
    </w:rPr>
  </w:style>
  <w:style w:customStyle="1" w:styleId="author-metaTegn" w:type="character">
    <w:name w:val="author-meta Tegn"/>
    <w:basedOn w:val="Overskrift2Tegn"/>
    <w:link w:val="author-meta"/>
    <w:rsid w:val="00664515"/>
    <w:rPr>
      <w:rFonts w:ascii="Times New Roman" w:cstheme="majorBidi" w:eastAsiaTheme="majorEastAsia" w:hAnsi="Times New Roman"/>
      <w:bCs/>
      <w:color w:themeColor="accent1" w:themeShade="BF" w:val="0F4761"/>
      <w:kern w:val="0"/>
      <w:sz w:val="24"/>
      <w:szCs w:val="28"/>
      <w:lang w:val="en-US"/>
      <w14:ligatures w14:val="none"/>
    </w:rPr>
  </w:style>
  <w:style w:styleId="Topptekst" w:type="paragraph">
    <w:name w:val="header"/>
    <w:basedOn w:val="Normal"/>
    <w:link w:val="TopptekstTegn"/>
    <w:uiPriority w:val="99"/>
    <w:rsid w:val="00664515"/>
    <w:pPr>
      <w:tabs>
        <w:tab w:pos="4536" w:val="center"/>
        <w:tab w:pos="9072" w:val="right"/>
      </w:tabs>
      <w:spacing w:after="0"/>
    </w:pPr>
  </w:style>
  <w:style w:customStyle="1" w:styleId="TopptekstTegn" w:type="character">
    <w:name w:val="Topptekst Tegn"/>
    <w:basedOn w:val="Standardskriftforavsnitt"/>
    <w:link w:val="Topptekst"/>
    <w:uiPriority w:val="99"/>
    <w:rsid w:val="00664515"/>
    <w:rPr>
      <w:kern w:val="0"/>
      <w:sz w:val="24"/>
      <w:szCs w:val="24"/>
      <w:lang w:val="en-US"/>
      <w14:ligatures w14:val="none"/>
    </w:rPr>
  </w:style>
  <w:style w:styleId="Linjenummer" w:type="character">
    <w:name w:val="line number"/>
    <w:basedOn w:val="Standardskriftforavsnitt"/>
    <w:uiPriority w:val="99"/>
    <w:semiHidden/>
    <w:unhideWhenUsed/>
    <w:rsid w:val="00664515"/>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hyperlink" Id="rId21" Target="%22Images_tables/Figure_2Ontology_high_se.png%22" TargetMode="External" /><Relationship Type="http://schemas.openxmlformats.org/officeDocument/2006/relationships/hyperlink" Id="rId70" Target="https://doi.org/10.1002/14651858.CD002759.pub2" TargetMode="External" /><Relationship Type="http://schemas.openxmlformats.org/officeDocument/2006/relationships/hyperlink" Id="rId121" Target="https://doi.org/10.1002/bies.201500117" TargetMode="External" /><Relationship Type="http://schemas.openxmlformats.org/officeDocument/2006/relationships/hyperlink" Id="rId55" Target="https://doi.org/10.1007/s00439-017-1791-x" TargetMode="External" /><Relationship Type="http://schemas.openxmlformats.org/officeDocument/2006/relationships/hyperlink" Id="rId66" Target="https://doi.org/10.1016/j.arr.2017.04.004" TargetMode="External" /><Relationship Type="http://schemas.openxmlformats.org/officeDocument/2006/relationships/hyperlink" Id="rId119" Target="https://doi.org/10.1016/j.cell.2013.06.052" TargetMode="External" /><Relationship Type="http://schemas.openxmlformats.org/officeDocument/2006/relationships/hyperlink" Id="rId106" Target="https://doi.org/10.1016/j.jmb.2017.06.019" TargetMode="External" /><Relationship Type="http://schemas.openxmlformats.org/officeDocument/2006/relationships/hyperlink" Id="rId87" Target="https://doi.org/10.1038/jhg.2015.24" TargetMode="External" /><Relationship Type="http://schemas.openxmlformats.org/officeDocument/2006/relationships/hyperlink" Id="rId57" Target="https://doi.org/10.1038/ng.3414" TargetMode="External" /><Relationship Type="http://schemas.openxmlformats.org/officeDocument/2006/relationships/hyperlink" Id="rId98" Target="https://doi.org/10.1038/s41586-020-2499-y" TargetMode="External" /><Relationship Type="http://schemas.openxmlformats.org/officeDocument/2006/relationships/hyperlink" Id="rId53" Target="https://doi.org/10.1038/s41588-021-00828-9" TargetMode="External" /><Relationship Type="http://schemas.openxmlformats.org/officeDocument/2006/relationships/hyperlink" Id="rId49" Target="https://doi.org/10.1038/s41588-022-01279-6" TargetMode="External" /><Relationship Type="http://schemas.openxmlformats.org/officeDocument/2006/relationships/hyperlink" Id="rId95" Target="https://doi.org/10.1038/s42003-022-03224-z" TargetMode="External" /><Relationship Type="http://schemas.openxmlformats.org/officeDocument/2006/relationships/hyperlink" Id="rId43" Target="https://doi.org/10.1038/s43587-022-00189-w" TargetMode="External" /><Relationship Type="http://schemas.openxmlformats.org/officeDocument/2006/relationships/hyperlink" Id="rId104" Target="https://doi.org/10.1093/ageing/afac143" TargetMode="External" /><Relationship Type="http://schemas.openxmlformats.org/officeDocument/2006/relationships/hyperlink" Id="rId115" Target="https://doi.org/10.1093/bioinformatics/btv642" TargetMode="External" /><Relationship Type="http://schemas.openxmlformats.org/officeDocument/2006/relationships/hyperlink" Id="rId83" Target="https://doi.org/10.1093/nar/gkz1068" TargetMode="External" /><Relationship Type="http://schemas.openxmlformats.org/officeDocument/2006/relationships/hyperlink" Id="rId75" Target="https://doi.org/10.1101/2022.03.14.484341" TargetMode="External" /><Relationship Type="http://schemas.openxmlformats.org/officeDocument/2006/relationships/hyperlink" Id="rId46" Target="https://doi.org/10.1101/2023.03.29.534370" TargetMode="External" /><Relationship Type="http://schemas.openxmlformats.org/officeDocument/2006/relationships/hyperlink" Id="rId62" Target="https://doi.org/10.1101/2024.04.25.591048" TargetMode="External" /><Relationship Type="http://schemas.openxmlformats.org/officeDocument/2006/relationships/hyperlink" Id="rId38" Target="https://doi.org/10.1101/gr.177790.114" TargetMode="External" /><Relationship Type="http://schemas.openxmlformats.org/officeDocument/2006/relationships/hyperlink" Id="rId31" Target="https://doi.org/10.1111/acel.12928" TargetMode="External" /><Relationship Type="http://schemas.openxmlformats.org/officeDocument/2006/relationships/hyperlink" Id="rId64" Target="https://doi.org/10.1111/j.1600-0838.2006.00575.x" TargetMode="External" /><Relationship Type="http://schemas.openxmlformats.org/officeDocument/2006/relationships/hyperlink" Id="rId41" Target="https://doi.org/10.1136/bmj.l4570" TargetMode="External" /><Relationship Type="http://schemas.openxmlformats.org/officeDocument/2006/relationships/hyperlink" Id="rId68" Target="https://doi.org/10.1186/1471-2105-12-323" TargetMode="External" /><Relationship Type="http://schemas.openxmlformats.org/officeDocument/2006/relationships/hyperlink" Id="rId60" Target="https://doi.org/10.1186/s12859-020-03866-y" TargetMode="External" /><Relationship Type="http://schemas.openxmlformats.org/officeDocument/2006/relationships/hyperlink" Id="rId81" Target="https://doi.org/10.1186/s12967-021-02969-1" TargetMode="External" /><Relationship Type="http://schemas.openxmlformats.org/officeDocument/2006/relationships/hyperlink" Id="rId79" Target="https://doi.org/10.1186/s13059-017-1184-4" TargetMode="External" /><Relationship Type="http://schemas.openxmlformats.org/officeDocument/2006/relationships/hyperlink" Id="rId100" Target="https://doi.org/10.1186/s13059-017-1339-3" TargetMode="External" /><Relationship Type="http://schemas.openxmlformats.org/officeDocument/2006/relationships/hyperlink" Id="rId92" Target="https://doi.org/10.1249/MSS.0b013e3181eb6265" TargetMode="External" /><Relationship Type="http://schemas.openxmlformats.org/officeDocument/2006/relationships/hyperlink" Id="rId34" Target="https://doi.org/10.3390/cells12242819" TargetMode="External" /><Relationship Type="http://schemas.openxmlformats.org/officeDocument/2006/relationships/hyperlink" Id="rId111" Target="https://doi.org/10.7554/eLife.49874" TargetMode="External" /><Relationship Type="http://schemas.openxmlformats.org/officeDocument/2006/relationships/hyperlink" Id="rId113" Target="https://doi.org/10.7554/eLife.74335" TargetMode="External" /><Relationship Type="http://schemas.openxmlformats.org/officeDocument/2006/relationships/hyperlink" Id="rId90" Target="https://doi.org/10.7554/elife.87811.2" TargetMode="External" /></Relationships>
</file>

<file path=word/_rels/footnotes.xml.rels><?xml version="1.0" encoding="UTF-8"?><Relationships xmlns="http://schemas.openxmlformats.org/package/2006/relationships"><Relationship Type="http://schemas.openxmlformats.org/officeDocument/2006/relationships/hyperlink" Id="rId21" Target="%22Images_tables/Figure_2Ontology_high_se.png%22" TargetMode="External" /><Relationship Type="http://schemas.openxmlformats.org/officeDocument/2006/relationships/hyperlink" Id="rId70" Target="https://doi.org/10.1002/14651858.CD002759.pub2" TargetMode="External" /><Relationship Type="http://schemas.openxmlformats.org/officeDocument/2006/relationships/hyperlink" Id="rId121" Target="https://doi.org/10.1002/bies.201500117" TargetMode="External" /><Relationship Type="http://schemas.openxmlformats.org/officeDocument/2006/relationships/hyperlink" Id="rId55" Target="https://doi.org/10.1007/s00439-017-1791-x" TargetMode="External" /><Relationship Type="http://schemas.openxmlformats.org/officeDocument/2006/relationships/hyperlink" Id="rId66" Target="https://doi.org/10.1016/j.arr.2017.04.004" TargetMode="External" /><Relationship Type="http://schemas.openxmlformats.org/officeDocument/2006/relationships/hyperlink" Id="rId119" Target="https://doi.org/10.1016/j.cell.2013.06.052" TargetMode="External" /><Relationship Type="http://schemas.openxmlformats.org/officeDocument/2006/relationships/hyperlink" Id="rId106" Target="https://doi.org/10.1016/j.jmb.2017.06.019" TargetMode="External" /><Relationship Type="http://schemas.openxmlformats.org/officeDocument/2006/relationships/hyperlink" Id="rId87" Target="https://doi.org/10.1038/jhg.2015.24" TargetMode="External" /><Relationship Type="http://schemas.openxmlformats.org/officeDocument/2006/relationships/hyperlink" Id="rId57" Target="https://doi.org/10.1038/ng.3414" TargetMode="External" /><Relationship Type="http://schemas.openxmlformats.org/officeDocument/2006/relationships/hyperlink" Id="rId98" Target="https://doi.org/10.1038/s41586-020-2499-y" TargetMode="External" /><Relationship Type="http://schemas.openxmlformats.org/officeDocument/2006/relationships/hyperlink" Id="rId53" Target="https://doi.org/10.1038/s41588-021-00828-9" TargetMode="External" /><Relationship Type="http://schemas.openxmlformats.org/officeDocument/2006/relationships/hyperlink" Id="rId49" Target="https://doi.org/10.1038/s41588-022-01279-6" TargetMode="External" /><Relationship Type="http://schemas.openxmlformats.org/officeDocument/2006/relationships/hyperlink" Id="rId95" Target="https://doi.org/10.1038/s42003-022-03224-z" TargetMode="External" /><Relationship Type="http://schemas.openxmlformats.org/officeDocument/2006/relationships/hyperlink" Id="rId43" Target="https://doi.org/10.1038/s43587-022-00189-w" TargetMode="External" /><Relationship Type="http://schemas.openxmlformats.org/officeDocument/2006/relationships/hyperlink" Id="rId104" Target="https://doi.org/10.1093/ageing/afac143" TargetMode="External" /><Relationship Type="http://schemas.openxmlformats.org/officeDocument/2006/relationships/hyperlink" Id="rId115" Target="https://doi.org/10.1093/bioinformatics/btv642" TargetMode="External" /><Relationship Type="http://schemas.openxmlformats.org/officeDocument/2006/relationships/hyperlink" Id="rId83" Target="https://doi.org/10.1093/nar/gkz1068" TargetMode="External" /><Relationship Type="http://schemas.openxmlformats.org/officeDocument/2006/relationships/hyperlink" Id="rId75" Target="https://doi.org/10.1101/2022.03.14.484341" TargetMode="External" /><Relationship Type="http://schemas.openxmlformats.org/officeDocument/2006/relationships/hyperlink" Id="rId46" Target="https://doi.org/10.1101/2023.03.29.534370" TargetMode="External" /><Relationship Type="http://schemas.openxmlformats.org/officeDocument/2006/relationships/hyperlink" Id="rId62" Target="https://doi.org/10.1101/2024.04.25.591048" TargetMode="External" /><Relationship Type="http://schemas.openxmlformats.org/officeDocument/2006/relationships/hyperlink" Id="rId38" Target="https://doi.org/10.1101/gr.177790.114" TargetMode="External" /><Relationship Type="http://schemas.openxmlformats.org/officeDocument/2006/relationships/hyperlink" Id="rId31" Target="https://doi.org/10.1111/acel.12928" TargetMode="External" /><Relationship Type="http://schemas.openxmlformats.org/officeDocument/2006/relationships/hyperlink" Id="rId64" Target="https://doi.org/10.1111/j.1600-0838.2006.00575.x" TargetMode="External" /><Relationship Type="http://schemas.openxmlformats.org/officeDocument/2006/relationships/hyperlink" Id="rId41" Target="https://doi.org/10.1136/bmj.l4570" TargetMode="External" /><Relationship Type="http://schemas.openxmlformats.org/officeDocument/2006/relationships/hyperlink" Id="rId68" Target="https://doi.org/10.1186/1471-2105-12-323" TargetMode="External" /><Relationship Type="http://schemas.openxmlformats.org/officeDocument/2006/relationships/hyperlink" Id="rId60" Target="https://doi.org/10.1186/s12859-020-03866-y" TargetMode="External" /><Relationship Type="http://schemas.openxmlformats.org/officeDocument/2006/relationships/hyperlink" Id="rId81" Target="https://doi.org/10.1186/s12967-021-02969-1" TargetMode="External" /><Relationship Type="http://schemas.openxmlformats.org/officeDocument/2006/relationships/hyperlink" Id="rId79" Target="https://doi.org/10.1186/s13059-017-1184-4" TargetMode="External" /><Relationship Type="http://schemas.openxmlformats.org/officeDocument/2006/relationships/hyperlink" Id="rId100" Target="https://doi.org/10.1186/s13059-017-1339-3" TargetMode="External" /><Relationship Type="http://schemas.openxmlformats.org/officeDocument/2006/relationships/hyperlink" Id="rId92" Target="https://doi.org/10.1249/MSS.0b013e3181eb6265" TargetMode="External" /><Relationship Type="http://schemas.openxmlformats.org/officeDocument/2006/relationships/hyperlink" Id="rId34" Target="https://doi.org/10.3390/cells12242819" TargetMode="External" /><Relationship Type="http://schemas.openxmlformats.org/officeDocument/2006/relationships/hyperlink" Id="rId111" Target="https://doi.org/10.7554/eLife.49874" TargetMode="External" /><Relationship Type="http://schemas.openxmlformats.org/officeDocument/2006/relationships/hyperlink" Id="rId113" Target="https://doi.org/10.7554/eLife.74335" TargetMode="External" /><Relationship Type="http://schemas.openxmlformats.org/officeDocument/2006/relationships/hyperlink" Id="rId90" Target="https://doi.org/10.7554/elife.87811.2" TargetMode="External"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82</Words>
  <Characters>438</Characters>
  <Application>Microsoft Office Word</Application>
  <DocSecurity>0</DocSecurity>
  <Lines>3</Lines>
  <Paragraphs>1</Paragraphs>
  <ScaleCrop>false</ScaleCrop>
  <Company>HINN</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age and resistance exercise training on intron retention</dc:title>
  <dc:creator>Chidimma Phoebe Echebiria,b, Kristian Lianb, Torkil Rogneflåtenb, Håvard Hamarslandb, Knut Sindre Mølmenb, Rafi Ahmada, Stian Ellefsenb, and Daniel Hammarströmb</dc:creator>
  <cp:keywords/>
  <dcterms:created xsi:type="dcterms:W3CDTF">2025-02-08T20:01:18Z</dcterms:created>
  <dcterms:modified xsi:type="dcterms:W3CDTF">2025-02-08T20:01:18Z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resources/My_Library.bib</vt:lpwstr>
  </property>
  <property fmtid="{D5CDD505-2E9C-101B-9397-08002B2CF9AE}" pid="5" name="by-author">
    <vt:lpwstr/>
  </property>
  <property fmtid="{D5CDD505-2E9C-101B-9397-08002B2CF9AE}" pid="6" name="csl">
    <vt:lpwstr>resources/journal-of-cell-science.csl</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arget_journal">
    <vt:lpwstr>https://journals.biologists.com/jcs</vt:lpwstr>
  </property>
  <property fmtid="{D5CDD505-2E9C-101B-9397-08002B2CF9AE}" pid="13" name="toc-title">
    <vt:lpwstr>Table of contents</vt:lpwstr>
  </property>
</Properties>
</file>