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Impact</w:t>
      </w:r>
      <w:r>
        <w:t xml:space="preserve"> </w:t>
      </w:r>
      <w:r>
        <w:t xml:space="preserve">of</w:t>
      </w:r>
      <w:r>
        <w:t xml:space="preserve"> </w:t>
      </w:r>
      <w:r>
        <w:t xml:space="preserve">age</w:t>
      </w:r>
      <w:r>
        <w:t xml:space="preserve"> </w:t>
      </w:r>
      <w:r>
        <w:t xml:space="preserve">and</w:t>
      </w:r>
      <w:r>
        <w:t xml:space="preserve"> </w:t>
      </w:r>
      <w:r>
        <w:t xml:space="preserve">exercise</w:t>
      </w:r>
      <w:r>
        <w:t xml:space="preserve"> </w:t>
      </w:r>
      <w:r>
        <w:t xml:space="preserve">on</w:t>
      </w:r>
      <w:r>
        <w:t xml:space="preserve"> </w:t>
      </w:r>
      <w:r>
        <w:t xml:space="preserve">intron</w:t>
      </w:r>
      <w:r>
        <w:t xml:space="preserve"> </w:t>
      </w:r>
      <w:r>
        <w:t xml:space="preserve">retention</w:t>
      </w:r>
    </w:p>
    <w:p>
      <w:pPr>
        <w:pStyle w:val="Author"/>
      </w:pPr>
      <w:r>
        <w:t xml:space="preserve">Chidimma</w:t>
      </w:r>
      <w:r>
        <w:t xml:space="preserve"> </w:t>
      </w:r>
      <w:r>
        <w:t xml:space="preserve">Phoebe</w:t>
      </w:r>
      <w:r>
        <w:t xml:space="preserve"> </w:t>
      </w:r>
      <w:r>
        <w:t xml:space="preserve">Echebiri</w:t>
      </w:r>
      <w:r>
        <w:rPr>
          <w:vertAlign w:val="superscript"/>
        </w:rPr>
        <w:t xml:space="preserve">a,b</w:t>
      </w:r>
      <w:r>
        <w:t xml:space="preserve">,</w:t>
      </w:r>
      <w:r>
        <w:t xml:space="preserve"> </w:t>
      </w:r>
      <w:r>
        <w:t xml:space="preserve">Kristian</w:t>
      </w:r>
      <w:r>
        <w:t xml:space="preserve"> </w:t>
      </w:r>
      <w:r>
        <w:t xml:space="preserve">Lian</w:t>
      </w:r>
      <w:r>
        <w:rPr>
          <w:vertAlign w:val="superscript"/>
        </w:rPr>
        <w:t xml:space="preserve">b</w:t>
      </w:r>
      <w:r>
        <w:t xml:space="preserve">,</w:t>
      </w:r>
      <w:r>
        <w:t xml:space="preserve"> </w:t>
      </w:r>
      <w:r>
        <w:t xml:space="preserve">Håvard</w:t>
      </w:r>
      <w:r>
        <w:t xml:space="preserve"> </w:t>
      </w:r>
      <w:r>
        <w:t xml:space="preserve">Hamarsland</w:t>
      </w:r>
      <w:r>
        <w:rPr>
          <w:vertAlign w:val="superscript"/>
        </w:rPr>
        <w:t xml:space="preserve">b</w:t>
      </w:r>
      <w:r>
        <w:t xml:space="preserve">,</w:t>
      </w:r>
      <w:r>
        <w:t xml:space="preserve"> </w:t>
      </w:r>
      <w:r>
        <w:t xml:space="preserve">Knut</w:t>
      </w:r>
      <w:r>
        <w:t xml:space="preserve"> </w:t>
      </w:r>
      <w:r>
        <w:t xml:space="preserve">Sindre</w:t>
      </w:r>
      <w:r>
        <w:t xml:space="preserve"> </w:t>
      </w:r>
      <w:r>
        <w:t xml:space="preserve">Mølmen</w:t>
      </w:r>
      <w:r>
        <w:rPr>
          <w:vertAlign w:val="superscript"/>
        </w:rPr>
        <w:t xml:space="preserve">b</w:t>
      </w:r>
      <w:r>
        <w:t xml:space="preserve">,</w:t>
      </w:r>
      <w:r>
        <w:t xml:space="preserve"> </w:t>
      </w:r>
      <w:r>
        <w:t xml:space="preserve">Rafi</w:t>
      </w:r>
      <w:r>
        <w:t xml:space="preserve"> </w:t>
      </w:r>
      <w:r>
        <w:t xml:space="preserve">Ahmad</w:t>
      </w:r>
      <w:r>
        <w:rPr>
          <w:vertAlign w:val="superscript"/>
        </w:rPr>
        <w:t xml:space="preserve">a</w:t>
      </w:r>
      <w:r>
        <w:t xml:space="preserve">,</w:t>
      </w:r>
      <w:r>
        <w:t xml:space="preserve"> </w:t>
      </w:r>
      <w:r>
        <w:t xml:space="preserve">Stian</w:t>
      </w:r>
      <w:r>
        <w:t xml:space="preserve"> </w:t>
      </w:r>
      <w:r>
        <w:t xml:space="preserve">Ellefsen</w:t>
      </w:r>
      <w:r>
        <w:rPr>
          <w:vertAlign w:val="superscript"/>
        </w:rPr>
        <w:t xml:space="preserve">b</w:t>
      </w:r>
      <w:r>
        <w:t xml:space="preserve">,</w:t>
      </w:r>
      <w:r>
        <w:t xml:space="preserve"> </w:t>
      </w:r>
      <w:r>
        <w:t xml:space="preserve">and</w:t>
      </w:r>
      <w:r>
        <w:t xml:space="preserve"> </w:t>
      </w:r>
      <w:r>
        <w:t xml:space="preserve">Daniel</w:t>
      </w:r>
      <w:r>
        <w:t xml:space="preserve"> </w:t>
      </w:r>
      <w:r>
        <w:t xml:space="preserve">Hammarström</w:t>
      </w:r>
      <w:r>
        <w:rPr>
          <w:vertAlign w:val="superscript"/>
        </w:rPr>
        <w:t xml:space="preserve">b</w:t>
      </w:r>
    </w:p>
    <w:bookmarkStart w:id="20" w:name="abstract"/>
    <w:p>
      <w:pPr>
        <w:pStyle w:val="Overskrift2"/>
      </w:pPr>
      <w:r>
        <w:t xml:space="preserve">Abstract</w:t>
      </w:r>
    </w:p>
    <w:p>
      <w:pPr>
        <w:pStyle w:val="FirstParagraph"/>
      </w:pPr>
      <w:r>
        <w:t xml:space="preserve">Several studies have shown that aging affects the pre-mRNA splicing machinery. Similarly, studies suggest physical exercise can slow-down or reverse aging-induced effects on the human body. This study investigates intron retention in the vastus lateralis muscle of young and old adults; and how it is affected by ~12 week of resistance exercise training . RNA-Seq data from five different resistance exercise studies comprising of old and young adult humans are included in this study.</w:t>
      </w:r>
    </w:p>
    <w:bookmarkEnd w:id="20"/>
    <w:bookmarkStart w:id="22" w:name="introduction"/>
    <w:p>
      <w:pPr>
        <w:pStyle w:val="Overskrift2"/>
      </w:pPr>
      <w:r>
        <w:t xml:space="preserve">Introduction</w:t>
      </w:r>
    </w:p>
    <w:p>
      <w:pPr>
        <w:pStyle w:val="FirstParagraph"/>
      </w:pPr>
      <w:r>
        <w:t xml:space="preserve">Alternative splicing is a mechanism in mRNA processing in which protein-coding and non-protein coding parts of the RNA are alternatively skipped. This results in transcriptomic and proteomic diversity that can determine cellular plasticity as it influences an organism’s ability to adapt to changes</w:t>
      </w:r>
      <w:r>
        <w:t xml:space="preserve"> </w:t>
      </w:r>
      <w:r>
        <w:t xml:space="preserve">(Holly et al. 2013)</w:t>
      </w:r>
      <w:r>
        <w:t xml:space="preserve">. Alternative splicing is responsible for the proteomic diversity observed in living beings</w:t>
      </w:r>
      <w:r>
        <w:t xml:space="preserve"> </w:t>
      </w:r>
      <w:r>
        <w:t xml:space="preserve">(Angarola and Anczuków 2021)</w:t>
      </w:r>
      <w:r>
        <w:t xml:space="preserve"> </w:t>
      </w:r>
      <w:r>
        <w:t xml:space="preserve">; a diversity that could lead to dysfunction if the biological system breaks down</w:t>
      </w:r>
      <w:r>
        <w:t xml:space="preserve"> </w:t>
      </w:r>
      <w:r>
        <w:t xml:space="preserve">(Bhadra et al. 2020)</w:t>
      </w:r>
      <w:r>
        <w:t xml:space="preserve"> </w:t>
      </w:r>
      <w:r>
        <w:t xml:space="preserve">. Basically, alternative splicing regulates life and death decisions</w:t>
      </w:r>
      <w:r>
        <w:t xml:space="preserve"> </w:t>
      </w:r>
      <w:r>
        <w:t xml:space="preserve">(Schwerk and Schulze-Osthoff 2005)</w:t>
      </w:r>
      <w:r>
        <w:t xml:space="preserve">. This mechanism is tissue_specific and increases with age</w:t>
      </w:r>
      <w:r>
        <w:t xml:space="preserve"> </w:t>
      </w:r>
      <w:r>
        <w:t xml:space="preserve">(Latorre and Harries 2017 ; Holly et al. 2013 )</w:t>
      </w:r>
      <w:r>
        <w:t xml:space="preserve"> </w:t>
      </w:r>
      <w:r>
        <w:t xml:space="preserve">due to an alteration in the expression of splicing factors</w:t>
      </w:r>
      <w:r>
        <w:t xml:space="preserve"> </w:t>
      </w:r>
      <w:r>
        <w:t xml:space="preserve">Stegeman and Weake (2017)</w:t>
      </w:r>
      <w:r>
        <w:t xml:space="preserve"> </w:t>
      </w:r>
      <w:r>
        <w:t xml:space="preserve">as a resilience strategy to counteract aging-induced damages and loss of function</w:t>
      </w:r>
      <w:r>
        <w:t xml:space="preserve"> </w:t>
      </w:r>
      <w:r>
        <w:t xml:space="preserve">(Ferrucci et al. 2022 ; Ubaida-Mohien et al. 2019b)</w:t>
      </w:r>
      <w:r>
        <w:t xml:space="preserve">. There are three broad types of alternative splicing; exon skipping, alternative use of splice sites, and intron retention</w:t>
      </w:r>
      <w:r>
        <w:t xml:space="preserve"> </w:t>
      </w:r>
      <w:r>
        <w:t xml:space="preserve">(Nishida et al. 2015 ; Zheng et al. 2020 )</w:t>
      </w:r>
      <w:r>
        <w:t xml:space="preserve">. Of specific interest to this study is intron retention.</w:t>
      </w:r>
    </w:p>
    <w:p>
      <w:pPr>
        <w:pStyle w:val="Brdtekst"/>
      </w:pPr>
      <w:r>
        <w:t xml:space="preserve">Intron retention (IR) occurs when a full intron, or parts of an intron in a mature messenger RNA (mRNA) is retained during splicing, resulting in the presence of an unprocessed sequence in the mRNA. Eukaryotes are said to have two distinct pre-mRNA splicing machinery; the major spliceosome and the minor spliceosome . The major spliceosome removes over 99% of introns while the minor spliceosome removes evolutionarily conserved introns</w:t>
      </w:r>
      <w:r>
        <w:t xml:space="preserve"> </w:t>
      </w:r>
      <w:r>
        <w:t xml:space="preserve">(Inoue et al. 2021)</w:t>
      </w:r>
      <w:r>
        <w:t xml:space="preserve">. mRNAs with retained introns play roles in normal physiology and in disease conditions</w:t>
      </w:r>
      <w:r>
        <w:t xml:space="preserve"> </w:t>
      </w:r>
      <w:r>
        <w:t xml:space="preserve">(Wong et al. 2016; Ge and Porse 2014)</w:t>
      </w:r>
      <w:r>
        <w:t xml:space="preserve">. This leads either to the degradation of the IR-containing transcripts through nonsense-mediated decay or the action of nucleases; or to frameshifts that cause the generation of alternative protein isoforms</w:t>
      </w:r>
      <w:r>
        <w:t xml:space="preserve"> </w:t>
      </w:r>
      <w:r>
        <w:t xml:space="preserve">(Baralle and Romano 2023 ; Zheng et al. 2020 ; Mauger et al. 2016; Wong and Schmitz 2022 ; Monteuuis et al. 2019 )</w:t>
      </w:r>
      <w:r>
        <w:t xml:space="preserve">. IR affects about 80% of human protein-coding genes</w:t>
      </w:r>
      <w:r>
        <w:t xml:space="preserve"> </w:t>
      </w:r>
      <w:r>
        <w:t xml:space="preserve">(Middleton et al. 2017 ; Braunschweig et al. 2014 )</w:t>
      </w:r>
      <w:r>
        <w:t xml:space="preserve"> </w:t>
      </w:r>
      <w:r>
        <w:t xml:space="preserve">and is the main form of alternative splicing that is affected by age</w:t>
      </w:r>
      <w:r>
        <w:t xml:space="preserve"> </w:t>
      </w:r>
      <w:r>
        <w:t xml:space="preserve">(Kodama et al. 2024 ; Mariotti et al. 2022; Bhadra et al. 2020)</w:t>
      </w:r>
      <w:r>
        <w:t xml:space="preserve"> </w:t>
      </w:r>
      <w:r>
        <w:t xml:space="preserve">. IR occurs mostly at the 3` end of transcripts</w:t>
      </w:r>
      <w:r>
        <w:t xml:space="preserve">(Wong et al. 2013 ; Braunschweig et al. 2014 )</w:t>
      </w:r>
      <w:r>
        <w:t xml:space="preserve">, and mostly in transcripts that lack physiological relevance in cells and tissues they are detected in</w:t>
      </w:r>
      <w:r>
        <w:t xml:space="preserve"> </w:t>
      </w:r>
      <w:r>
        <w:t xml:space="preserve">(Braunschweig et al. 2014)</w:t>
      </w:r>
      <w:r>
        <w:t xml:space="preserve"> </w:t>
      </w:r>
      <w:r>
        <w:t xml:space="preserve">.</w:t>
      </w:r>
      <w:r>
        <w:t xml:space="preserve"> </w:t>
      </w:r>
      <w:r>
        <w:t xml:space="preserve">Wong et al. (2013)</w:t>
      </w:r>
      <w:r>
        <w:t xml:space="preserve"> </w:t>
      </w:r>
      <w:r>
        <w:t xml:space="preserve">reports that high IR levels correlated with the down-regulation of correctly spliced mRNA transcripts in myelocytes and granulocytes . Short genes with high mRNA levels tend to be inefficiently spliced compared to long genes with high mRNA levels . That is, there is a positive correlation between gene length, expression level and SE</w:t>
      </w:r>
      <w:r>
        <w:t xml:space="preserve"> </w:t>
      </w:r>
      <w:r>
        <w:t xml:space="preserve">Saudemont et al. (2017)</w:t>
      </w:r>
      <w:r>
        <w:t xml:space="preserve"> </w:t>
      </w:r>
      <w:r>
        <w:t xml:space="preserve">.</w:t>
      </w:r>
    </w:p>
    <w:p>
      <w:pPr>
        <w:pStyle w:val="Brdtekst"/>
      </w:pPr>
      <w:r>
        <w:t xml:space="preserve">IR used to be considered a result of mis-splicing which render transcripts non-functional</w:t>
      </w:r>
      <w:r>
        <w:t xml:space="preserve"> </w:t>
      </w:r>
      <w:r>
        <w:t xml:space="preserve">(Wong et al. 2016)</w:t>
      </w:r>
      <w:r>
        <w:t xml:space="preserve"> </w:t>
      </w:r>
      <w:r>
        <w:t xml:space="preserve">but is increasingly being viewed as a mechanism of gene regulation. This is because it tends to increasingly occur in response to specific developmental cues and serve as a strategy for rapid mobilization of some mRNAs for protein translation</w:t>
      </w:r>
      <w:r>
        <w:t xml:space="preserve"> </w:t>
      </w:r>
      <w:r>
        <w:t xml:space="preserve">(Ong and Adusumalli 2020)</w:t>
      </w:r>
      <w:r>
        <w:t xml:space="preserve">. Intron retention is often measured as splicing efficiency which describes the amount of introns retained in a mature mRNA. Splicing efficiency is cell and tissue specific</w:t>
      </w:r>
      <w:r>
        <w:t xml:space="preserve"> </w:t>
      </w:r>
      <w:r>
        <w:t xml:space="preserve">(Nishida et al. 2015; Baralle and Romano 2023)</w:t>
      </w:r>
      <w:r>
        <w:t xml:space="preserve"> </w:t>
      </w:r>
      <w:r>
        <w:t xml:space="preserve">but tends to be similar between the introns of a gene [</w:t>
      </w:r>
      <w:r>
        <w:t xml:space="preserve">Sánchez-Escabias et al. (2022)</w:t>
      </w:r>
      <w:r>
        <w:t xml:space="preserve">] . This suggests that a balanced study of intron retention should be comparing same introns in same genes and same tissues across the subjects of interest.</w:t>
      </w:r>
    </w:p>
    <w:p>
      <w:pPr>
        <w:pStyle w:val="Brdtekst"/>
      </w:pPr>
      <w:r>
        <w:t xml:space="preserve">Besides aging, poor splicing efficiency has been linked to to human diseases like alpha thalassemia [</w:t>
      </w:r>
      <w:r>
        <w:t xml:space="preserve">Nelson et al. (2005)</w:t>
      </w:r>
      <w:r>
        <w:t xml:space="preserve">] , inflammatory bowel disease [</w:t>
      </w:r>
      <w:r>
        <w:t xml:space="preserve">Häsler et al. (2011)</w:t>
      </w:r>
      <w:r>
        <w:t xml:space="preserve">] , neurodegenerative diseases [</w:t>
      </w:r>
      <w:r>
        <w:t xml:space="preserve">Sznajder et al. (2018)</w:t>
      </w:r>
      <w:r>
        <w:t xml:space="preserve">;</w:t>
      </w:r>
      <w:r>
        <w:t xml:space="preserve"> </w:t>
      </w:r>
      <w:r>
        <w:t xml:space="preserve">Ong and Adusumalli (2020)</w:t>
      </w:r>
      <w:r>
        <w:t xml:space="preserve"> </w:t>
      </w:r>
      <w:r>
        <w:t xml:space="preserve">] and the risk of certain cancers</w:t>
      </w:r>
      <w:r>
        <w:t xml:space="preserve"> </w:t>
      </w:r>
      <w:r>
        <w:t xml:space="preserve">(Dvinge and Bradley 2015 ; Inoue et al. 2021 ; Shah et al. 2022)</w:t>
      </w:r>
      <w:r>
        <w:t xml:space="preserve">. IR is a potential biomarker or driver of the aging process</w:t>
      </w:r>
      <w:r>
        <w:t xml:space="preserve"> </w:t>
      </w:r>
      <w:r>
        <w:t xml:space="preserve">(Baralle and Romano 2023 ; Adusumalli et al. 2019 )</w:t>
      </w:r>
      <w:r>
        <w:t xml:space="preserve">. There is a gap in knowledge about how the decline in splicing efficiency can be minimised or reversed.</w:t>
      </w:r>
    </w:p>
    <w:bookmarkStart w:id="21" w:name="X2e1ebd4a36d7893d9e98091fe7baf14a8695cf4"/>
    <w:p>
      <w:pPr>
        <w:pStyle w:val="Overskrift3"/>
      </w:pPr>
      <w:r>
        <w:t xml:space="preserve">Aging and progressive resistance exercise training</w:t>
      </w:r>
    </w:p>
    <w:p>
      <w:pPr>
        <w:pStyle w:val="FirstParagraph"/>
      </w:pPr>
      <w:r>
        <w:t xml:space="preserve">Aging is the progressive transformation of young organisms into aged ones. It involves changes across several physiological processes and is characterized by a progressive decline in most biological functions, and results to reduced vitality, increased risk of diseases and eventually death</w:t>
      </w:r>
      <w:r>
        <w:t xml:space="preserve"> </w:t>
      </w:r>
      <w:r>
        <w:t xml:space="preserve">(López-Otín et al. 2013; Keshavarz et al. 2023 ; Gyenis et al. 2023)</w:t>
      </w:r>
      <w:r>
        <w:t xml:space="preserve"> </w:t>
      </w:r>
      <w:r>
        <w:t xml:space="preserve">. It is the greatest cause of disease and death worldwide</w:t>
      </w:r>
      <w:r>
        <w:t xml:space="preserve"> </w:t>
      </w:r>
      <w:r>
        <w:t xml:space="preserve">(Schaum et al. 2020)</w:t>
      </w:r>
      <w:r>
        <w:t xml:space="preserve">. Physiologically, aging is associated with the induction of different stress response pathways in different cell, tissue and specie types</w:t>
      </w:r>
      <w:r>
        <w:t xml:space="preserve"> </w:t>
      </w:r>
      <w:r>
        <w:t xml:space="preserve">(Stegeman and Weake 2017; Welle et al. 2003)</w:t>
      </w:r>
      <w:r>
        <w:t xml:space="preserve">. Aging and aging-like phenotypes are associated with increased splicing alterations</w:t>
      </w:r>
      <w:r>
        <w:t xml:space="preserve"> </w:t>
      </w:r>
      <w:r>
        <w:t xml:space="preserve">(Angarola and Anczuków 2021 ; García-Ruiz et al. 2023 ; Nishida et al. 2015 ; Mariotti et al. 2022; Stegeman and Weake 2017; Pabis et al. 2024)</w:t>
      </w:r>
      <w:r>
        <w:t xml:space="preserve"> </w:t>
      </w:r>
      <w:r>
        <w:t xml:space="preserve">. Aging is often assessed using the concept of a</w:t>
      </w:r>
      <w:r>
        <w:t xml:space="preserve"> </w:t>
      </w:r>
      <w:r>
        <w:t xml:space="preserve">“</w:t>
      </w:r>
      <w:r>
        <w:t xml:space="preserve">biological clock</w:t>
      </w:r>
      <w:r>
        <w:t xml:space="preserve">”</w:t>
      </w:r>
      <w:r>
        <w:t xml:space="preserve"> </w:t>
      </w:r>
      <w:r>
        <w:t xml:space="preserve">that is organ, system and sex specific</w:t>
      </w:r>
      <w:r>
        <w:t xml:space="preserve"> </w:t>
      </w:r>
      <w:r>
        <w:t xml:space="preserve">(Nie et al. 2022)</w:t>
      </w:r>
      <w:r>
        <w:t xml:space="preserve">. A significant part of aging-focused research is focused on interventions that could slow-down aging or its impacts.</w:t>
      </w:r>
    </w:p>
    <w:p>
      <w:pPr>
        <w:pStyle w:val="Brdtekst"/>
      </w:pPr>
      <w:r>
        <w:t xml:space="preserve">One of the known effects of aging is the decline in skeletal muscle mass and strength. The muscle accounts for about half the mass of the body. Physical exercise is an anti-aging intervention targeted at maintaining not just muscle health, but general well-being. It counteracts the effects of aging on mitochondrial health and can offset aging-related changes to the splicing machinery</w:t>
      </w:r>
      <w:r>
        <w:t xml:space="preserve"> </w:t>
      </w:r>
      <w:r>
        <w:t xml:space="preserve">(Ubaida-Mohien et al. 2019a, 2022)</w:t>
      </w:r>
      <w:r>
        <w:t xml:space="preserve">. Progressive resistance exercise training (RT) describes the type of physical exercise training where the skeletal muscle is exercised against progressively increased types of resistance</w:t>
      </w:r>
      <w:r>
        <w:t xml:space="preserve"> </w:t>
      </w:r>
      <w:r>
        <w:t xml:space="preserve">(Liu and Latham 2009)</w:t>
      </w:r>
      <w:r>
        <w:t xml:space="preserve">. The benefits of RT include improvements in muscle strength, muscle mass and bone density. RT could thus be a potent preventive or treatment strategy for improving aging-related functional disabilities associated with the skeletal muscle</w:t>
      </w:r>
      <w:r>
        <w:t xml:space="preserve"> </w:t>
      </w:r>
      <w:r>
        <w:t xml:space="preserve">(Peterson et al. 2011 ; Kryger and Andersen 2007 ; Lu et al. 2021 )</w:t>
      </w:r>
      <w:r>
        <w:t xml:space="preserve">.</w:t>
      </w:r>
    </w:p>
    <w:p>
      <w:pPr>
        <w:pStyle w:val="Brdtekst"/>
      </w:pPr>
      <w:r>
        <w:t xml:space="preserve">This study is aimed at investigating differentially spliced introns between the young and the old, and how they are affected by about 12 weeks of RT. It also hopes to determine the age range with the most abherrent splicing efficiency.</w:t>
      </w:r>
    </w:p>
    <w:p>
      <w:pPr>
        <w:pStyle w:val="Brdtekst"/>
      </w:pPr>
      <w:r>
        <w:t xml:space="preserve">We hypothesize that since intron retention is a mechanism by which the cells modify gene expression in response to muscular stress, there would be age-related decline in splicing efficiency. We also hypothesize that 12 weeks of RT would improve upon age-related splicing efficincy while eliciting a unique set of retained introns in response to muscular stress.</w:t>
      </w:r>
    </w:p>
    <w:bookmarkEnd w:id="21"/>
    <w:bookmarkEnd w:id="22"/>
    <w:bookmarkStart w:id="24" w:name="materials-and-methods"/>
    <w:p>
      <w:pPr>
        <w:pStyle w:val="Overskrift2"/>
      </w:pPr>
      <w:r>
        <w:t xml:space="preserve">Materials and methods</w:t>
      </w:r>
    </w:p>
    <w:p>
      <w:pPr>
        <w:pStyle w:val="FirstParagraph"/>
      </w:pPr>
      <w:r>
        <w:t xml:space="preserve">Five datasets are included in the study. Three datasets were from the TrainOme group and had either young, or old individuals. Publicly available datasets from</w:t>
      </w:r>
      <w:r>
        <w:t xml:space="preserve"> </w:t>
      </w:r>
      <w:r>
        <w:t xml:space="preserve">(</w:t>
      </w:r>
      <w:r>
        <w:rPr>
          <w:bCs/>
          <w:b/>
        </w:rPr>
        <w:t xml:space="preserve">robinson2017?</w:t>
      </w:r>
      <w:r>
        <w:t xml:space="preserve">)</w:t>
      </w:r>
      <w:r>
        <w:t xml:space="preserve"> </w:t>
      </w:r>
      <w:r>
        <w:t xml:space="preserve">Kulkarni et al. (2020)</w:t>
      </w:r>
      <w:r>
        <w:t xml:space="preserve"> </w:t>
      </w:r>
      <w:r>
        <w:t xml:space="preserve">were obtained which fitted the criteria of paired-end Illumina RNA-Seq data from vastus lateralis muscle of human subjects . It contained both young and old participants.</w:t>
      </w:r>
    </w:p>
    <w:tbl>
      <w:tblPr>
        <w:tblStyle w:val="Table"/>
        <w:tblW w:type="pct" w:w="4877"/>
        <w:tblLook w:firstRow="1" w:lastRow="0" w:firstColumn="0" w:lastColumn="0" w:noHBand="0" w:noVBand="0" w:val="0020"/>
        <w:jc w:val="start"/>
        <w:tblLayout w:type="fixed"/>
      </w:tblPr>
      <w:tblGrid>
        <w:gridCol w:w="973"/>
        <w:gridCol w:w="1622"/>
        <w:gridCol w:w="1298"/>
        <w:gridCol w:w="1493"/>
        <w:gridCol w:w="2337"/>
      </w:tblGrid>
      <w:tr>
        <w:trPr>
          <w:tblHeader w:val="true"/>
        </w:trPr>
        <w:tc>
          <w:tcPr/>
          <w:p>
            <w:pPr>
              <w:pStyle w:val="Compact"/>
              <w:jc w:val="left"/>
            </w:pPr>
            <w:r>
              <w:t xml:space="preserve">Dataset name</w:t>
            </w:r>
          </w:p>
        </w:tc>
        <w:tc>
          <w:tcPr/>
          <w:p>
            <w:pPr>
              <w:pStyle w:val="Compact"/>
              <w:jc w:val="left"/>
            </w:pPr>
            <w:r>
              <w:t xml:space="preserve">Number of participants</w:t>
            </w:r>
          </w:p>
        </w:tc>
        <w:tc>
          <w:tcPr/>
          <w:p>
            <w:pPr>
              <w:pStyle w:val="Compact"/>
              <w:jc w:val="left"/>
            </w:pPr>
            <w:r>
              <w:t xml:space="preserve">Number of samples</w:t>
            </w:r>
          </w:p>
        </w:tc>
        <w:tc>
          <w:tcPr/>
          <w:p>
            <w:pPr>
              <w:pStyle w:val="Compact"/>
              <w:jc w:val="left"/>
            </w:pPr>
            <w:r>
              <w:t xml:space="preserve">Age range (in years)</w:t>
            </w:r>
          </w:p>
        </w:tc>
        <w:tc>
          <w:tcPr/>
          <w:p>
            <w:pPr>
              <w:pStyle w:val="Compact"/>
              <w:jc w:val="left"/>
            </w:pPr>
            <w:r>
              <w:t xml:space="preserve">Linked Publication</w:t>
            </w:r>
          </w:p>
        </w:tc>
      </w:tr>
      <w:tr>
        <w:tc>
          <w:tcPr/>
          <w:p>
            <w:pPr>
              <w:pStyle w:val="Compact"/>
              <w:jc w:val="left"/>
            </w:pPr>
            <w:r>
              <w:t xml:space="preserve">COPD</w:t>
            </w:r>
          </w:p>
        </w:tc>
        <w:tc>
          <w:tcPr/>
          <w:p>
            <w:pPr>
              <w:pStyle w:val="Compact"/>
              <w:jc w:val="left"/>
            </w:pPr>
            <w:r>
              <w:t xml:space="preserve">53</w:t>
            </w:r>
          </w:p>
        </w:tc>
        <w:tc>
          <w:tcPr/>
          <w:p>
            <w:pPr>
              <w:pStyle w:val="Compact"/>
              <w:jc w:val="left"/>
            </w:pPr>
            <w:r>
              <w:t xml:space="preserve">65</w:t>
            </w:r>
          </w:p>
        </w:tc>
        <w:tc>
          <w:tcPr/>
          <w:p>
            <w:pPr>
              <w:pStyle w:val="Compact"/>
              <w:jc w:val="left"/>
            </w:pPr>
            <w:r>
              <w:t xml:space="preserve">56-79</w:t>
            </w:r>
          </w:p>
        </w:tc>
        <w:tc>
          <w:tcPr/>
          <w:p>
            <w:pPr>
              <w:pStyle w:val="Compact"/>
              <w:jc w:val="left"/>
            </w:pPr>
            <w:r>
              <w:t xml:space="preserve">Mølmen et al. (2021)</w:t>
            </w:r>
          </w:p>
        </w:tc>
      </w:tr>
      <w:tr>
        <w:tc>
          <w:tcPr/>
          <w:p>
            <w:pPr>
              <w:pStyle w:val="Compact"/>
              <w:jc w:val="left"/>
            </w:pPr>
            <w:r>
              <w:t xml:space="preserve">Volume</w:t>
            </w:r>
          </w:p>
        </w:tc>
        <w:tc>
          <w:tcPr/>
          <w:p>
            <w:pPr>
              <w:pStyle w:val="Compact"/>
              <w:jc w:val="left"/>
            </w:pPr>
            <w:r>
              <w:t xml:space="preserve">25</w:t>
            </w:r>
          </w:p>
        </w:tc>
        <w:tc>
          <w:tcPr/>
          <w:p>
            <w:pPr>
              <w:pStyle w:val="Compact"/>
              <w:jc w:val="left"/>
            </w:pPr>
            <w:r>
              <w:t xml:space="preserve">50</w:t>
            </w:r>
          </w:p>
        </w:tc>
        <w:tc>
          <w:tcPr/>
          <w:p>
            <w:pPr>
              <w:pStyle w:val="Compact"/>
              <w:jc w:val="left"/>
            </w:pPr>
            <w:r>
              <w:t xml:space="preserve">20-37</w:t>
            </w:r>
          </w:p>
        </w:tc>
        <w:tc>
          <w:tcPr/>
          <w:p>
            <w:pPr>
              <w:pStyle w:val="Compact"/>
              <w:jc w:val="left"/>
            </w:pPr>
            <w:r>
              <w:t xml:space="preserve">Khan et al. (2020)</w:t>
            </w:r>
          </w:p>
        </w:tc>
      </w:tr>
      <w:tr>
        <w:tc>
          <w:tcPr/>
          <w:p>
            <w:pPr>
              <w:pStyle w:val="Compact"/>
              <w:jc w:val="left"/>
            </w:pPr>
            <w:r>
              <w:t xml:space="preserve">Contratrain</w:t>
            </w:r>
          </w:p>
        </w:tc>
        <w:tc>
          <w:tcPr/>
          <w:p>
            <w:pPr>
              <w:pStyle w:val="Compact"/>
              <w:jc w:val="left"/>
            </w:pPr>
            <w:r>
              <w:t xml:space="preserve">26</w:t>
            </w:r>
          </w:p>
        </w:tc>
        <w:tc>
          <w:tcPr/>
          <w:p>
            <w:pPr>
              <w:pStyle w:val="Compact"/>
            </w:pPr>
          </w:p>
        </w:tc>
        <w:tc>
          <w:tcPr/>
          <w:p>
            <w:pPr>
              <w:pStyle w:val="Compact"/>
              <w:jc w:val="left"/>
            </w:pPr>
            <w:r>
              <w:t xml:space="preserve">19-34</w:t>
            </w:r>
          </w:p>
        </w:tc>
        <w:tc>
          <w:tcPr/>
          <w:p>
            <w:pPr>
              <w:pStyle w:val="Compact"/>
              <w:jc w:val="left"/>
            </w:pPr>
            <w:r>
              <w:t xml:space="preserve">Hamarsland et al (in preparation)</w:t>
            </w:r>
          </w:p>
        </w:tc>
      </w:tr>
      <w:tr>
        <w:tc>
          <w:tcPr/>
          <w:p>
            <w:pPr>
              <w:pStyle w:val="Compact"/>
              <w:jc w:val="left"/>
            </w:pPr>
            <w:r>
              <w:t xml:space="preserve">SRP102542</w:t>
            </w:r>
          </w:p>
        </w:tc>
        <w:tc>
          <w:tcPr/>
          <w:p>
            <w:pPr>
              <w:pStyle w:val="Compact"/>
              <w:jc w:val="left"/>
            </w:pPr>
            <w:r>
              <w:t xml:space="preserve">52</w:t>
            </w:r>
          </w:p>
        </w:tc>
        <w:tc>
          <w:tcPr/>
          <w:p>
            <w:pPr>
              <w:pStyle w:val="Compact"/>
              <w:jc w:val="left"/>
            </w:pPr>
            <w:r>
              <w:t xml:space="preserve">52</w:t>
            </w:r>
          </w:p>
        </w:tc>
        <w:tc>
          <w:tcPr/>
          <w:p>
            <w:pPr>
              <w:jc w:val="left"/>
            </w:pPr>
            <w:r>
              <w:t xml:space="preserve">19-30 (Young cohort)</w:t>
            </w:r>
          </w:p>
          <w:p>
            <w:pPr>
              <w:jc w:val="left"/>
            </w:pPr>
            <w:r>
              <w:t xml:space="preserve">65-78 (Old cohort)</w:t>
            </w:r>
          </w:p>
        </w:tc>
        <w:tc>
          <w:tcPr/>
          <w:p>
            <w:pPr>
              <w:pStyle w:val="Compact"/>
              <w:jc w:val="left"/>
            </w:pPr>
            <w:r>
              <w:t xml:space="preserve">Robinson et al. (2017)</w:t>
            </w:r>
          </w:p>
        </w:tc>
      </w:tr>
      <w:tr>
        <w:tc>
          <w:tcPr/>
          <w:p>
            <w:pPr>
              <w:pStyle w:val="Compact"/>
              <w:jc w:val="left"/>
            </w:pPr>
            <w:r>
              <w:t xml:space="preserve">SRP280348</w:t>
            </w:r>
          </w:p>
        </w:tc>
        <w:tc>
          <w:tcPr/>
          <w:p>
            <w:pPr>
              <w:pStyle w:val="Compact"/>
              <w:jc w:val="left"/>
            </w:pPr>
            <w:r>
              <w:t xml:space="preserve">86</w:t>
            </w:r>
          </w:p>
        </w:tc>
        <w:tc>
          <w:tcPr/>
          <w:p>
            <w:pPr>
              <w:pStyle w:val="Compact"/>
              <w:jc w:val="left"/>
            </w:pPr>
            <w:r>
              <w:t xml:space="preserve">86</w:t>
            </w:r>
          </w:p>
        </w:tc>
        <w:tc>
          <w:tcPr/>
          <w:p>
            <w:pPr>
              <w:jc w:val="left"/>
            </w:pPr>
            <w:r>
              <w:t xml:space="preserve">18-27 (Young cohort)</w:t>
            </w:r>
          </w:p>
          <w:p>
            <w:pPr>
              <w:jc w:val="left"/>
            </w:pPr>
            <w:r>
              <w:t xml:space="preserve">64-80(Old cohort)</w:t>
            </w:r>
          </w:p>
        </w:tc>
        <w:tc>
          <w:tcPr/>
          <w:p>
            <w:pPr>
              <w:pStyle w:val="Compact"/>
              <w:jc w:val="left"/>
            </w:pPr>
            <w:r>
              <w:t xml:space="preserve">Kulkarni et al. (2020)</w:t>
            </w:r>
          </w:p>
        </w:tc>
      </w:tr>
    </w:tbl>
    <w:p>
      <w:pPr>
        <w:pStyle w:val="Brdtekst"/>
      </w:pPr>
      <w:r>
        <w:t xml:space="preserve">The benjamin and hochberg method</w:t>
      </w:r>
      <w:r>
        <w:t xml:space="preserve"> </w:t>
      </w:r>
      <w:r>
        <w:t xml:space="preserve">Benjamini and Hochberg (1995)</w:t>
      </w:r>
      <w:r>
        <w:t xml:space="preserve"> </w:t>
      </w:r>
      <w:r>
        <w:t xml:space="preserve">was used to control for false discovery rates</w:t>
      </w:r>
    </w:p>
    <w:bookmarkStart w:id="23" w:name="methodology"/>
    <w:p>
      <w:pPr>
        <w:pStyle w:val="Overskrift3"/>
      </w:pPr>
      <w:r>
        <w:t xml:space="preserve">Methodology</w:t>
      </w:r>
    </w:p>
    <w:p>
      <w:pPr>
        <w:pStyle w:val="FirstParagraph"/>
      </w:pPr>
      <w:r>
        <w:t xml:space="preserve">RNA-SEQ data processing</w:t>
      </w:r>
    </w:p>
    <w:p>
      <w:pPr>
        <w:pStyle w:val="Brdtekst"/>
      </w:pPr>
      <w:r>
        <w:t xml:space="preserve">The quality of the reads were checked using FASTQC(v0.11.9). STAR (2.7.9a) was used to map reads to the human reference genome (GRCh38 version 40) using the 2-pass alignment method described by</w:t>
      </w:r>
      <w:r>
        <w:t xml:space="preserve"> </w:t>
      </w:r>
      <w:r>
        <w:t xml:space="preserve">Veeneman et al. (2016)</w:t>
      </w:r>
      <w:r>
        <w:t xml:space="preserve"> </w:t>
      </w:r>
      <w:r>
        <w:t xml:space="preserve">which advances quantification and discovery of splicing events. RSEM (1.3.3)</w:t>
      </w:r>
      <w:r>
        <w:t xml:space="preserve"> </w:t>
      </w:r>
      <w:r>
        <w:t xml:space="preserve">(Li and Dewey 2011)</w:t>
      </w:r>
      <w:r>
        <w:t xml:space="preserve"> </w:t>
      </w:r>
      <w:r>
        <w:t xml:space="preserve">was used to generate transcript and gene level counts while SpliceQ</w:t>
      </w:r>
      <w:r>
        <w:t xml:space="preserve"> </w:t>
      </w:r>
      <w:r>
        <w:t xml:space="preserve">Melo Costa et al. (2021)</w:t>
      </w:r>
      <w:r>
        <w:t xml:space="preserve"> </w:t>
      </w:r>
      <w:r>
        <w:t xml:space="preserve">was used to quantify splicing efficiency.</w:t>
      </w:r>
    </w:p>
    <w:p>
      <w:pPr>
        <w:pStyle w:val="Brdtekst"/>
      </w:pPr>
      <w:r>
        <w:t xml:space="preserve">Using preexercise data alone, we sought to identify differentially spliced introns by age, sex and age group. For this, we built two generalized linear mixed beta regression models. One captured age as a continuous variable and modeled the interaction between age and sex as fixed effects, while study and participant were used as random effect having individual intercepts</w:t>
      </w:r>
    </w:p>
    <w:p>
      <w:pPr>
        <w:pStyle w:val="Brdtekst"/>
      </w:pPr>
      <w:r>
        <w:t xml:space="preserve">The second model, used age as a categorical variable where the participants were grouped into young, and old. Similar to the first model, the interaction of age_group and sex was used as fixed effects,</w:t>
      </w:r>
    </w:p>
    <w:p>
      <w:pPr>
        <w:pStyle w:val="Brdtekst"/>
      </w:pPr>
      <w:r>
        <w:t xml:space="preserve">The differentially spliced introns based on age of preexercise data was filtered for adjusted pvalues at or below 0.05. Those that had an absolute log2fc of 1 were also filtered to determine those with significant differential expression</w:t>
      </w:r>
    </w:p>
    <w:bookmarkEnd w:id="23"/>
    <w:bookmarkEnd w:id="24"/>
    <w:bookmarkStart w:id="113" w:name="results"/>
    <w:p>
      <w:pPr>
        <w:pStyle w:val="Overskrift1"/>
      </w:pPr>
      <w:r>
        <w:t xml:space="preserve">Results</w:t>
      </w:r>
    </w:p>
    <w:p>
      <w:pPr>
        <w:pStyle w:val="FirstParagraph"/>
      </w:pPr>
      <w:r>
        <w:t xml:space="preserve">To investigate the impact of age and RT on intron retention, we investigated intron retention in RNA sequence data from vastus lateralis of 141 individuals from four different RT studies . The participants were divided into two age groups with young comprising 65 individuals aged between 19 to 37 , the old age group consisted of 76 participants aged between 57 and 79 .</w:t>
      </w:r>
    </w:p>
    <w:p>
      <w:pPr>
        <w:pStyle w:val="Brdtekst"/>
      </w:pPr>
      <w:r>
        <w:t xml:space="preserve">We measured intron retention as splicing efficiency using SpliceQ</w:t>
      </w:r>
      <w:r>
        <w:t xml:space="preserve"> </w:t>
      </w:r>
      <w:r>
        <w:t xml:space="preserve">(</w:t>
      </w:r>
      <w:r>
        <w:rPr>
          <w:bCs/>
          <w:b/>
        </w:rPr>
        <w:t xml:space="preserve">demelocosta2021?</w:t>
      </w:r>
      <w:r>
        <w:t xml:space="preserve">)</w:t>
      </w:r>
      <w:r>
        <w:t xml:space="preserve">. mis-splicing occurs more in non-protein coding genes than in protein-coding genes</w:t>
      </w:r>
      <w:r>
        <w:t xml:space="preserve"> </w:t>
      </w:r>
      <w:r>
        <w:t xml:space="preserve">García-Ruiz et al. (2023)</w:t>
      </w:r>
      <w:r>
        <w:t xml:space="preserve">, this disagrees with the results we obtained . We however take cognisance of the limitations in RNA-Seq’s reported ability to correctly quantify non-coding RNAs</w:t>
      </w:r>
      <w:r>
        <w:t xml:space="preserve"> </w:t>
      </w:r>
      <w:r>
        <w:t xml:space="preserve">Stokes et al. (2023)</w:t>
      </w:r>
    </w:p>
    <w:p>
      <w:pPr>
        <w:pStyle w:val="Brdtekst"/>
      </w:pPr>
      <w:r>
        <w:t xml:space="preserve">Saudemont et al. (2017)</w:t>
      </w:r>
      <w:r>
        <w:t xml:space="preserve"> </w:t>
      </w:r>
      <w:r>
        <w:t xml:space="preserve">stipulated a mutation-selection-drift theory that suggests shorter, intron-poor and lowly expressed genes show a poorer splicing efficiency</w:t>
      </w:r>
    </w:p>
    <w:p>
      <w:pPr>
        <w:pStyle w:val="Brdtekst"/>
      </w:pPr>
      <w:r>
        <w:t xml:space="preserve">There appears to be a progressive decrease in Splicing efficiency from young to middle aged, and then old</w:t>
      </w:r>
    </w:p>
    <w:p>
      <w:pPr>
        <w:pStyle w:val="Brdtekst"/>
      </w:pPr>
      <w:r>
        <w:t xml:space="preserve">detect differentially spliced introns between young and old participants, At baseline, using the filter characteristics of adjusted p.values =&lt; 0.05, only age had differentially spliced introns, sex and interaction between sex and age showed no ds introns. age alone revealed 1786 out of 18541 introns were differentially spliced between old and young participants. When this data was further queried to detected those with absolute log2fc of 1, it showed that 511 were significantly spliced differently between old and young participants. 3 introns were differentially sploiced by sex</w:t>
      </w:r>
    </w:p>
    <w:p>
      <w:pPr>
        <w:pStyle w:val="Brdtekst"/>
      </w:pPr>
      <w:r>
        <w:t xml:space="preserve">Seven introns were shown to be differentially expressed by age when used as a continous variable</w:t>
      </w:r>
    </w:p>
    <w:p>
      <w:pPr>
        <w:pStyle w:val="Brdtekst"/>
      </w:pPr>
      <w:r>
        <w:t xml:space="preserve">Of the 1693 ds introns captured in the full dataset, 135 were changed postexercise. Based on the Estimate values, they were all improvements</w:t>
      </w:r>
    </w:p>
    <w:bookmarkStart w:id="112" w:name="discussion"/>
    <w:p>
      <w:pPr>
        <w:pStyle w:val="Overskrift2"/>
      </w:pPr>
      <w:r>
        <w:t xml:space="preserve">Discussion</w:t>
      </w:r>
    </w:p>
    <w:p>
      <w:pPr>
        <w:pStyle w:val="FirstParagraph"/>
      </w:pPr>
      <w:r>
        <w:t xml:space="preserve">IR is a physiological mechanism that controls gene expression</w:t>
      </w:r>
      <w:r>
        <w:t xml:space="preserve"> </w:t>
      </w:r>
      <w:r>
        <w:t xml:space="preserve">(Wong et al. 2016 ; Schmitz et al. 2017 )</w:t>
      </w:r>
      <w:r>
        <w:t xml:space="preserve"> </w:t>
      </w:r>
      <w:r>
        <w:t xml:space="preserve">increase in IR is a signature of the aging process</w:t>
      </w:r>
      <w:r>
        <w:t xml:space="preserve"> </w:t>
      </w:r>
      <w:r>
        <w:t xml:space="preserve">Bhadra et al. (2020)</w:t>
      </w:r>
    </w:p>
    <w:p>
      <w:pPr>
        <w:pStyle w:val="Brdtekst"/>
      </w:pPr>
      <w:r>
        <w:t xml:space="preserve">Tissues and organs are altered differently by aging and aging-related processes</w:t>
      </w:r>
      <w:r>
        <w:t xml:space="preserve"> </w:t>
      </w:r>
      <w:r>
        <w:t xml:space="preserve">Baralle and Romano (2023)</w:t>
      </w:r>
      <w:r>
        <w:t xml:space="preserve"> </w:t>
      </w:r>
      <w:r>
        <w:t xml:space="preserve">.</w:t>
      </w:r>
    </w:p>
    <w:bookmarkStart w:id="111" w:name="shortcoming"/>
    <w:p>
      <w:pPr>
        <w:pStyle w:val="Overskrift3"/>
      </w:pPr>
      <w:r>
        <w:t xml:space="preserve">Shortcoming</w:t>
      </w:r>
    </w:p>
    <w:p>
      <w:pPr>
        <w:pStyle w:val="FirstParagraph"/>
      </w:pPr>
      <w:r>
        <w:t xml:space="preserve">This study did not group RT into conditions of volume of exercise done. The benefits of RT are known to be volume-dependent and the 4 studies involved varying RT conditions</w:t>
      </w:r>
    </w:p>
    <w:bookmarkStart w:id="110" w:name="refs"/>
    <w:bookmarkStart w:id="26" w:name="ref-adusumalli_increased_2019"/>
    <w:p>
      <w:pPr>
        <w:pStyle w:val="Bibliography"/>
      </w:pPr>
      <w:r>
        <w:t xml:space="preserve">Adusumalli S, Ngian Z-K, Lin W-Q, Benoukraf T, Ong C-T. 2019.</w:t>
      </w:r>
      <w:r>
        <w:t xml:space="preserve"> </w:t>
      </w:r>
      <w:hyperlink r:id="rId25">
        <w:r>
          <w:rPr>
            <w:rStyle w:val="Hyperlink"/>
          </w:rPr>
          <w:t xml:space="preserve">Increased intron retention is a post-transcriptional signature associated with progressive aging and alzheimer’s disease.</w:t>
        </w:r>
      </w:hyperlink>
      <w:r>
        <w:t xml:space="preserve"> </w:t>
      </w:r>
      <w:r>
        <w:rPr>
          <w:iCs/>
          <w:i/>
        </w:rPr>
        <w:t xml:space="preserve">Aging Cell</w:t>
      </w:r>
      <w:r>
        <w:t xml:space="preserve"> </w:t>
      </w:r>
      <w:r>
        <w:rPr>
          <w:bCs/>
          <w:b/>
        </w:rPr>
        <w:t xml:space="preserve">18</w:t>
      </w:r>
      <w:r>
        <w:t xml:space="preserve">: e12928.</w:t>
      </w:r>
    </w:p>
    <w:bookmarkEnd w:id="26"/>
    <w:bookmarkStart w:id="27" w:name="ref-angarola_splicing_2021"/>
    <w:p>
      <w:pPr>
        <w:pStyle w:val="Bibliography"/>
      </w:pPr>
      <w:r>
        <w:t xml:space="preserve">Angarola BL, Anczuków O. 2021. Splicing alterations in healthy aging and disease.</w:t>
      </w:r>
      <w:r>
        <w:t xml:space="preserve"> </w:t>
      </w:r>
      <w:r>
        <w:rPr>
          <w:iCs/>
          <w:i/>
        </w:rPr>
        <w:t xml:space="preserve">Wiley Interdisciplinary Reviews:</w:t>
      </w:r>
      <w:r>
        <w:rPr>
          <w:iCs/>
          <w:i/>
        </w:rPr>
        <w:t xml:space="preserve"> </w:t>
      </w:r>
      <w:r>
        <w:rPr>
          <w:iCs/>
          <w:i/>
        </w:rPr>
        <w:t xml:space="preserve">RNA</w:t>
      </w:r>
      <w:r>
        <w:t xml:space="preserve"> </w:t>
      </w:r>
      <w:r>
        <w:rPr>
          <w:bCs/>
          <w:b/>
        </w:rPr>
        <w:t xml:space="preserve">12</w:t>
      </w:r>
      <w:r>
        <w:t xml:space="preserve">: e1643.</w:t>
      </w:r>
    </w:p>
    <w:bookmarkEnd w:id="27"/>
    <w:bookmarkStart w:id="29" w:name="ref-baralle_age-related_2023"/>
    <w:p>
      <w:pPr>
        <w:pStyle w:val="Bibliography"/>
      </w:pPr>
      <w:r>
        <w:t xml:space="preserve">Baralle M, Romano M. 2023.</w:t>
      </w:r>
      <w:r>
        <w:t xml:space="preserve"> </w:t>
      </w:r>
      <w:hyperlink r:id="rId28">
        <w:r>
          <w:rPr>
            <w:rStyle w:val="Hyperlink"/>
          </w:rPr>
          <w:t xml:space="preserve">Age-related alternative splicing: Driver or passenger in the aging process?</w:t>
        </w:r>
      </w:hyperlink>
      <w:r>
        <w:t xml:space="preserve"> </w:t>
      </w:r>
      <w:r>
        <w:rPr>
          <w:iCs/>
          <w:i/>
        </w:rPr>
        <w:t xml:space="preserve">Cells</w:t>
      </w:r>
      <w:r>
        <w:t xml:space="preserve"> </w:t>
      </w:r>
      <w:r>
        <w:rPr>
          <w:bCs/>
          <w:b/>
        </w:rPr>
        <w:t xml:space="preserve">12</w:t>
      </w:r>
      <w:r>
        <w:t xml:space="preserve">.</w:t>
      </w:r>
    </w:p>
    <w:bookmarkEnd w:id="29"/>
    <w:bookmarkStart w:id="30" w:name="ref-benjamini_controlling_1995"/>
    <w:p>
      <w:pPr>
        <w:pStyle w:val="Bibliography"/>
      </w:pPr>
      <w:r>
        <w:t xml:space="preserve">Benjamini Y, Hochberg Y. 1995. Controlling the false discovery rate: A practical and powerful approach to multiple testing.</w:t>
      </w:r>
      <w:r>
        <w:t xml:space="preserve"> </w:t>
      </w:r>
      <w:r>
        <w:rPr>
          <w:iCs/>
          <w:i/>
        </w:rPr>
        <w:t xml:space="preserve">Journal of the Royal statistical society: series B (Methodological)</w:t>
      </w:r>
      <w:r>
        <w:t xml:space="preserve"> </w:t>
      </w:r>
      <w:r>
        <w:rPr>
          <w:bCs/>
          <w:b/>
        </w:rPr>
        <w:t xml:space="preserve">57</w:t>
      </w:r>
      <w:r>
        <w:t xml:space="preserve">: 289–300.</w:t>
      </w:r>
    </w:p>
    <w:bookmarkEnd w:id="30"/>
    <w:bookmarkStart w:id="31" w:name="ref-bhadra_alternative_2020"/>
    <w:p>
      <w:pPr>
        <w:pStyle w:val="Bibliography"/>
      </w:pPr>
      <w:r>
        <w:t xml:space="preserve">Bhadra M, Howell P, Dutta S, Heintz C, Mair WB. 2020. Alternative splicing in aging and longevity.</w:t>
      </w:r>
      <w:r>
        <w:t xml:space="preserve"> </w:t>
      </w:r>
      <w:r>
        <w:rPr>
          <w:iCs/>
          <w:i/>
        </w:rPr>
        <w:t xml:space="preserve">Human genetics</w:t>
      </w:r>
      <w:r>
        <w:t xml:space="preserve"> </w:t>
      </w:r>
      <w:r>
        <w:rPr>
          <w:bCs/>
          <w:b/>
        </w:rPr>
        <w:t xml:space="preserve">139</w:t>
      </w:r>
      <w:r>
        <w:t xml:space="preserve">: 357–369.</w:t>
      </w:r>
    </w:p>
    <w:bookmarkEnd w:id="31"/>
    <w:bookmarkStart w:id="33" w:name="ref-braunschweig_widespread_2014"/>
    <w:p>
      <w:pPr>
        <w:pStyle w:val="Bibliography"/>
      </w:pPr>
      <w:r>
        <w:t xml:space="preserve">Braunschweig U, Barbosa-Morais NL, Pan Q, Nachman EN, Alipanahi B, Gonatopoulos-Pournatzis T, Frey B, Irimia M, Blencowe BJ. 2014.</w:t>
      </w:r>
      <w:r>
        <w:t xml:space="preserve"> </w:t>
      </w:r>
      <w:hyperlink r:id="rId32">
        <w:r>
          <w:rPr>
            <w:rStyle w:val="Hyperlink"/>
          </w:rPr>
          <w:t xml:space="preserve">Widespread intron retention in mammals functionally tunes transcriptomes.</w:t>
        </w:r>
      </w:hyperlink>
      <w:r>
        <w:t xml:space="preserve"> </w:t>
      </w:r>
      <w:r>
        <w:rPr>
          <w:iCs/>
          <w:i/>
        </w:rPr>
        <w:t xml:space="preserve">Genome Res</w:t>
      </w:r>
      <w:r>
        <w:t xml:space="preserve"> </w:t>
      </w:r>
      <w:r>
        <w:rPr>
          <w:bCs/>
          <w:b/>
        </w:rPr>
        <w:t xml:space="preserve">24</w:t>
      </w:r>
      <w:r>
        <w:t xml:space="preserve">: 1774–1786.</w:t>
      </w:r>
    </w:p>
    <w:bookmarkEnd w:id="33"/>
    <w:bookmarkStart w:id="34" w:name="ref-dvinge_widespread_2015"/>
    <w:p>
      <w:pPr>
        <w:pStyle w:val="Bibliography"/>
      </w:pPr>
      <w:r>
        <w:t xml:space="preserve">Dvinge H, Bradley RK. 2015. Widespread intron retention diversifies most cancer transcriptomes.</w:t>
      </w:r>
      <w:r>
        <w:t xml:space="preserve"> </w:t>
      </w:r>
      <w:r>
        <w:rPr>
          <w:iCs/>
          <w:i/>
        </w:rPr>
        <w:t xml:space="preserve">Genome medicine</w:t>
      </w:r>
      <w:r>
        <w:t xml:space="preserve"> </w:t>
      </w:r>
      <w:r>
        <w:rPr>
          <w:bCs/>
          <w:b/>
        </w:rPr>
        <w:t xml:space="preserve">7</w:t>
      </w:r>
      <w:r>
        <w:t xml:space="preserve">: 1–13.</w:t>
      </w:r>
    </w:p>
    <w:bookmarkEnd w:id="34"/>
    <w:bookmarkStart w:id="36" w:name="ref-ferrucci_energysplicing_2022"/>
    <w:p>
      <w:pPr>
        <w:pStyle w:val="Bibliography"/>
      </w:pPr>
      <w:r>
        <w:t xml:space="preserve">Ferrucci L, Wilson DM, Donegà S, Gorospe M. 2022. The energy–splicing resilience axis hypothesis of aging.</w:t>
      </w:r>
      <w:r>
        <w:t xml:space="preserve"> </w:t>
      </w:r>
      <w:r>
        <w:rPr>
          <w:iCs/>
          <w:i/>
        </w:rPr>
        <w:t xml:space="preserve">Nature Aging</w:t>
      </w:r>
      <w:r>
        <w:t xml:space="preserve"> </w:t>
      </w:r>
      <w:r>
        <w:rPr>
          <w:bCs/>
          <w:b/>
        </w:rPr>
        <w:t xml:space="preserve">2</w:t>
      </w:r>
      <w:r>
        <w:t xml:space="preserve">: 182–185.</w:t>
      </w:r>
      <w:r>
        <w:t xml:space="preserve"> </w:t>
      </w:r>
      <w:hyperlink r:id="rId35">
        <w:r>
          <w:rPr>
            <w:rStyle w:val="Hyperlink"/>
          </w:rPr>
          <w:t xml:space="preserve">https://doi.org/10.1038/s43587-022-00189-w</w:t>
        </w:r>
      </w:hyperlink>
      <w:r>
        <w:t xml:space="preserve">.</w:t>
      </w:r>
    </w:p>
    <w:bookmarkEnd w:id="36"/>
    <w:bookmarkStart w:id="38" w:name="ref-garcia-ruiz_splicing_2023"/>
    <w:p>
      <w:pPr>
        <w:pStyle w:val="Bibliography"/>
      </w:pPr>
      <w:r>
        <w:t xml:space="preserve">García-Ruiz S, Zhang D, Gustavsson EK, Rocamora-Perez G, Grant-Peters M, Fairbrother-Browne A, Reynolds RH, Brenton JW, Gil-Martínez AL, Chen Z, et al. 2023.</w:t>
      </w:r>
      <w:r>
        <w:t xml:space="preserve"> </w:t>
      </w:r>
      <w:hyperlink r:id="rId37">
        <w:r>
          <w:rPr>
            <w:rStyle w:val="Hyperlink"/>
          </w:rPr>
          <w:t xml:space="preserve">Splicing accuracy varies across human introns, tissues and age.</w:t>
        </w:r>
      </w:hyperlink>
    </w:p>
    <w:bookmarkEnd w:id="38"/>
    <w:bookmarkStart w:id="39" w:name="ref-ge_functional_2014"/>
    <w:p>
      <w:pPr>
        <w:pStyle w:val="Bibliography"/>
      </w:pPr>
      <w:r>
        <w:t xml:space="preserve">Ge Y, Porse BT. 2014. The functional consequences of intron retention: Alternative splicing coupled to</w:t>
      </w:r>
      <w:r>
        <w:t xml:space="preserve"> </w:t>
      </w:r>
      <w:r>
        <w:t xml:space="preserve">NMD</w:t>
      </w:r>
      <w:r>
        <w:t xml:space="preserve"> </w:t>
      </w:r>
      <w:r>
        <w:t xml:space="preserve">as a regulator of gene expression.</w:t>
      </w:r>
      <w:r>
        <w:t xml:space="preserve"> </w:t>
      </w:r>
      <w:r>
        <w:rPr>
          <w:iCs/>
          <w:i/>
        </w:rPr>
        <w:t xml:space="preserve">Bioessays</w:t>
      </w:r>
      <w:r>
        <w:t xml:space="preserve"> </w:t>
      </w:r>
      <w:r>
        <w:rPr>
          <w:bCs/>
          <w:b/>
        </w:rPr>
        <w:t xml:space="preserve">36</w:t>
      </w:r>
      <w:r>
        <w:t xml:space="preserve">: 236–243.</w:t>
      </w:r>
    </w:p>
    <w:bookmarkEnd w:id="39"/>
    <w:bookmarkStart w:id="41" w:name="ref-gyenis_genome-wide_2023"/>
    <w:p>
      <w:pPr>
        <w:pStyle w:val="Bibliography"/>
      </w:pPr>
      <w:r>
        <w:t xml:space="preserve">Gyenis A, Chang J, Demmers JJPG, Bruens ST, Barnhoorn S, Brandt RMC, Baar MP, Raseta M, Derks KWJ, Hoeijmakers JHJ, et al. 2023. Genome-wide</w:t>
      </w:r>
      <w:r>
        <w:t xml:space="preserve"> </w:t>
      </w:r>
      <w:r>
        <w:t xml:space="preserve">RNA</w:t>
      </w:r>
      <w:r>
        <w:t xml:space="preserve"> </w:t>
      </w:r>
      <w:r>
        <w:t xml:space="preserve">polymerase stalling shapes the transcriptome during aging.</w:t>
      </w:r>
      <w:r>
        <w:t xml:space="preserve"> </w:t>
      </w:r>
      <w:r>
        <w:rPr>
          <w:iCs/>
          <w:i/>
        </w:rPr>
        <w:t xml:space="preserve">Nature Genetics</w:t>
      </w:r>
      <w:r>
        <w:t xml:space="preserve">.</w:t>
      </w:r>
      <w:r>
        <w:t xml:space="preserve"> </w:t>
      </w:r>
      <w:hyperlink r:id="rId40">
        <w:r>
          <w:rPr>
            <w:rStyle w:val="Hyperlink"/>
          </w:rPr>
          <w:t xml:space="preserve">https://doi.org/10.1038/s41588-022-01279-6</w:t>
        </w:r>
      </w:hyperlink>
      <w:r>
        <w:t xml:space="preserve">.</w:t>
      </w:r>
    </w:p>
    <w:bookmarkEnd w:id="41"/>
    <w:bookmarkStart w:id="42" w:name="ref-hasler_alterations_2011"/>
    <w:p>
      <w:pPr>
        <w:pStyle w:val="Bibliography"/>
      </w:pPr>
      <w:r>
        <w:t xml:space="preserve">Häsler R, Kerick M, Mah N, Hultschig C, Richter G, Bretz F, Sina C, Lehrach H, Nietfeld W, Schreiber S. 2011. Alterations of pre-</w:t>
      </w:r>
      <w:r>
        <w:t xml:space="preserve">mRNA</w:t>
      </w:r>
      <w:r>
        <w:t xml:space="preserve"> </w:t>
      </w:r>
      <w:r>
        <w:t xml:space="preserve">splicing in human inflammatory bowel disease.</w:t>
      </w:r>
      <w:r>
        <w:t xml:space="preserve"> </w:t>
      </w:r>
      <w:r>
        <w:rPr>
          <w:iCs/>
          <w:i/>
        </w:rPr>
        <w:t xml:space="preserve">European journal of cell biology</w:t>
      </w:r>
      <w:r>
        <w:t xml:space="preserve"> </w:t>
      </w:r>
      <w:r>
        <w:rPr>
          <w:bCs/>
          <w:b/>
        </w:rPr>
        <w:t xml:space="preserve">90</w:t>
      </w:r>
      <w:r>
        <w:t xml:space="preserve">: 603–611.</w:t>
      </w:r>
    </w:p>
    <w:bookmarkEnd w:id="42"/>
    <w:bookmarkStart w:id="43" w:name="ref-holly_changes_2013"/>
    <w:p>
      <w:pPr>
        <w:pStyle w:val="Bibliography"/>
      </w:pPr>
      <w:r>
        <w:t xml:space="preserve">Holly AC, Melzer D, Pilling LC, Fellows AC, Tanaka T, Ferrucci L, Harries LW. 2013. Changes in splicing factor expression are associated with advancing age in man.</w:t>
      </w:r>
      <w:r>
        <w:t xml:space="preserve"> </w:t>
      </w:r>
      <w:r>
        <w:rPr>
          <w:iCs/>
          <w:i/>
        </w:rPr>
        <w:t xml:space="preserve">Mechanisms of ageing and development</w:t>
      </w:r>
      <w:r>
        <w:t xml:space="preserve"> </w:t>
      </w:r>
      <w:r>
        <w:rPr>
          <w:bCs/>
          <w:b/>
        </w:rPr>
        <w:t xml:space="preserve">134</w:t>
      </w:r>
      <w:r>
        <w:t xml:space="preserve">: 356–366.</w:t>
      </w:r>
    </w:p>
    <w:bookmarkEnd w:id="43"/>
    <w:bookmarkStart w:id="45" w:name="ref-inoue_minor_2021"/>
    <w:p>
      <w:pPr>
        <w:pStyle w:val="Bibliography"/>
      </w:pPr>
      <w:r>
        <w:t xml:space="preserve">Inoue D, Polaski JT, Taylor J, Castel P, Chen S, Kobayashi S, Hogg SJ, Hayashi Y, Pineda JMB, El Marabti E, et al. 2021. Minor intron retention drives clonal hematopoietic disorders and diverse cancer predisposition.</w:t>
      </w:r>
      <w:r>
        <w:t xml:space="preserve"> </w:t>
      </w:r>
      <w:r>
        <w:rPr>
          <w:iCs/>
          <w:i/>
        </w:rPr>
        <w:t xml:space="preserve">Nature Genetics</w:t>
      </w:r>
      <w:r>
        <w:t xml:space="preserve"> </w:t>
      </w:r>
      <w:r>
        <w:rPr>
          <w:bCs/>
          <w:b/>
        </w:rPr>
        <w:t xml:space="preserve">53</w:t>
      </w:r>
      <w:r>
        <w:t xml:space="preserve">: 707–718.</w:t>
      </w:r>
      <w:r>
        <w:t xml:space="preserve"> </w:t>
      </w:r>
      <w:hyperlink r:id="rId44">
        <w:r>
          <w:rPr>
            <w:rStyle w:val="Hyperlink"/>
          </w:rPr>
          <w:t xml:space="preserve">https://doi.org/10.1038/s41588-021-00828-9</w:t>
        </w:r>
      </w:hyperlink>
      <w:r>
        <w:t xml:space="preserve">.</w:t>
      </w:r>
    </w:p>
    <w:bookmarkEnd w:id="45"/>
    <w:bookmarkStart w:id="46" w:name="ref-keshavarz_targeting_2023"/>
    <w:p>
      <w:pPr>
        <w:pStyle w:val="Bibliography"/>
      </w:pPr>
      <w:r>
        <w:t xml:space="preserve">Keshavarz M, Xie K, Schaaf K, Bano D, Ehninger D. 2023. Targeting the</w:t>
      </w:r>
      <w:r>
        <w:t xml:space="preserve"> </w:t>
      </w:r>
      <w:r>
        <w:t xml:space="preserve">“hallmarks of aging”</w:t>
      </w:r>
      <w:r>
        <w:t xml:space="preserve"> </w:t>
      </w:r>
      <w:r>
        <w:t xml:space="preserve">to slow aging and treat age-related disease: Fact or fiction?</w:t>
      </w:r>
      <w:r>
        <w:t xml:space="preserve"> </w:t>
      </w:r>
      <w:r>
        <w:rPr>
          <w:iCs/>
          <w:i/>
        </w:rPr>
        <w:t xml:space="preserve">Molecular Psychiatry</w:t>
      </w:r>
      <w:r>
        <w:t xml:space="preserve"> </w:t>
      </w:r>
      <w:r>
        <w:rPr>
          <w:bCs/>
          <w:b/>
        </w:rPr>
        <w:t xml:space="preserve">28</w:t>
      </w:r>
      <w:r>
        <w:t xml:space="preserve">: 242–255.</w:t>
      </w:r>
    </w:p>
    <w:bookmarkEnd w:id="46"/>
    <w:bookmarkStart w:id="48" w:name="ref-khan_increased_2020"/>
    <w:p>
      <w:pPr>
        <w:pStyle w:val="Bibliography"/>
      </w:pPr>
      <w:r>
        <w:t xml:space="preserve">Khan Y, Hammarström D, Rønnestad BR, Ellefsen S, Ahmad R. 2020. Increased biological relevance of transcriptome analyses in human skeletal muscle using a model-specific pipeline.</w:t>
      </w:r>
      <w:r>
        <w:t xml:space="preserve"> </w:t>
      </w:r>
      <w:r>
        <w:rPr>
          <w:iCs/>
          <w:i/>
        </w:rPr>
        <w:t xml:space="preserve">BMC</w:t>
      </w:r>
      <w:r>
        <w:rPr>
          <w:iCs/>
          <w:i/>
        </w:rPr>
        <w:t xml:space="preserve"> </w:t>
      </w:r>
      <w:r>
        <w:rPr>
          <w:iCs/>
          <w:i/>
        </w:rPr>
        <w:t xml:space="preserve">Bioinformatics</w:t>
      </w:r>
      <w:r>
        <w:t xml:space="preserve"> </w:t>
      </w:r>
      <w:r>
        <w:rPr>
          <w:bCs/>
          <w:b/>
        </w:rPr>
        <w:t xml:space="preserve">21</w:t>
      </w:r>
      <w:r>
        <w:t xml:space="preserve">: 548.</w:t>
      </w:r>
      <w:r>
        <w:t xml:space="preserve"> </w:t>
      </w:r>
      <w:hyperlink r:id="rId47">
        <w:r>
          <w:rPr>
            <w:rStyle w:val="Hyperlink"/>
          </w:rPr>
          <w:t xml:space="preserve">https://doi.org/10.1186/s12859-020-03866-y</w:t>
        </w:r>
      </w:hyperlink>
      <w:r>
        <w:t xml:space="preserve">.</w:t>
      </w:r>
    </w:p>
    <w:bookmarkEnd w:id="48"/>
    <w:bookmarkStart w:id="50" w:name="ref-kodama_systematic_2024"/>
    <w:p>
      <w:pPr>
        <w:pStyle w:val="Bibliography"/>
      </w:pPr>
      <w:r>
        <w:t xml:space="preserve">Kodama H, Ijima H, Matsui Y. 2024. Systematic identification of exercise-induced anti-aging processes involving intron retention.</w:t>
      </w:r>
      <w:r>
        <w:t xml:space="preserve"> </w:t>
      </w:r>
      <w:r>
        <w:rPr>
          <w:iCs/>
          <w:i/>
        </w:rPr>
        <w:t xml:space="preserve">bioRxiv</w:t>
      </w:r>
      <w:r>
        <w:t xml:space="preserve"> </w:t>
      </w:r>
      <w:r>
        <w:t xml:space="preserve">2024.04.25.591048.</w:t>
      </w:r>
      <w:r>
        <w:t xml:space="preserve"> </w:t>
      </w:r>
      <w:hyperlink r:id="rId49">
        <w:r>
          <w:rPr>
            <w:rStyle w:val="Hyperlink"/>
          </w:rPr>
          <w:t xml:space="preserve">http://biorxiv.org/content/early/2024/04/28/2024.04.25.591048.abstract</w:t>
        </w:r>
      </w:hyperlink>
      <w:r>
        <w:t xml:space="preserve">.</w:t>
      </w:r>
    </w:p>
    <w:bookmarkEnd w:id="50"/>
    <w:bookmarkStart w:id="52" w:name="ref-kryger_resistance_2007"/>
    <w:p>
      <w:pPr>
        <w:pStyle w:val="Bibliography"/>
      </w:pPr>
      <w:r>
        <w:t xml:space="preserve">Kryger AI, Andersen JL. 2007.</w:t>
      </w:r>
      <w:r>
        <w:t xml:space="preserve"> </w:t>
      </w:r>
      <w:hyperlink r:id="rId51">
        <w:r>
          <w:rPr>
            <w:rStyle w:val="Hyperlink"/>
          </w:rPr>
          <w:t xml:space="preserve">Resistance training in the oldest old: Consequences for muscle strength, fiber types, fiber size, and</w:t>
        </w:r>
        <w:r>
          <w:rPr>
            <w:rStyle w:val="Hyperlink"/>
          </w:rPr>
          <w:t xml:space="preserve"> </w:t>
        </w:r>
        <w:r>
          <w:rPr>
            <w:rStyle w:val="Hyperlink"/>
          </w:rPr>
          <w:t xml:space="preserve">MHC</w:t>
        </w:r>
        <w:r>
          <w:rPr>
            <w:rStyle w:val="Hyperlink"/>
          </w:rPr>
          <w:t xml:space="preserve"> </w:t>
        </w:r>
        <w:r>
          <w:rPr>
            <w:rStyle w:val="Hyperlink"/>
          </w:rPr>
          <w:t xml:space="preserve">isoforms.</w:t>
        </w:r>
      </w:hyperlink>
      <w:r>
        <w:t xml:space="preserve"> </w:t>
      </w:r>
      <w:r>
        <w:rPr>
          <w:iCs/>
          <w:i/>
        </w:rPr>
        <w:t xml:space="preserve">Scand J Med Sci Sports</w:t>
      </w:r>
      <w:r>
        <w:t xml:space="preserve"> </w:t>
      </w:r>
      <w:r>
        <w:rPr>
          <w:bCs/>
          <w:b/>
        </w:rPr>
        <w:t xml:space="preserve">17</w:t>
      </w:r>
      <w:r>
        <w:t xml:space="preserve">: 422–430.</w:t>
      </w:r>
    </w:p>
    <w:bookmarkEnd w:id="52"/>
    <w:bookmarkStart w:id="54" w:name="ref-kulkarni_metformin_2020"/>
    <w:p>
      <w:pPr>
        <w:pStyle w:val="Bibliography"/>
      </w:pPr>
      <w:r>
        <w:t xml:space="preserve">Kulkarni AS, Peck BD, Walton RG, Kern PA, Mar JC, Windham ST, Bamman MM, Barzilai N, Peterson CA. 2020.</w:t>
      </w:r>
      <w:r>
        <w:t xml:space="preserve"> </w:t>
      </w:r>
      <w:hyperlink r:id="rId53">
        <w:r>
          <w:rPr>
            <w:rStyle w:val="Hyperlink"/>
          </w:rPr>
          <w:t xml:space="preserve">Metformin alters skeletal muscle transcriptome adaptations to resistance training in older adults.</w:t>
        </w:r>
      </w:hyperlink>
      <w:r>
        <w:t xml:space="preserve"> </w:t>
      </w:r>
      <w:r>
        <w:rPr>
          <w:iCs/>
          <w:i/>
        </w:rPr>
        <w:t xml:space="preserve">Aging (Albany</w:t>
      </w:r>
      <w:r>
        <w:rPr>
          <w:iCs/>
          <w:i/>
        </w:rPr>
        <w:t xml:space="preserve"> </w:t>
      </w:r>
      <w:r>
        <w:rPr>
          <w:iCs/>
          <w:i/>
        </w:rPr>
        <w:t xml:space="preserve">NY</w:t>
      </w:r>
      <w:r>
        <w:rPr>
          <w:iCs/>
          <w:i/>
        </w:rPr>
        <w:t xml:space="preserve">)</w:t>
      </w:r>
      <w:r>
        <w:t xml:space="preserve"> </w:t>
      </w:r>
      <w:r>
        <w:rPr>
          <w:bCs/>
          <w:b/>
        </w:rPr>
        <w:t xml:space="preserve">12</w:t>
      </w:r>
      <w:r>
        <w:t xml:space="preserve">: 19852–19866.</w:t>
      </w:r>
    </w:p>
    <w:bookmarkEnd w:id="54"/>
    <w:bookmarkStart w:id="56" w:name="ref-latorre_splicing_2017"/>
    <w:p>
      <w:pPr>
        <w:pStyle w:val="Bibliography"/>
      </w:pPr>
      <w:r>
        <w:t xml:space="preserve">Latorre E, Harries LornaW. 2017. Splicing regulatory factors, ageing and age-related disease.</w:t>
      </w:r>
      <w:r>
        <w:t xml:space="preserve"> </w:t>
      </w:r>
      <w:r>
        <w:rPr>
          <w:iCs/>
          <w:i/>
        </w:rPr>
        <w:t xml:space="preserve">Ageing Research Reviews</w:t>
      </w:r>
      <w:r>
        <w:t xml:space="preserve"> </w:t>
      </w:r>
      <w:r>
        <w:rPr>
          <w:bCs/>
          <w:b/>
        </w:rPr>
        <w:t xml:space="preserve">36</w:t>
      </w:r>
      <w:r>
        <w:t xml:space="preserve">: 165–170.</w:t>
      </w:r>
      <w:r>
        <w:t xml:space="preserve"> </w:t>
      </w:r>
      <w:hyperlink r:id="rId55">
        <w:r>
          <w:rPr>
            <w:rStyle w:val="Hyperlink"/>
          </w:rPr>
          <w:t xml:space="preserve">https://www.sciencedirect.com/science/article/pii/S1568163717300624</w:t>
        </w:r>
      </w:hyperlink>
      <w:r>
        <w:t xml:space="preserve">.</w:t>
      </w:r>
    </w:p>
    <w:bookmarkEnd w:id="56"/>
    <w:bookmarkStart w:id="58" w:name="ref-li_rsem_2011"/>
    <w:p>
      <w:pPr>
        <w:pStyle w:val="Bibliography"/>
      </w:pPr>
      <w:r>
        <w:t xml:space="preserve">Li B, Dewey CN. 2011.</w:t>
      </w:r>
      <w:r>
        <w:t xml:space="preserve"> </w:t>
      </w:r>
      <w:r>
        <w:t xml:space="preserve">RSEM</w:t>
      </w:r>
      <w:r>
        <w:t xml:space="preserve">: Accurate transcript quantification from</w:t>
      </w:r>
      <w:r>
        <w:t xml:space="preserve"> </w:t>
      </w:r>
      <w:r>
        <w:t xml:space="preserve">RNA</w:t>
      </w:r>
      <w:r>
        <w:t xml:space="preserve">-seq data with or without a reference genome.</w:t>
      </w:r>
      <w:r>
        <w:t xml:space="preserve"> </w:t>
      </w:r>
      <w:r>
        <w:rPr>
          <w:iCs/>
          <w:i/>
        </w:rPr>
        <w:t xml:space="preserve">BMC</w:t>
      </w:r>
      <w:r>
        <w:rPr>
          <w:iCs/>
          <w:i/>
        </w:rPr>
        <w:t xml:space="preserve"> </w:t>
      </w:r>
      <w:r>
        <w:rPr>
          <w:iCs/>
          <w:i/>
        </w:rPr>
        <w:t xml:space="preserve">Bioinformatics</w:t>
      </w:r>
      <w:r>
        <w:t xml:space="preserve"> </w:t>
      </w:r>
      <w:r>
        <w:rPr>
          <w:bCs/>
          <w:b/>
        </w:rPr>
        <w:t xml:space="preserve">12</w:t>
      </w:r>
      <w:r>
        <w:t xml:space="preserve">: 323.</w:t>
      </w:r>
      <w:r>
        <w:t xml:space="preserve"> </w:t>
      </w:r>
      <w:hyperlink r:id="rId57">
        <w:r>
          <w:rPr>
            <w:rStyle w:val="Hyperlink"/>
          </w:rPr>
          <w:t xml:space="preserve">https://doi.org/10.1186/1471-2105-12-323</w:t>
        </w:r>
      </w:hyperlink>
      <w:r>
        <w:t xml:space="preserve">.</w:t>
      </w:r>
    </w:p>
    <w:bookmarkEnd w:id="58"/>
    <w:bookmarkStart w:id="60" w:name="ref-liu_progressive_2009"/>
    <w:p>
      <w:pPr>
        <w:pStyle w:val="Bibliography"/>
      </w:pPr>
      <w:r>
        <w:t xml:space="preserve">Liu C-J, Latham NK. 2009.</w:t>
      </w:r>
      <w:r>
        <w:t xml:space="preserve"> </w:t>
      </w:r>
      <w:hyperlink r:id="rId59">
        <w:r>
          <w:rPr>
            <w:rStyle w:val="Hyperlink"/>
          </w:rPr>
          <w:t xml:space="preserve">Progressive resistance strength training for improving physical function in older adults.</w:t>
        </w:r>
      </w:hyperlink>
      <w:r>
        <w:t xml:space="preserve"> </w:t>
      </w:r>
      <w:r>
        <w:rPr>
          <w:iCs/>
          <w:i/>
        </w:rPr>
        <w:t xml:space="preserve">Cochrane Database Syst Rev</w:t>
      </w:r>
      <w:r>
        <w:t xml:space="preserve"> </w:t>
      </w:r>
      <w:r>
        <w:rPr>
          <w:bCs/>
          <w:b/>
        </w:rPr>
        <w:t xml:space="preserve">2009</w:t>
      </w:r>
      <w:r>
        <w:t xml:space="preserve">: CD002759.</w:t>
      </w:r>
    </w:p>
    <w:bookmarkEnd w:id="60"/>
    <w:bookmarkStart w:id="61" w:name="ref-lopez-otin_hallmarks_2013"/>
    <w:p>
      <w:pPr>
        <w:pStyle w:val="Bibliography"/>
      </w:pPr>
      <w:r>
        <w:t xml:space="preserve">López-Otín C, Blasco MA, Partridge L, Serrano M, Kroemer G. 2013. The hallmarks of aging.</w:t>
      </w:r>
      <w:r>
        <w:t xml:space="preserve"> </w:t>
      </w:r>
      <w:r>
        <w:rPr>
          <w:iCs/>
          <w:i/>
        </w:rPr>
        <w:t xml:space="preserve">Cell</w:t>
      </w:r>
      <w:r>
        <w:t xml:space="preserve"> </w:t>
      </w:r>
      <w:r>
        <w:rPr>
          <w:bCs/>
          <w:b/>
        </w:rPr>
        <w:t xml:space="preserve">153</w:t>
      </w:r>
      <w:r>
        <w:t xml:space="preserve">: 1194–1217.</w:t>
      </w:r>
    </w:p>
    <w:bookmarkEnd w:id="61"/>
    <w:bookmarkStart w:id="62" w:name="ref-lu_effects_2021"/>
    <w:p>
      <w:pPr>
        <w:pStyle w:val="Bibliography"/>
      </w:pPr>
      <w:r>
        <w:t xml:space="preserve">Lu L, Mao L, Feng Y, Ainsworth BE, Liu Y, Chen N. 2021. Effects of different exercise training modes on muscle strength and physical performance in older people with sarcopenia: A systematic review and meta-analysis.</w:t>
      </w:r>
      <w:r>
        <w:t xml:space="preserve"> </w:t>
      </w:r>
      <w:r>
        <w:rPr>
          <w:iCs/>
          <w:i/>
        </w:rPr>
        <w:t xml:space="preserve">BMC</w:t>
      </w:r>
      <w:r>
        <w:rPr>
          <w:iCs/>
          <w:i/>
        </w:rPr>
        <w:t xml:space="preserve"> </w:t>
      </w:r>
      <w:r>
        <w:rPr>
          <w:iCs/>
          <w:i/>
        </w:rPr>
        <w:t xml:space="preserve">geriatrics</w:t>
      </w:r>
      <w:r>
        <w:t xml:space="preserve"> </w:t>
      </w:r>
      <w:r>
        <w:rPr>
          <w:bCs/>
          <w:b/>
        </w:rPr>
        <w:t xml:space="preserve">21</w:t>
      </w:r>
      <w:r>
        <w:t xml:space="preserve">: 708.</w:t>
      </w:r>
    </w:p>
    <w:bookmarkEnd w:id="62"/>
    <w:bookmarkStart w:id="64" w:name="ref-mariotti_deterioration_2022"/>
    <w:p>
      <w:pPr>
        <w:pStyle w:val="Bibliography"/>
      </w:pPr>
      <w:r>
        <w:t xml:space="preserve">Mariotti M, Kerepesi C, Oliveros W, Mele M, Gladyshev VN. 2022. Deterioration of the human transcriptome with age due to increasing intron retention and spurious splicing.</w:t>
      </w:r>
      <w:r>
        <w:t xml:space="preserve"> </w:t>
      </w:r>
      <w:r>
        <w:rPr>
          <w:iCs/>
          <w:i/>
        </w:rPr>
        <w:t xml:space="preserve">bioRxiv</w:t>
      </w:r>
      <w:r>
        <w:t xml:space="preserve"> </w:t>
      </w:r>
      <w:r>
        <w:t xml:space="preserve">2022.03.14.484341.</w:t>
      </w:r>
      <w:r>
        <w:t xml:space="preserve"> </w:t>
      </w:r>
      <w:hyperlink r:id="rId63">
        <w:r>
          <w:rPr>
            <w:rStyle w:val="Hyperlink"/>
          </w:rPr>
          <w:t xml:space="preserve">http://biorxiv.org/content/early/2022/03/14/2022.03.14.484341.abstract</w:t>
        </w:r>
      </w:hyperlink>
      <w:r>
        <w:t xml:space="preserve">.</w:t>
      </w:r>
    </w:p>
    <w:bookmarkEnd w:id="64"/>
    <w:bookmarkStart w:id="65" w:name="ref-mauger_targeted_2016"/>
    <w:p>
      <w:pPr>
        <w:pStyle w:val="Bibliography"/>
      </w:pPr>
      <w:r>
        <w:t xml:space="preserve">Mauger O, Lemoine F, Scheiffele P. 2016. Targeted intron retention and excision for rapid gene regulation in response to neuronal activity.</w:t>
      </w:r>
      <w:r>
        <w:t xml:space="preserve"> </w:t>
      </w:r>
      <w:r>
        <w:rPr>
          <w:iCs/>
          <w:i/>
        </w:rPr>
        <w:t xml:space="preserve">Neuron</w:t>
      </w:r>
      <w:r>
        <w:t xml:space="preserve"> </w:t>
      </w:r>
      <w:r>
        <w:rPr>
          <w:bCs/>
          <w:b/>
        </w:rPr>
        <w:t xml:space="preserve">92</w:t>
      </w:r>
      <w:r>
        <w:t xml:space="preserve">: 1266–1278.</w:t>
      </w:r>
    </w:p>
    <w:bookmarkEnd w:id="65"/>
    <w:bookmarkStart w:id="66" w:name="ref-de_melo_costa_splice-q_2021"/>
    <w:p>
      <w:pPr>
        <w:pStyle w:val="Bibliography"/>
      </w:pPr>
      <w:r>
        <w:t xml:space="preserve">Melo Costa VR de, Pfeuffer J, Louloupi A, Ørom UA, Piro RM. 2021.</w:t>
      </w:r>
      <w:r>
        <w:t xml:space="preserve"> </w:t>
      </w:r>
      <w:r>
        <w:t xml:space="preserve">SPLICE</w:t>
      </w:r>
      <w:r>
        <w:t xml:space="preserve">-q: A python tool for genome-wide quantification of splicing efficiency.</w:t>
      </w:r>
      <w:r>
        <w:t xml:space="preserve"> </w:t>
      </w:r>
      <w:r>
        <w:rPr>
          <w:iCs/>
          <w:i/>
        </w:rPr>
        <w:t xml:space="preserve">BMC</w:t>
      </w:r>
      <w:r>
        <w:rPr>
          <w:iCs/>
          <w:i/>
        </w:rPr>
        <w:t xml:space="preserve"> </w:t>
      </w:r>
      <w:r>
        <w:rPr>
          <w:iCs/>
          <w:i/>
        </w:rPr>
        <w:t xml:space="preserve">bioinformatics</w:t>
      </w:r>
      <w:r>
        <w:t xml:space="preserve"> </w:t>
      </w:r>
      <w:r>
        <w:rPr>
          <w:bCs/>
          <w:b/>
        </w:rPr>
        <w:t xml:space="preserve">22</w:t>
      </w:r>
      <w:r>
        <w:t xml:space="preserve">: 1–14.</w:t>
      </w:r>
    </w:p>
    <w:bookmarkEnd w:id="66"/>
    <w:bookmarkStart w:id="68" w:name="ref-middleton_irfinder_2017"/>
    <w:p>
      <w:pPr>
        <w:pStyle w:val="Bibliography"/>
      </w:pPr>
      <w:r>
        <w:t xml:space="preserve">Middleton R, Gao D, Thomas A, Singh B, Au A, Wong JJ-L, Bomane A, Cosson B, Eyras E, Rasko JEJ, et al. 2017.</w:t>
      </w:r>
      <w:r>
        <w:t xml:space="preserve"> </w:t>
      </w:r>
      <w:hyperlink r:id="rId67">
        <w:r>
          <w:rPr>
            <w:rStyle w:val="Hyperlink"/>
          </w:rPr>
          <w:t xml:space="preserve">IRFinder</w:t>
        </w:r>
        <w:r>
          <w:rPr>
            <w:rStyle w:val="Hyperlink"/>
          </w:rPr>
          <w:t xml:space="preserve">: Assessing the impact of intron retention on mammalian gene expression.</w:t>
        </w:r>
      </w:hyperlink>
      <w:r>
        <w:t xml:space="preserve"> </w:t>
      </w:r>
      <w:r>
        <w:rPr>
          <w:iCs/>
          <w:i/>
        </w:rPr>
        <w:t xml:space="preserve">Genome Biol</w:t>
      </w:r>
      <w:r>
        <w:t xml:space="preserve"> </w:t>
      </w:r>
      <w:r>
        <w:rPr>
          <w:bCs/>
          <w:b/>
        </w:rPr>
        <w:t xml:space="preserve">18</w:t>
      </w:r>
      <w:r>
        <w:t xml:space="preserve">: 51.</w:t>
      </w:r>
    </w:p>
    <w:bookmarkEnd w:id="68"/>
    <w:bookmarkStart w:id="70" w:name="ref-molmen_chronic_2021"/>
    <w:p>
      <w:pPr>
        <w:pStyle w:val="Bibliography"/>
      </w:pPr>
      <w:r>
        <w:t xml:space="preserve">Mølmen KS, Hammarström D, Falch GS, Grundtvig M, Koll L, Hanestadhaugen M, Khan Y, Ahmad R, Malerbakken B, Rødølen TJ, et al. 2021.</w:t>
      </w:r>
      <w:r>
        <w:t xml:space="preserve"> </w:t>
      </w:r>
      <w:hyperlink r:id="rId69">
        <w:r>
          <w:rPr>
            <w:rStyle w:val="Hyperlink"/>
          </w:rPr>
          <w:t xml:space="preserve">Chronic obstructive pulmonary disease does not impair responses to resistance training.</w:t>
        </w:r>
      </w:hyperlink>
      <w:r>
        <w:t xml:space="preserve"> </w:t>
      </w:r>
      <w:r>
        <w:rPr>
          <w:iCs/>
          <w:i/>
        </w:rPr>
        <w:t xml:space="preserve">J Transl Med</w:t>
      </w:r>
      <w:r>
        <w:t xml:space="preserve"> </w:t>
      </w:r>
      <w:r>
        <w:rPr>
          <w:bCs/>
          <w:b/>
        </w:rPr>
        <w:t xml:space="preserve">19</w:t>
      </w:r>
      <w:r>
        <w:t xml:space="preserve">: 292.</w:t>
      </w:r>
    </w:p>
    <w:bookmarkEnd w:id="70"/>
    <w:bookmarkStart w:id="72" w:name="ref-monteuuis_changing_2019"/>
    <w:p>
      <w:pPr>
        <w:pStyle w:val="Bibliography"/>
      </w:pPr>
      <w:r>
        <w:t xml:space="preserve">Monteuuis G, Wong JJL, Bailey CG, Schmitz U, Rasko JEJ. 2019. The changing paradigm of intron retention: Regulation, ramifications and recipes.</w:t>
      </w:r>
      <w:r>
        <w:t xml:space="preserve"> </w:t>
      </w:r>
      <w:r>
        <w:rPr>
          <w:iCs/>
          <w:i/>
        </w:rPr>
        <w:t xml:space="preserve">Nucleic Acids Research</w:t>
      </w:r>
      <w:r>
        <w:t xml:space="preserve"> </w:t>
      </w:r>
      <w:r>
        <w:rPr>
          <w:bCs/>
          <w:b/>
        </w:rPr>
        <w:t xml:space="preserve">47</w:t>
      </w:r>
      <w:r>
        <w:t xml:space="preserve">: 11497–11513.</w:t>
      </w:r>
      <w:r>
        <w:t xml:space="preserve"> </w:t>
      </w:r>
      <w:hyperlink r:id="rId71">
        <w:r>
          <w:rPr>
            <w:rStyle w:val="Hyperlink"/>
          </w:rPr>
          <w:t xml:space="preserve">https://doi.org/10.1093/nar/gkz1068</w:t>
        </w:r>
      </w:hyperlink>
      <w:r>
        <w:t xml:space="preserve"> </w:t>
      </w:r>
      <w:r>
        <w:t xml:space="preserve">(Accessed October 3, 2024).</w:t>
      </w:r>
    </w:p>
    <w:bookmarkEnd w:id="72"/>
    <w:bookmarkStart w:id="73" w:name="ref-nelson_novel_2005"/>
    <w:p>
      <w:pPr>
        <w:pStyle w:val="Bibliography"/>
      </w:pPr>
      <w:r>
        <w:t xml:space="preserve">Nelson ME, Thurmes PJ, Hoyer JD, Steensma DP. 2005. A novel 5’</w:t>
      </w:r>
      <w:r>
        <w:t xml:space="preserve">ATRX</w:t>
      </w:r>
      <w:r>
        <w:t xml:space="preserve"> </w:t>
      </w:r>
      <w:r>
        <w:t xml:space="preserve">mutation with splicing consequences in acquired alpha thalassemia-myelodysplastic syndrome.</w:t>
      </w:r>
      <w:r>
        <w:t xml:space="preserve"> </w:t>
      </w:r>
      <w:r>
        <w:rPr>
          <w:iCs/>
          <w:i/>
        </w:rPr>
        <w:t xml:space="preserve">haematologica</w:t>
      </w:r>
      <w:r>
        <w:t xml:space="preserve"> </w:t>
      </w:r>
      <w:r>
        <w:rPr>
          <w:bCs/>
          <w:b/>
        </w:rPr>
        <w:t xml:space="preserve">90</w:t>
      </w:r>
      <w:r>
        <w:t xml:space="preserve">: 1463–1470.</w:t>
      </w:r>
    </w:p>
    <w:bookmarkEnd w:id="73"/>
    <w:bookmarkStart w:id="74" w:name="ref-nie_distinct_2022"/>
    <w:p>
      <w:pPr>
        <w:pStyle w:val="Bibliography"/>
      </w:pPr>
      <w:r>
        <w:t xml:space="preserve">Nie C, Li Y, Li R, Yan Y, Zhang D, Li T, Li Z, Sun Y, Zhen H, Ding J. 2022. Distinct biological ages of organs and systems identified from a multi-omics study.</w:t>
      </w:r>
      <w:r>
        <w:t xml:space="preserve"> </w:t>
      </w:r>
      <w:r>
        <w:rPr>
          <w:iCs/>
          <w:i/>
        </w:rPr>
        <w:t xml:space="preserve">Cell reports</w:t>
      </w:r>
      <w:r>
        <w:t xml:space="preserve"> </w:t>
      </w:r>
      <w:r>
        <w:rPr>
          <w:bCs/>
          <w:b/>
        </w:rPr>
        <w:t xml:space="preserve">38</w:t>
      </w:r>
      <w:r>
        <w:t xml:space="preserve">.</w:t>
      </w:r>
    </w:p>
    <w:bookmarkEnd w:id="74"/>
    <w:bookmarkStart w:id="76" w:name="ref-nishida_tissue-_2015"/>
    <w:p>
      <w:pPr>
        <w:pStyle w:val="Bibliography"/>
      </w:pPr>
      <w:r>
        <w:t xml:space="preserve">Nishida A, Minegishi M, Takeuchi A, Niba ETE, Awano H, Lee T, Iijima K, Takeshima Y, Matsuo M. 2015. Tissue- and case-specific retention of intron 40 in mature dystrophin</w:t>
      </w:r>
      <w:r>
        <w:t xml:space="preserve"> </w:t>
      </w:r>
      <w:r>
        <w:t xml:space="preserve">mRNA</w:t>
      </w:r>
      <w:r>
        <w:t xml:space="preserve">.</w:t>
      </w:r>
      <w:r>
        <w:t xml:space="preserve"> </w:t>
      </w:r>
      <w:r>
        <w:rPr>
          <w:iCs/>
          <w:i/>
        </w:rPr>
        <w:t xml:space="preserve">Journal of Human Genetics</w:t>
      </w:r>
      <w:r>
        <w:t xml:space="preserve"> </w:t>
      </w:r>
      <w:r>
        <w:rPr>
          <w:bCs/>
          <w:b/>
        </w:rPr>
        <w:t xml:space="preserve">60</w:t>
      </w:r>
      <w:r>
        <w:t xml:space="preserve">: 327–333.</w:t>
      </w:r>
      <w:r>
        <w:t xml:space="preserve"> </w:t>
      </w:r>
      <w:hyperlink r:id="rId75">
        <w:r>
          <w:rPr>
            <w:rStyle w:val="Hyperlink"/>
          </w:rPr>
          <w:t xml:space="preserve">https://doi.org/10.1038/jhg.2015.24</w:t>
        </w:r>
      </w:hyperlink>
      <w:r>
        <w:t xml:space="preserve">.</w:t>
      </w:r>
    </w:p>
    <w:bookmarkEnd w:id="76"/>
    <w:bookmarkStart w:id="77" w:name="ref-ong_increased_2020"/>
    <w:p>
      <w:pPr>
        <w:pStyle w:val="Bibliography"/>
      </w:pPr>
      <w:r>
        <w:t xml:space="preserve">Ong C-T, Adusumalli S. 2020. Increased intron retention is linked to alzheimer’s disease.</w:t>
      </w:r>
      <w:r>
        <w:t xml:space="preserve"> </w:t>
      </w:r>
      <w:r>
        <w:rPr>
          <w:iCs/>
          <w:i/>
        </w:rPr>
        <w:t xml:space="preserve">Neural regeneration research</w:t>
      </w:r>
      <w:r>
        <w:t xml:space="preserve"> </w:t>
      </w:r>
      <w:r>
        <w:rPr>
          <w:bCs/>
          <w:b/>
        </w:rPr>
        <w:t xml:space="preserve">15</w:t>
      </w:r>
      <w:r>
        <w:t xml:space="preserve">: 259–260.</w:t>
      </w:r>
    </w:p>
    <w:bookmarkEnd w:id="77"/>
    <w:bookmarkStart w:id="79" w:name="ref-pabis_concerted_2024"/>
    <w:p>
      <w:pPr>
        <w:pStyle w:val="Bibliography"/>
      </w:pPr>
      <w:r>
        <w:t xml:space="preserve">Pabis K, Barardo D, Sirbu O, Selvarajoo K, Gruber J, Kennedy BK. 2024. A concerted increase in readthrough and intron retention drives transposon expression during aging and senescence.</w:t>
      </w:r>
      <w:r>
        <w:t xml:space="preserve"> </w:t>
      </w:r>
      <w:hyperlink r:id="rId78">
        <w:r>
          <w:rPr>
            <w:rStyle w:val="Hyperlink"/>
          </w:rPr>
          <w:t xml:space="preserve">http://dx.doi.org/10.7554/eLife.87811.2</w:t>
        </w:r>
      </w:hyperlink>
      <w:r>
        <w:t xml:space="preserve">.</w:t>
      </w:r>
    </w:p>
    <w:bookmarkEnd w:id="79"/>
    <w:bookmarkStart w:id="81" w:name="ref-peterson_influence_2011"/>
    <w:p>
      <w:pPr>
        <w:pStyle w:val="Bibliography"/>
      </w:pPr>
      <w:r>
        <w:t xml:space="preserve">Peterson MD, Sen A, Gordon PM. 2011.</w:t>
      </w:r>
      <w:r>
        <w:t xml:space="preserve"> </w:t>
      </w:r>
      <w:hyperlink r:id="rId80">
        <w:r>
          <w:rPr>
            <w:rStyle w:val="Hyperlink"/>
          </w:rPr>
          <w:t xml:space="preserve">Influence of resistance exercise on lean body mass in aging adults: A meta-analysis.</w:t>
        </w:r>
      </w:hyperlink>
      <w:r>
        <w:t xml:space="preserve"> </w:t>
      </w:r>
      <w:r>
        <w:rPr>
          <w:iCs/>
          <w:i/>
        </w:rPr>
        <w:t xml:space="preserve">Med Sci Sports Exerc</w:t>
      </w:r>
      <w:r>
        <w:t xml:space="preserve"> </w:t>
      </w:r>
      <w:r>
        <w:rPr>
          <w:bCs/>
          <w:b/>
        </w:rPr>
        <w:t xml:space="preserve">43</w:t>
      </w:r>
      <w:r>
        <w:t xml:space="preserve">: 249–258.</w:t>
      </w:r>
    </w:p>
    <w:bookmarkEnd w:id="81"/>
    <w:bookmarkStart w:id="82" w:name="ref-robinson_enhanced_2017"/>
    <w:p>
      <w:pPr>
        <w:pStyle w:val="Bibliography"/>
      </w:pPr>
      <w:r>
        <w:t xml:space="preserve">Robinson MM, Dasari S, Konopka AR, Johnson ML, Manjunatha S, Esponda RR, Carter RE, Lanza IR, Nair KS. 2017. Enhanced protein translation underlies improved metabolic and physical adaptations to different exercise training modes in young and old humans.</w:t>
      </w:r>
      <w:r>
        <w:t xml:space="preserve"> </w:t>
      </w:r>
      <w:r>
        <w:rPr>
          <w:iCs/>
          <w:i/>
        </w:rPr>
        <w:t xml:space="preserve">Cell metabolism</w:t>
      </w:r>
      <w:r>
        <w:t xml:space="preserve"> </w:t>
      </w:r>
      <w:r>
        <w:rPr>
          <w:bCs/>
          <w:b/>
        </w:rPr>
        <w:t xml:space="preserve">25</w:t>
      </w:r>
      <w:r>
        <w:t xml:space="preserve">: 581–592.</w:t>
      </w:r>
    </w:p>
    <w:bookmarkEnd w:id="82"/>
    <w:bookmarkStart w:id="84" w:name="X9abc3901ca7f09d6e15f6daefa88aae206ffc58"/>
    <w:p>
      <w:pPr>
        <w:pStyle w:val="Bibliography"/>
      </w:pPr>
      <w:r>
        <w:t xml:space="preserve">Sánchez-Escabias E, Guerrero-Martínez JA, Reyes JC. 2022. Co-transcriptional splicing efficiency is a gene-specific feature that can be regulated by</w:t>
      </w:r>
      <w:r>
        <w:t xml:space="preserve"> </w:t>
      </w:r>
      <w:r>
        <w:t xml:space="preserve">TGFβ</w:t>
      </w:r>
      <w:r>
        <w:t xml:space="preserve">.</w:t>
      </w:r>
      <w:r>
        <w:t xml:space="preserve"> </w:t>
      </w:r>
      <w:r>
        <w:rPr>
          <w:iCs/>
          <w:i/>
        </w:rPr>
        <w:t xml:space="preserve">Communications Biology</w:t>
      </w:r>
      <w:r>
        <w:t xml:space="preserve"> </w:t>
      </w:r>
      <w:r>
        <w:rPr>
          <w:bCs/>
          <w:b/>
        </w:rPr>
        <w:t xml:space="preserve">5</w:t>
      </w:r>
      <w:r>
        <w:t xml:space="preserve">: 277.</w:t>
      </w:r>
      <w:r>
        <w:t xml:space="preserve"> </w:t>
      </w:r>
      <w:hyperlink r:id="rId83">
        <w:r>
          <w:rPr>
            <w:rStyle w:val="Hyperlink"/>
          </w:rPr>
          <w:t xml:space="preserve">https://doi.org/10.1038/s42003-022-03224-z</w:t>
        </w:r>
      </w:hyperlink>
      <w:r>
        <w:t xml:space="preserve">.</w:t>
      </w:r>
    </w:p>
    <w:bookmarkEnd w:id="84"/>
    <w:bookmarkStart w:id="85" w:name="ref-saudemont_fitness_2017"/>
    <w:p>
      <w:pPr>
        <w:pStyle w:val="Bibliography"/>
      </w:pPr>
      <w:r>
        <w:t xml:space="preserve">Saudemont B, Popa A, Parmley JL, Rocher V, Blugeon C, Necsulea A, Meyer E, Duret L. 2017. The fitness cost of mis-splicing is the main determinant of alternative splicing patterns.</w:t>
      </w:r>
      <w:r>
        <w:t xml:space="preserve"> </w:t>
      </w:r>
      <w:r>
        <w:rPr>
          <w:iCs/>
          <w:i/>
        </w:rPr>
        <w:t xml:space="preserve">Genome biology</w:t>
      </w:r>
      <w:r>
        <w:t xml:space="preserve"> </w:t>
      </w:r>
      <w:r>
        <w:rPr>
          <w:bCs/>
          <w:b/>
        </w:rPr>
        <w:t xml:space="preserve">18</w:t>
      </w:r>
      <w:r>
        <w:t xml:space="preserve">: 1–15.</w:t>
      </w:r>
    </w:p>
    <w:bookmarkEnd w:id="85"/>
    <w:bookmarkStart w:id="87" w:name="ref-schaum_ageing_2020"/>
    <w:p>
      <w:pPr>
        <w:pStyle w:val="Bibliography"/>
      </w:pPr>
      <w:r>
        <w:t xml:space="preserve">Schaum N, Lehallier B, Hahn O, Pálovics R, Hosseinzadeh S, Lee SE, Sit R, Lee DP, Losada PM, Zardeneta ME, et al. 2020. Ageing hallmarks exhibit organ-specific temporal signatures.</w:t>
      </w:r>
      <w:r>
        <w:t xml:space="preserve"> </w:t>
      </w:r>
      <w:r>
        <w:rPr>
          <w:iCs/>
          <w:i/>
        </w:rPr>
        <w:t xml:space="preserve">Nature</w:t>
      </w:r>
      <w:r>
        <w:t xml:space="preserve"> </w:t>
      </w:r>
      <w:r>
        <w:rPr>
          <w:bCs/>
          <w:b/>
        </w:rPr>
        <w:t xml:space="preserve">583</w:t>
      </w:r>
      <w:r>
        <w:t xml:space="preserve">: 596–602.</w:t>
      </w:r>
      <w:r>
        <w:t xml:space="preserve"> </w:t>
      </w:r>
      <w:hyperlink r:id="rId86">
        <w:r>
          <w:rPr>
            <w:rStyle w:val="Hyperlink"/>
          </w:rPr>
          <w:t xml:space="preserve">https://doi.org/10.1038/s41586-020-2499-y</w:t>
        </w:r>
      </w:hyperlink>
      <w:r>
        <w:t xml:space="preserve">.</w:t>
      </w:r>
    </w:p>
    <w:bookmarkEnd w:id="87"/>
    <w:bookmarkStart w:id="89" w:name="ref-schmitz_intron_2017"/>
    <w:p>
      <w:pPr>
        <w:pStyle w:val="Bibliography"/>
      </w:pPr>
      <w:r>
        <w:t xml:space="preserve">Schmitz U, Pinello N, Jia F, Alasmari S, Ritchie W, Keightley M-C, Shini S, Lieschke GJ, Wong JJ-L, Rasko JEJ. 2017. Intron retention enhances gene regulatory complexity in vertebrates.</w:t>
      </w:r>
      <w:r>
        <w:t xml:space="preserve"> </w:t>
      </w:r>
      <w:r>
        <w:rPr>
          <w:iCs/>
          <w:i/>
        </w:rPr>
        <w:t xml:space="preserve">Genome Biology</w:t>
      </w:r>
      <w:r>
        <w:t xml:space="preserve"> </w:t>
      </w:r>
      <w:r>
        <w:rPr>
          <w:bCs/>
          <w:b/>
        </w:rPr>
        <w:t xml:space="preserve">18</w:t>
      </w:r>
      <w:r>
        <w:t xml:space="preserve">: 216.</w:t>
      </w:r>
      <w:r>
        <w:t xml:space="preserve"> </w:t>
      </w:r>
      <w:hyperlink r:id="rId88">
        <w:r>
          <w:rPr>
            <w:rStyle w:val="Hyperlink"/>
          </w:rPr>
          <w:t xml:space="preserve">https://doi.org/10.1186/s13059-017-1339-3</w:t>
        </w:r>
      </w:hyperlink>
      <w:r>
        <w:t xml:space="preserve">.</w:t>
      </w:r>
    </w:p>
    <w:bookmarkEnd w:id="89"/>
    <w:bookmarkStart w:id="90" w:name="ref-schwerk_regulation_2005"/>
    <w:p>
      <w:pPr>
        <w:pStyle w:val="Bibliography"/>
      </w:pPr>
      <w:r>
        <w:t xml:space="preserve">Schwerk C, Schulze-Osthoff K. 2005. Regulation of apoptosis by alternative pre-</w:t>
      </w:r>
      <w:r>
        <w:t xml:space="preserve">mRNA</w:t>
      </w:r>
      <w:r>
        <w:t xml:space="preserve"> </w:t>
      </w:r>
      <w:r>
        <w:t xml:space="preserve">splicing.</w:t>
      </w:r>
      <w:r>
        <w:t xml:space="preserve"> </w:t>
      </w:r>
      <w:r>
        <w:rPr>
          <w:iCs/>
          <w:i/>
        </w:rPr>
        <w:t xml:space="preserve">Molecular cell</w:t>
      </w:r>
      <w:r>
        <w:t xml:space="preserve"> </w:t>
      </w:r>
      <w:r>
        <w:rPr>
          <w:bCs/>
          <w:b/>
        </w:rPr>
        <w:t xml:space="preserve">19</w:t>
      </w:r>
      <w:r>
        <w:t xml:space="preserve">: 1–13.</w:t>
      </w:r>
    </w:p>
    <w:bookmarkEnd w:id="90"/>
    <w:bookmarkStart w:id="91" w:name="ref-shah_towards_2022"/>
    <w:p>
      <w:pPr>
        <w:pStyle w:val="Bibliography"/>
      </w:pPr>
      <w:r>
        <w:t xml:space="preserve">Shah JS, Milevskiy MJ, Petrova V, Au AY, Wong JJ, Visvader JE, Schmitz U, Rasko JE. 2022. Towards resolution of the intron retention paradox in breast cancer.</w:t>
      </w:r>
      <w:r>
        <w:t xml:space="preserve"> </w:t>
      </w:r>
      <w:r>
        <w:rPr>
          <w:iCs/>
          <w:i/>
        </w:rPr>
        <w:t xml:space="preserve">Breast Cancer Research</w:t>
      </w:r>
      <w:r>
        <w:t xml:space="preserve"> </w:t>
      </w:r>
      <w:r>
        <w:rPr>
          <w:bCs/>
          <w:b/>
        </w:rPr>
        <w:t xml:space="preserve">24</w:t>
      </w:r>
      <w:r>
        <w:t xml:space="preserve">: 100.</w:t>
      </w:r>
    </w:p>
    <w:bookmarkEnd w:id="91"/>
    <w:bookmarkStart w:id="93" w:name="ref-stegeman_transcriptional_2017"/>
    <w:p>
      <w:pPr>
        <w:pStyle w:val="Bibliography"/>
      </w:pPr>
      <w:r>
        <w:t xml:space="preserve">Stegeman R, Weake VM. 2017. Transcriptional signatures of aging.</w:t>
      </w:r>
      <w:r>
        <w:t xml:space="preserve"> </w:t>
      </w:r>
      <w:r>
        <w:rPr>
          <w:iCs/>
          <w:i/>
        </w:rPr>
        <w:t xml:space="preserve">Journal of Molecular Biology</w:t>
      </w:r>
      <w:r>
        <w:t xml:space="preserve"> </w:t>
      </w:r>
      <w:r>
        <w:rPr>
          <w:bCs/>
          <w:b/>
        </w:rPr>
        <w:t xml:space="preserve">429</w:t>
      </w:r>
      <w:r>
        <w:t xml:space="preserve">: 2427–2437.</w:t>
      </w:r>
      <w:r>
        <w:t xml:space="preserve"> </w:t>
      </w:r>
      <w:hyperlink r:id="rId92">
        <w:r>
          <w:rPr>
            <w:rStyle w:val="Hyperlink"/>
          </w:rPr>
          <w:t xml:space="preserve">https://www.sciencedirect.com/science/article/pii/S0022283617303200</w:t>
        </w:r>
      </w:hyperlink>
      <w:r>
        <w:t xml:space="preserve">.</w:t>
      </w:r>
    </w:p>
    <w:bookmarkEnd w:id="93"/>
    <w:bookmarkStart w:id="94" w:name="ref-stokes_transcriptomics_2023"/>
    <w:p>
      <w:pPr>
        <w:pStyle w:val="Bibliography"/>
      </w:pPr>
      <w:r>
        <w:t xml:space="preserve">Stokes T, Cen HH, Kapranov P, Gallagher IJ, Pitsillides AA, Volmar C-H, Kraus WE, Johnson JD, Phillips SM, Wahlestedt C. 2023. Transcriptomics for clinical and experimental biology research: Hang on a seq.</w:t>
      </w:r>
      <w:r>
        <w:t xml:space="preserve"> </w:t>
      </w:r>
      <w:r>
        <w:rPr>
          <w:iCs/>
          <w:i/>
        </w:rPr>
        <w:t xml:space="preserve">Advanced Genetics</w:t>
      </w:r>
      <w:r>
        <w:t xml:space="preserve"> </w:t>
      </w:r>
      <w:r>
        <w:rPr>
          <w:bCs/>
          <w:b/>
        </w:rPr>
        <w:t xml:space="preserve">4</w:t>
      </w:r>
      <w:r>
        <w:t xml:space="preserve">: 2200024.</w:t>
      </w:r>
    </w:p>
    <w:bookmarkEnd w:id="94"/>
    <w:bookmarkStart w:id="95" w:name="ref-sznajder_intron_2018"/>
    <w:p>
      <w:pPr>
        <w:pStyle w:val="Bibliography"/>
      </w:pPr>
      <w:r>
        <w:t xml:space="preserve">Sznajder ŁJ, Thomas JD, Carrell EM, Reid T, McFarland KN, Cleary JD, Oliveira R, Nutter CA, Bhatt K, Sobczak K. 2018. Intron retention induced by microsatellite expansions as a disease biomarker.</w:t>
      </w:r>
      <w:r>
        <w:t xml:space="preserve"> </w:t>
      </w:r>
      <w:r>
        <w:rPr>
          <w:iCs/>
          <w:i/>
        </w:rPr>
        <w:t xml:space="preserve">Proceedings of the National Academy of Sciences</w:t>
      </w:r>
      <w:r>
        <w:t xml:space="preserve"> </w:t>
      </w:r>
      <w:r>
        <w:rPr>
          <w:bCs/>
          <w:b/>
        </w:rPr>
        <w:t xml:space="preserve">115</w:t>
      </w:r>
      <w:r>
        <w:t xml:space="preserve">: 4234–4239.</w:t>
      </w:r>
    </w:p>
    <w:bookmarkEnd w:id="95"/>
    <w:bookmarkStart w:id="96" w:name="ref-ubaida-mohien_physical_2019"/>
    <w:p>
      <w:pPr>
        <w:pStyle w:val="Bibliography"/>
      </w:pPr>
      <w:r>
        <w:t xml:space="preserve">Ubaida-Mohien C, Gonzalez-Freire M, Lyashkov A, Moaddel R, Chia CW, Simonsick EM, Sen R, Ferrucci L. 2019a. Physical activity associated proteomics of skeletal muscle: Being physically active in daily life may protect skeletal muscle from aging.</w:t>
      </w:r>
      <w:r>
        <w:t xml:space="preserve"> </w:t>
      </w:r>
      <w:r>
        <w:rPr>
          <w:iCs/>
          <w:i/>
        </w:rPr>
        <w:t xml:space="preserve">Frontiers in physiology</w:t>
      </w:r>
      <w:r>
        <w:t xml:space="preserve"> </w:t>
      </w:r>
      <w:r>
        <w:rPr>
          <w:bCs/>
          <w:b/>
        </w:rPr>
        <w:t xml:space="preserve">10</w:t>
      </w:r>
      <w:r>
        <w:t xml:space="preserve">: 312.</w:t>
      </w:r>
    </w:p>
    <w:bookmarkEnd w:id="96"/>
    <w:bookmarkStart w:id="98" w:name="ref-ubaida-mohien_discovery_2019"/>
    <w:p>
      <w:pPr>
        <w:pStyle w:val="Bibliography"/>
      </w:pPr>
      <w:r>
        <w:t xml:space="preserve">Ubaida-Mohien C, Lyashkov A, Gonzalez-Freire M, Tharakan R, Shardell M, Moaddel R, Semba RD, Chia CW, Gorospe M, Sen R, et al. 2019b. Discovery proteomics in aging human skeletal muscle finds change in spliceosome, immunity, proteostasis and mitochondria eds. M. Kaeberlein, C.J. Rosen, M. Kaeberlein, and R. Anderson.</w:t>
      </w:r>
      <w:r>
        <w:t xml:space="preserve"> </w:t>
      </w:r>
      <w:r>
        <w:rPr>
          <w:iCs/>
          <w:i/>
        </w:rPr>
        <w:t xml:space="preserve">eLife</w:t>
      </w:r>
      <w:r>
        <w:t xml:space="preserve"> </w:t>
      </w:r>
      <w:r>
        <w:rPr>
          <w:bCs/>
          <w:b/>
        </w:rPr>
        <w:t xml:space="preserve">8</w:t>
      </w:r>
      <w:r>
        <w:t xml:space="preserve">: e49874.</w:t>
      </w:r>
      <w:r>
        <w:t xml:space="preserve"> </w:t>
      </w:r>
      <w:hyperlink r:id="rId97">
        <w:r>
          <w:rPr>
            <w:rStyle w:val="Hyperlink"/>
          </w:rPr>
          <w:t xml:space="preserve">https://doi.org/10.7554/eLife.49874</w:t>
        </w:r>
      </w:hyperlink>
      <w:r>
        <w:t xml:space="preserve">.</w:t>
      </w:r>
    </w:p>
    <w:bookmarkEnd w:id="98"/>
    <w:bookmarkStart w:id="100" w:name="ref-ubaida-mohien_unbiased_2022"/>
    <w:p>
      <w:pPr>
        <w:pStyle w:val="Bibliography"/>
      </w:pPr>
      <w:r>
        <w:t xml:space="preserve">Ubaida-Mohien C, Spendiff S, Lyashkov A, Moaddel R, MacMillan NJ, Filion M-E, Morais JA, Taivassalo T, Ferrucci L, Hepple RT. 2022. Unbiased proteomics, histochemistry, and mitochondrial</w:t>
      </w:r>
      <w:r>
        <w:t xml:space="preserve"> </w:t>
      </w:r>
      <w:r>
        <w:t xml:space="preserve">DNA</w:t>
      </w:r>
      <w:r>
        <w:t xml:space="preserve"> </w:t>
      </w:r>
      <w:r>
        <w:t xml:space="preserve">copy number reveal better mitochondrial health in muscle of high-functioning octogenarians eds. M. Grano, C. Isales, M. Piasecki, and H. Degens.</w:t>
      </w:r>
      <w:r>
        <w:t xml:space="preserve"> </w:t>
      </w:r>
      <w:r>
        <w:rPr>
          <w:iCs/>
          <w:i/>
        </w:rPr>
        <w:t xml:space="preserve">eLife</w:t>
      </w:r>
      <w:r>
        <w:t xml:space="preserve"> </w:t>
      </w:r>
      <w:r>
        <w:rPr>
          <w:bCs/>
          <w:b/>
        </w:rPr>
        <w:t xml:space="preserve">11</w:t>
      </w:r>
      <w:r>
        <w:t xml:space="preserve">: e74335.</w:t>
      </w:r>
      <w:r>
        <w:t xml:space="preserve"> </w:t>
      </w:r>
      <w:hyperlink r:id="rId99">
        <w:r>
          <w:rPr>
            <w:rStyle w:val="Hyperlink"/>
          </w:rPr>
          <w:t xml:space="preserve">https://doi.org/10.7554/eLife.74335</w:t>
        </w:r>
      </w:hyperlink>
      <w:r>
        <w:t xml:space="preserve">.</w:t>
      </w:r>
    </w:p>
    <w:bookmarkEnd w:id="100"/>
    <w:bookmarkStart w:id="102" w:name="ref-veeneman_two-pass_2016"/>
    <w:p>
      <w:pPr>
        <w:pStyle w:val="Bibliography"/>
      </w:pPr>
      <w:r>
        <w:t xml:space="preserve">Veeneman BA, Shukla S, Dhanasekaran SM, Chinnaiyan AM, Nesvizhskii AI. 2016.</w:t>
      </w:r>
      <w:r>
        <w:t xml:space="preserve"> </w:t>
      </w:r>
      <w:hyperlink r:id="rId101">
        <w:r>
          <w:rPr>
            <w:rStyle w:val="Hyperlink"/>
          </w:rPr>
          <w:t xml:space="preserve">Two-pass alignment improves novel splice junction quantification.</w:t>
        </w:r>
      </w:hyperlink>
      <w:r>
        <w:t xml:space="preserve"> </w:t>
      </w:r>
      <w:r>
        <w:rPr>
          <w:iCs/>
          <w:i/>
        </w:rPr>
        <w:t xml:space="preserve">Bioinformatics</w:t>
      </w:r>
      <w:r>
        <w:t xml:space="preserve"> </w:t>
      </w:r>
      <w:r>
        <w:rPr>
          <w:bCs/>
          <w:b/>
        </w:rPr>
        <w:t xml:space="preserve">32</w:t>
      </w:r>
      <w:r>
        <w:t xml:space="preserve">: 43–49.</w:t>
      </w:r>
    </w:p>
    <w:bookmarkEnd w:id="102"/>
    <w:bookmarkStart w:id="103" w:name="ref-welle_gene_2003"/>
    <w:p>
      <w:pPr>
        <w:pStyle w:val="Bibliography"/>
      </w:pPr>
      <w:r>
        <w:t xml:space="preserve">Welle S, Brooks AI, Delehanty JM, Needler N, Thornton CA. 2003. Gene expression profile of aging in human muscle.</w:t>
      </w:r>
      <w:r>
        <w:t xml:space="preserve"> </w:t>
      </w:r>
      <w:r>
        <w:rPr>
          <w:iCs/>
          <w:i/>
        </w:rPr>
        <w:t xml:space="preserve">Physiological genomics</w:t>
      </w:r>
      <w:r>
        <w:t xml:space="preserve"> </w:t>
      </w:r>
      <w:r>
        <w:rPr>
          <w:bCs/>
          <w:b/>
        </w:rPr>
        <w:t xml:space="preserve">14</w:t>
      </w:r>
      <w:r>
        <w:t xml:space="preserve">: 149–159.</w:t>
      </w:r>
    </w:p>
    <w:bookmarkEnd w:id="103"/>
    <w:bookmarkStart w:id="105" w:name="ref-wong_intron_2016"/>
    <w:p>
      <w:pPr>
        <w:pStyle w:val="Bibliography"/>
      </w:pPr>
      <w:r>
        <w:t xml:space="preserve">Wong JJ-L, Au AYM, Ritchie W, Rasko JEJ. 2016.</w:t>
      </w:r>
      <w:r>
        <w:t xml:space="preserve"> </w:t>
      </w:r>
      <w:hyperlink r:id="rId104">
        <w:r>
          <w:rPr>
            <w:rStyle w:val="Hyperlink"/>
          </w:rPr>
          <w:t xml:space="preserve">Intron retention in</w:t>
        </w:r>
        <w:r>
          <w:rPr>
            <w:rStyle w:val="Hyperlink"/>
          </w:rPr>
          <w:t xml:space="preserve"> </w:t>
        </w:r>
        <w:r>
          <w:rPr>
            <w:rStyle w:val="Hyperlink"/>
          </w:rPr>
          <w:t xml:space="preserve">mRNA</w:t>
        </w:r>
        <w:r>
          <w:rPr>
            <w:rStyle w:val="Hyperlink"/>
          </w:rPr>
          <w:t xml:space="preserve">: No longer nonsense: Known and putative roles of intron retention in normal and disease biology.</w:t>
        </w:r>
      </w:hyperlink>
      <w:r>
        <w:t xml:space="preserve"> </w:t>
      </w:r>
      <w:r>
        <w:rPr>
          <w:iCs/>
          <w:i/>
        </w:rPr>
        <w:t xml:space="preserve">Bioessays</w:t>
      </w:r>
      <w:r>
        <w:t xml:space="preserve"> </w:t>
      </w:r>
      <w:r>
        <w:rPr>
          <w:bCs/>
          <w:b/>
        </w:rPr>
        <w:t xml:space="preserve">38</w:t>
      </w:r>
      <w:r>
        <w:t xml:space="preserve">: 41–49.</w:t>
      </w:r>
    </w:p>
    <w:bookmarkEnd w:id="105"/>
    <w:bookmarkStart w:id="107" w:name="ref-wong_orchestrated_2013"/>
    <w:p>
      <w:pPr>
        <w:pStyle w:val="Bibliography"/>
      </w:pPr>
      <w:r>
        <w:t xml:space="preserve">Wong JJ-L, Ritchie W, Ebner OA, Selbach M, Wong JWH, Huang Y, Gao D, Pinello N, Gonzalez M, Baidya K, et al. 2013. Orchestrated intron retention regulates normal granulocyte differentiation.</w:t>
      </w:r>
      <w:r>
        <w:t xml:space="preserve"> </w:t>
      </w:r>
      <w:r>
        <w:rPr>
          <w:iCs/>
          <w:i/>
        </w:rPr>
        <w:t xml:space="preserve">Cell</w:t>
      </w:r>
      <w:r>
        <w:t xml:space="preserve"> </w:t>
      </w:r>
      <w:r>
        <w:rPr>
          <w:bCs/>
          <w:b/>
        </w:rPr>
        <w:t xml:space="preserve">154</w:t>
      </w:r>
      <w:r>
        <w:t xml:space="preserve">: 583–595.</w:t>
      </w:r>
      <w:r>
        <w:t xml:space="preserve"> </w:t>
      </w:r>
      <w:hyperlink r:id="rId106">
        <w:r>
          <w:rPr>
            <w:rStyle w:val="Hyperlink"/>
          </w:rPr>
          <w:t xml:space="preserve">https://doi.org/10.1016/j.cell.2013.06.052</w:t>
        </w:r>
      </w:hyperlink>
      <w:r>
        <w:t xml:space="preserve"> </w:t>
      </w:r>
      <w:r>
        <w:t xml:space="preserve">(Accessed October 2, 2024).</w:t>
      </w:r>
    </w:p>
    <w:bookmarkEnd w:id="107"/>
    <w:bookmarkStart w:id="108" w:name="ref-wong_intron_2022"/>
    <w:p>
      <w:pPr>
        <w:pStyle w:val="Bibliography"/>
      </w:pPr>
      <w:r>
        <w:t xml:space="preserve">Wong JJ-L, Schmitz U. 2022. Intron retention: Importance, challenges, and opportunities.</w:t>
      </w:r>
      <w:r>
        <w:t xml:space="preserve"> </w:t>
      </w:r>
      <w:r>
        <w:rPr>
          <w:iCs/>
          <w:i/>
        </w:rPr>
        <w:t xml:space="preserve">Trends in Genetics</w:t>
      </w:r>
      <w:r>
        <w:t xml:space="preserve"> </w:t>
      </w:r>
      <w:r>
        <w:rPr>
          <w:bCs/>
          <w:b/>
        </w:rPr>
        <w:t xml:space="preserve">38</w:t>
      </w:r>
      <w:r>
        <w:t xml:space="preserve">: 789–792.</w:t>
      </w:r>
    </w:p>
    <w:bookmarkEnd w:id="108"/>
    <w:bookmarkStart w:id="109" w:name="ref-zheng_intron_2020"/>
    <w:p>
      <w:pPr>
        <w:pStyle w:val="Bibliography"/>
      </w:pPr>
      <w:r>
        <w:t xml:space="preserve">Zheng J-T, Lin C-X, Fang Z-Y, Li H-D. 2020. Intron retention as a mode for</w:t>
      </w:r>
      <w:r>
        <w:t xml:space="preserve"> </w:t>
      </w:r>
      <w:r>
        <w:t xml:space="preserve">RNA</w:t>
      </w:r>
      <w:r>
        <w:t xml:space="preserve">-seq data analysis.</w:t>
      </w:r>
      <w:r>
        <w:t xml:space="preserve"> </w:t>
      </w:r>
      <w:r>
        <w:rPr>
          <w:iCs/>
          <w:i/>
        </w:rPr>
        <w:t xml:space="preserve">Frontiers in genetics</w:t>
      </w:r>
      <w:r>
        <w:t xml:space="preserve"> </w:t>
      </w:r>
      <w:r>
        <w:rPr>
          <w:bCs/>
          <w:b/>
        </w:rPr>
        <w:t xml:space="preserve">11</w:t>
      </w:r>
      <w:r>
        <w:t xml:space="preserve">: 586.</w:t>
      </w:r>
    </w:p>
    <w:bookmarkEnd w:id="109"/>
    <w:bookmarkEnd w:id="110"/>
    <w:bookmarkEnd w:id="111"/>
    <w:bookmarkEnd w:id="112"/>
    <w:bookmarkEnd w:id="113"/>
    <w:sectPr w:rsidR="0082747B" w:rsidRPr="00664515" w:rsidSect="00664515">
      <w:headerReference r:id="rId9" w:type="default"/>
      <w:pgSz w:h="15840" w:w="12240"/>
      <w:pgMar w:bottom="1417" w:footer="708" w:gutter="0" w:header="708" w:left="1417" w:right="1417" w:top="1417"/>
      <w:lnNumType w:countBy="1" w:restart="continuous"/>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8523016"/>
      <w:docPartObj>
        <w:docPartGallery w:val="Page Numbers (Top of Page)"/>
        <w:docPartUnique/>
      </w:docPartObj>
    </w:sdtPr>
    <w:sdtContent>
      <w:p w14:paraId="48601AD3" w14:textId="77777777" w:rsidR="00000000" w:rsidRDefault="00000000">
        <w:pPr>
          <w:pStyle w:val="Topptekst"/>
          <w:jc w:val="right"/>
        </w:pPr>
        <w:r>
          <w:fldChar w:fldCharType="begin"/>
        </w:r>
        <w:r>
          <w:instrText>PAGE   \* MERGEFORMAT</w:instrText>
        </w:r>
        <w:r>
          <w:fldChar w:fldCharType="separate"/>
        </w:r>
        <w:r>
          <w:rPr>
            <w:lang w:val="nb-NO"/>
          </w:rPr>
          <w:t>2</w:t>
        </w:r>
        <w:r>
          <w:fldChar w:fldCharType="end"/>
        </w:r>
      </w:p>
    </w:sdtContent>
  </w:sdt>
  <w:p w14:paraId="29F1F56F" w14:textId="77777777" w:rsidR="00000000" w:rsidRDefault="00000000">
    <w:pPr>
      <w:pStyle w:val="Topptekst"/>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nb-N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nb-NO"/>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64515"/>
    <w:pPr>
      <w:spacing w:after="200" w:line="240" w:lineRule="auto"/>
    </w:pPr>
    <w:rPr>
      <w:kern w:val="0"/>
      <w:sz w:val="24"/>
      <w:szCs w:val="24"/>
      <w:lang w:val="en-US"/>
      <w14:ligatures w14:val="none"/>
    </w:rPr>
  </w:style>
  <w:style w:styleId="Overskrift1" w:type="paragraph">
    <w:name w:val="heading 1"/>
    <w:basedOn w:val="Normal"/>
    <w:next w:val="Normal"/>
    <w:link w:val="Overskrift1Tegn"/>
    <w:uiPriority w:val="9"/>
    <w:qFormat/>
    <w:rsid w:val="00664515"/>
    <w:pPr>
      <w:keepNext/>
      <w:keepLines/>
      <w:spacing w:after="80" w:before="360" w:line="259" w:lineRule="auto"/>
      <w:outlineLvl w:val="0"/>
    </w:pPr>
    <w:rPr>
      <w:rFonts w:asciiTheme="majorHAnsi" w:cstheme="majorBidi" w:eastAsiaTheme="majorEastAsia" w:hAnsiTheme="majorHAnsi"/>
      <w:color w:themeColor="accent1" w:themeShade="BF" w:val="0F4761"/>
      <w:kern w:val="2"/>
      <w:sz w:val="40"/>
      <w:szCs w:val="40"/>
      <w:lang w:val="nb-NO"/>
      <w14:ligatures w14:val="standardContextual"/>
    </w:rPr>
  </w:style>
  <w:style w:styleId="Overskrift2" w:type="paragraph">
    <w:name w:val="heading 2"/>
    <w:basedOn w:val="Normal"/>
    <w:next w:val="Normal"/>
    <w:link w:val="Overskrift2Tegn"/>
    <w:uiPriority w:val="9"/>
    <w:unhideWhenUsed/>
    <w:qFormat/>
    <w:rsid w:val="00664515"/>
    <w:pPr>
      <w:keepNext/>
      <w:keepLines/>
      <w:spacing w:after="80" w:before="160" w:line="259" w:lineRule="auto"/>
      <w:outlineLvl w:val="1"/>
    </w:pPr>
    <w:rPr>
      <w:rFonts w:asciiTheme="majorHAnsi" w:cstheme="majorBidi" w:eastAsiaTheme="majorEastAsia" w:hAnsiTheme="majorHAnsi"/>
      <w:color w:themeColor="accent1" w:themeShade="BF" w:val="0F4761"/>
      <w:kern w:val="2"/>
      <w:sz w:val="32"/>
      <w:szCs w:val="32"/>
      <w:lang w:val="nb-NO"/>
      <w14:ligatures w14:val="standardContextual"/>
    </w:rPr>
  </w:style>
  <w:style w:styleId="Overskrift3" w:type="paragraph">
    <w:name w:val="heading 3"/>
    <w:basedOn w:val="Normal"/>
    <w:next w:val="Normal"/>
    <w:link w:val="Overskrift3Tegn"/>
    <w:uiPriority w:val="9"/>
    <w:unhideWhenUsed/>
    <w:qFormat/>
    <w:rsid w:val="00664515"/>
    <w:pPr>
      <w:keepNext/>
      <w:keepLines/>
      <w:spacing w:after="80" w:before="160" w:line="259" w:lineRule="auto"/>
      <w:outlineLvl w:val="2"/>
    </w:pPr>
    <w:rPr>
      <w:rFonts w:cstheme="majorBidi" w:eastAsiaTheme="majorEastAsia"/>
      <w:color w:themeColor="accent1" w:themeShade="BF" w:val="0F4761"/>
      <w:kern w:val="2"/>
      <w:sz w:val="28"/>
      <w:szCs w:val="28"/>
      <w:lang w:val="nb-NO"/>
      <w14:ligatures w14:val="standardContextual"/>
    </w:rPr>
  </w:style>
  <w:style w:styleId="Overskrift4" w:type="paragraph">
    <w:name w:val="heading 4"/>
    <w:basedOn w:val="Normal"/>
    <w:next w:val="Normal"/>
    <w:link w:val="Overskrift4Tegn"/>
    <w:uiPriority w:val="9"/>
    <w:unhideWhenUsed/>
    <w:qFormat/>
    <w:rsid w:val="00664515"/>
    <w:pPr>
      <w:keepNext/>
      <w:keepLines/>
      <w:spacing w:after="40" w:before="80" w:line="259" w:lineRule="auto"/>
      <w:outlineLvl w:val="3"/>
    </w:pPr>
    <w:rPr>
      <w:rFonts w:cstheme="majorBidi" w:eastAsiaTheme="majorEastAsia"/>
      <w:i/>
      <w:iCs/>
      <w:color w:themeColor="accent1" w:themeShade="BF" w:val="0F4761"/>
      <w:kern w:val="2"/>
      <w:sz w:val="22"/>
      <w:szCs w:val="22"/>
      <w:lang w:val="nb-NO"/>
      <w14:ligatures w14:val="standardContextual"/>
    </w:rPr>
  </w:style>
  <w:style w:styleId="Overskrift5" w:type="paragraph">
    <w:name w:val="heading 5"/>
    <w:basedOn w:val="Normal"/>
    <w:next w:val="Normal"/>
    <w:link w:val="Overskrift5Tegn"/>
    <w:uiPriority w:val="9"/>
    <w:semiHidden/>
    <w:unhideWhenUsed/>
    <w:qFormat/>
    <w:rsid w:val="00664515"/>
    <w:pPr>
      <w:keepNext/>
      <w:keepLines/>
      <w:spacing w:after="40" w:before="80" w:line="259" w:lineRule="auto"/>
      <w:outlineLvl w:val="4"/>
    </w:pPr>
    <w:rPr>
      <w:rFonts w:cstheme="majorBidi" w:eastAsiaTheme="majorEastAsia"/>
      <w:color w:themeColor="accent1" w:themeShade="BF" w:val="0F4761"/>
      <w:kern w:val="2"/>
      <w:sz w:val="22"/>
      <w:szCs w:val="22"/>
      <w:lang w:val="nb-NO"/>
      <w14:ligatures w14:val="standardContextual"/>
    </w:rPr>
  </w:style>
  <w:style w:styleId="Overskrift6" w:type="paragraph">
    <w:name w:val="heading 6"/>
    <w:basedOn w:val="Normal"/>
    <w:next w:val="Normal"/>
    <w:link w:val="Overskrift6Tegn"/>
    <w:uiPriority w:val="9"/>
    <w:semiHidden/>
    <w:unhideWhenUsed/>
    <w:qFormat/>
    <w:rsid w:val="00664515"/>
    <w:pPr>
      <w:keepNext/>
      <w:keepLines/>
      <w:spacing w:after="0" w:before="40" w:line="259" w:lineRule="auto"/>
      <w:outlineLvl w:val="5"/>
    </w:pPr>
    <w:rPr>
      <w:rFonts w:cstheme="majorBidi" w:eastAsiaTheme="majorEastAsia"/>
      <w:i/>
      <w:iCs/>
      <w:color w:themeColor="text1" w:themeTint="A6" w:val="595959"/>
      <w:kern w:val="2"/>
      <w:sz w:val="22"/>
      <w:szCs w:val="22"/>
      <w:lang w:val="nb-NO"/>
      <w14:ligatures w14:val="standardContextual"/>
    </w:rPr>
  </w:style>
  <w:style w:styleId="Overskrift7" w:type="paragraph">
    <w:name w:val="heading 7"/>
    <w:basedOn w:val="Normal"/>
    <w:next w:val="Normal"/>
    <w:link w:val="Overskrift7Tegn"/>
    <w:uiPriority w:val="9"/>
    <w:semiHidden/>
    <w:unhideWhenUsed/>
    <w:qFormat/>
    <w:rsid w:val="00664515"/>
    <w:pPr>
      <w:keepNext/>
      <w:keepLines/>
      <w:spacing w:after="0" w:before="40" w:line="259" w:lineRule="auto"/>
      <w:outlineLvl w:val="6"/>
    </w:pPr>
    <w:rPr>
      <w:rFonts w:cstheme="majorBidi" w:eastAsiaTheme="majorEastAsia"/>
      <w:color w:themeColor="text1" w:themeTint="A6" w:val="595959"/>
      <w:kern w:val="2"/>
      <w:sz w:val="22"/>
      <w:szCs w:val="22"/>
      <w:lang w:val="nb-NO"/>
      <w14:ligatures w14:val="standardContextual"/>
    </w:rPr>
  </w:style>
  <w:style w:styleId="Overskrift8" w:type="paragraph">
    <w:name w:val="heading 8"/>
    <w:basedOn w:val="Normal"/>
    <w:next w:val="Normal"/>
    <w:link w:val="Overskrift8Tegn"/>
    <w:uiPriority w:val="9"/>
    <w:semiHidden/>
    <w:unhideWhenUsed/>
    <w:qFormat/>
    <w:rsid w:val="00664515"/>
    <w:pPr>
      <w:keepNext/>
      <w:keepLines/>
      <w:spacing w:after="0" w:line="259" w:lineRule="auto"/>
      <w:outlineLvl w:val="7"/>
    </w:pPr>
    <w:rPr>
      <w:rFonts w:cstheme="majorBidi" w:eastAsiaTheme="majorEastAsia"/>
      <w:i/>
      <w:iCs/>
      <w:color w:themeColor="text1" w:themeTint="D8" w:val="272727"/>
      <w:kern w:val="2"/>
      <w:sz w:val="22"/>
      <w:szCs w:val="22"/>
      <w:lang w:val="nb-NO"/>
      <w14:ligatures w14:val="standardContextual"/>
    </w:rPr>
  </w:style>
  <w:style w:styleId="Overskrift9" w:type="paragraph">
    <w:name w:val="heading 9"/>
    <w:basedOn w:val="Normal"/>
    <w:next w:val="Normal"/>
    <w:link w:val="Overskrift9Tegn"/>
    <w:uiPriority w:val="9"/>
    <w:semiHidden/>
    <w:unhideWhenUsed/>
    <w:qFormat/>
    <w:rsid w:val="00664515"/>
    <w:pPr>
      <w:keepNext/>
      <w:keepLines/>
      <w:spacing w:after="0" w:line="259" w:lineRule="auto"/>
      <w:outlineLvl w:val="8"/>
    </w:pPr>
    <w:rPr>
      <w:rFonts w:cstheme="majorBidi" w:eastAsiaTheme="majorEastAsia"/>
      <w:color w:themeColor="text1" w:themeTint="D8" w:val="272727"/>
      <w:kern w:val="2"/>
      <w:sz w:val="22"/>
      <w:szCs w:val="22"/>
      <w:lang w:val="nb-NO"/>
      <w14:ligatures w14:val="standardContextual"/>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9"/>
    <w:rsid w:val="00664515"/>
    <w:rPr>
      <w:rFonts w:asciiTheme="majorHAnsi" w:cstheme="majorBidi" w:eastAsiaTheme="majorEastAsia" w:hAnsiTheme="majorHAnsi"/>
      <w:color w:themeColor="accent1" w:themeShade="BF" w:val="0F4761"/>
      <w:sz w:val="40"/>
      <w:szCs w:val="40"/>
    </w:rPr>
  </w:style>
  <w:style w:customStyle="1" w:styleId="Overskrift2Tegn" w:type="character">
    <w:name w:val="Overskrift 2 Tegn"/>
    <w:basedOn w:val="Standardskriftforavsnitt"/>
    <w:link w:val="Overskrift2"/>
    <w:uiPriority w:val="9"/>
    <w:rsid w:val="00664515"/>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foravsnitt"/>
    <w:link w:val="Overskrift3"/>
    <w:uiPriority w:val="9"/>
    <w:semiHidden/>
    <w:rsid w:val="00664515"/>
    <w:rPr>
      <w:rFonts w:cstheme="majorBidi" w:eastAsiaTheme="majorEastAsia"/>
      <w:color w:themeColor="accent1" w:themeShade="BF" w:val="0F4761"/>
      <w:sz w:val="28"/>
      <w:szCs w:val="28"/>
    </w:rPr>
  </w:style>
  <w:style w:customStyle="1" w:styleId="Overskrift4Tegn" w:type="character">
    <w:name w:val="Overskrift 4 Tegn"/>
    <w:basedOn w:val="Standardskriftforavsnitt"/>
    <w:link w:val="Overskrift4"/>
    <w:uiPriority w:val="9"/>
    <w:semiHidden/>
    <w:rsid w:val="00664515"/>
    <w:rPr>
      <w:rFonts w:cstheme="majorBidi" w:eastAsiaTheme="majorEastAsia"/>
      <w:i/>
      <w:iCs/>
      <w:color w:themeColor="accent1" w:themeShade="BF" w:val="0F4761"/>
    </w:rPr>
  </w:style>
  <w:style w:customStyle="1" w:styleId="Overskrift5Tegn" w:type="character">
    <w:name w:val="Overskrift 5 Tegn"/>
    <w:basedOn w:val="Standardskriftforavsnitt"/>
    <w:link w:val="Overskrift5"/>
    <w:uiPriority w:val="9"/>
    <w:semiHidden/>
    <w:rsid w:val="00664515"/>
    <w:rPr>
      <w:rFonts w:cstheme="majorBidi" w:eastAsiaTheme="majorEastAsia"/>
      <w:color w:themeColor="accent1" w:themeShade="BF" w:val="0F4761"/>
    </w:rPr>
  </w:style>
  <w:style w:customStyle="1" w:styleId="Overskrift6Tegn" w:type="character">
    <w:name w:val="Overskrift 6 Tegn"/>
    <w:basedOn w:val="Standardskriftforavsnitt"/>
    <w:link w:val="Overskrift6"/>
    <w:uiPriority w:val="9"/>
    <w:semiHidden/>
    <w:rsid w:val="00664515"/>
    <w:rPr>
      <w:rFonts w:cstheme="majorBidi" w:eastAsiaTheme="majorEastAsia"/>
      <w:i/>
      <w:iCs/>
      <w:color w:themeColor="text1" w:themeTint="A6" w:val="595959"/>
    </w:rPr>
  </w:style>
  <w:style w:customStyle="1" w:styleId="Overskrift7Tegn" w:type="character">
    <w:name w:val="Overskrift 7 Tegn"/>
    <w:basedOn w:val="Standardskriftforavsnitt"/>
    <w:link w:val="Overskrift7"/>
    <w:uiPriority w:val="9"/>
    <w:semiHidden/>
    <w:rsid w:val="00664515"/>
    <w:rPr>
      <w:rFonts w:cstheme="majorBidi" w:eastAsiaTheme="majorEastAsia"/>
      <w:color w:themeColor="text1" w:themeTint="A6" w:val="595959"/>
    </w:rPr>
  </w:style>
  <w:style w:customStyle="1" w:styleId="Overskrift8Tegn" w:type="character">
    <w:name w:val="Overskrift 8 Tegn"/>
    <w:basedOn w:val="Standardskriftforavsnitt"/>
    <w:link w:val="Overskrift8"/>
    <w:uiPriority w:val="9"/>
    <w:semiHidden/>
    <w:rsid w:val="00664515"/>
    <w:rPr>
      <w:rFonts w:cstheme="majorBidi" w:eastAsiaTheme="majorEastAsia"/>
      <w:i/>
      <w:iCs/>
      <w:color w:themeColor="text1" w:themeTint="D8" w:val="272727"/>
    </w:rPr>
  </w:style>
  <w:style w:customStyle="1" w:styleId="Overskrift9Tegn" w:type="character">
    <w:name w:val="Overskrift 9 Tegn"/>
    <w:basedOn w:val="Standardskriftforavsnitt"/>
    <w:link w:val="Overskrift9"/>
    <w:uiPriority w:val="9"/>
    <w:semiHidden/>
    <w:rsid w:val="00664515"/>
    <w:rPr>
      <w:rFonts w:cstheme="majorBidi" w:eastAsiaTheme="majorEastAsia"/>
      <w:color w:themeColor="text1" w:themeTint="D8" w:val="272727"/>
    </w:rPr>
  </w:style>
  <w:style w:styleId="Tittel" w:type="paragraph">
    <w:name w:val="Title"/>
    <w:basedOn w:val="Normal"/>
    <w:next w:val="Normal"/>
    <w:link w:val="TittelTegn"/>
    <w:qFormat/>
    <w:rsid w:val="00664515"/>
    <w:pPr>
      <w:spacing w:after="80"/>
      <w:contextualSpacing/>
    </w:pPr>
    <w:rPr>
      <w:rFonts w:asciiTheme="majorHAnsi" w:cstheme="majorBidi" w:eastAsiaTheme="majorEastAsia" w:hAnsiTheme="majorHAnsi"/>
      <w:spacing w:val="-10"/>
      <w:kern w:val="28"/>
      <w:sz w:val="56"/>
      <w:szCs w:val="56"/>
      <w:lang w:val="nb-NO"/>
      <w14:ligatures w14:val="standardContextual"/>
    </w:rPr>
  </w:style>
  <w:style w:customStyle="1" w:styleId="TittelTegn" w:type="character">
    <w:name w:val="Tittel Tegn"/>
    <w:basedOn w:val="Standardskriftforavsnitt"/>
    <w:link w:val="Tittel"/>
    <w:uiPriority w:val="10"/>
    <w:rsid w:val="00664515"/>
    <w:rPr>
      <w:rFonts w:asciiTheme="majorHAnsi" w:cstheme="majorBidi" w:eastAsiaTheme="majorEastAsia" w:hAnsiTheme="majorHAnsi"/>
      <w:spacing w:val="-10"/>
      <w:kern w:val="28"/>
      <w:sz w:val="56"/>
      <w:szCs w:val="56"/>
    </w:rPr>
  </w:style>
  <w:style w:styleId="Undertittel" w:type="paragraph">
    <w:name w:val="Subtitle"/>
    <w:basedOn w:val="Normal"/>
    <w:next w:val="Normal"/>
    <w:link w:val="UndertittelTegn"/>
    <w:uiPriority w:val="11"/>
    <w:qFormat/>
    <w:rsid w:val="00664515"/>
    <w:pPr>
      <w:numPr>
        <w:ilvl w:val="1"/>
      </w:numPr>
      <w:spacing w:after="160" w:line="259" w:lineRule="auto"/>
    </w:pPr>
    <w:rPr>
      <w:rFonts w:cstheme="majorBidi" w:eastAsiaTheme="majorEastAsia"/>
      <w:color w:themeColor="text1" w:themeTint="A6" w:val="595959"/>
      <w:spacing w:val="15"/>
      <w:kern w:val="2"/>
      <w:sz w:val="28"/>
      <w:szCs w:val="28"/>
      <w:lang w:val="nb-NO"/>
      <w14:ligatures w14:val="standardContextual"/>
    </w:rPr>
  </w:style>
  <w:style w:customStyle="1" w:styleId="UndertittelTegn" w:type="character">
    <w:name w:val="Undertittel Tegn"/>
    <w:basedOn w:val="Standardskriftforavsnitt"/>
    <w:link w:val="Undertittel"/>
    <w:uiPriority w:val="11"/>
    <w:rsid w:val="00664515"/>
    <w:rPr>
      <w:rFonts w:cstheme="majorBidi" w:eastAsiaTheme="majorEastAsia"/>
      <w:color w:themeColor="text1" w:themeTint="A6" w:val="595959"/>
      <w:spacing w:val="15"/>
      <w:sz w:val="28"/>
      <w:szCs w:val="28"/>
    </w:rPr>
  </w:style>
  <w:style w:styleId="Sitat" w:type="paragraph">
    <w:name w:val="Quote"/>
    <w:basedOn w:val="Normal"/>
    <w:next w:val="Normal"/>
    <w:link w:val="SitatTegn"/>
    <w:uiPriority w:val="29"/>
    <w:qFormat/>
    <w:rsid w:val="00664515"/>
    <w:pPr>
      <w:spacing w:after="160" w:before="160" w:line="259" w:lineRule="auto"/>
      <w:jc w:val="center"/>
    </w:pPr>
    <w:rPr>
      <w:i/>
      <w:iCs/>
      <w:color w:themeColor="text1" w:themeTint="BF" w:val="404040"/>
      <w:kern w:val="2"/>
      <w:sz w:val="22"/>
      <w:szCs w:val="22"/>
      <w:lang w:val="nb-NO"/>
      <w14:ligatures w14:val="standardContextual"/>
    </w:rPr>
  </w:style>
  <w:style w:customStyle="1" w:styleId="SitatTegn" w:type="character">
    <w:name w:val="Sitat Tegn"/>
    <w:basedOn w:val="Standardskriftforavsnitt"/>
    <w:link w:val="Sitat"/>
    <w:uiPriority w:val="29"/>
    <w:rsid w:val="00664515"/>
    <w:rPr>
      <w:i/>
      <w:iCs/>
      <w:color w:themeColor="text1" w:themeTint="BF" w:val="404040"/>
    </w:rPr>
  </w:style>
  <w:style w:styleId="Listeavsnitt" w:type="paragraph">
    <w:name w:val="List Paragraph"/>
    <w:basedOn w:val="Normal"/>
    <w:uiPriority w:val="34"/>
    <w:qFormat/>
    <w:rsid w:val="00664515"/>
    <w:pPr>
      <w:spacing w:after="160" w:line="259" w:lineRule="auto"/>
      <w:ind w:left="720"/>
      <w:contextualSpacing/>
    </w:pPr>
    <w:rPr>
      <w:kern w:val="2"/>
      <w:sz w:val="22"/>
      <w:szCs w:val="22"/>
      <w:lang w:val="nb-NO"/>
      <w14:ligatures w14:val="standardContextual"/>
    </w:rPr>
  </w:style>
  <w:style w:styleId="Sterkutheving" w:type="character">
    <w:name w:val="Intense Emphasis"/>
    <w:basedOn w:val="Standardskriftforavsnitt"/>
    <w:uiPriority w:val="21"/>
    <w:qFormat/>
    <w:rsid w:val="00664515"/>
    <w:rPr>
      <w:i/>
      <w:iCs/>
      <w:color w:themeColor="accent1" w:themeShade="BF" w:val="0F4761"/>
    </w:rPr>
  </w:style>
  <w:style w:styleId="Sterktsitat" w:type="paragraph">
    <w:name w:val="Intense Quote"/>
    <w:basedOn w:val="Normal"/>
    <w:next w:val="Normal"/>
    <w:link w:val="SterktsitatTegn"/>
    <w:uiPriority w:val="30"/>
    <w:qFormat/>
    <w:rsid w:val="00664515"/>
    <w:pPr>
      <w:pBdr>
        <w:top w:color="0F4761" w:space="10" w:sz="4" w:themeColor="accent1" w:themeShade="BF" w:val="single"/>
        <w:bottom w:color="0F4761" w:space="10" w:sz="4" w:themeColor="accent1" w:themeShade="BF" w:val="single"/>
      </w:pBdr>
      <w:spacing w:after="360" w:before="360" w:line="259" w:lineRule="auto"/>
      <w:ind w:left="864" w:right="864"/>
      <w:jc w:val="center"/>
    </w:pPr>
    <w:rPr>
      <w:i/>
      <w:iCs/>
      <w:color w:themeColor="accent1" w:themeShade="BF" w:val="0F4761"/>
      <w:kern w:val="2"/>
      <w:sz w:val="22"/>
      <w:szCs w:val="22"/>
      <w:lang w:val="nb-NO"/>
      <w14:ligatures w14:val="standardContextual"/>
    </w:rPr>
  </w:style>
  <w:style w:customStyle="1" w:styleId="SterktsitatTegn" w:type="character">
    <w:name w:val="Sterkt sitat Tegn"/>
    <w:basedOn w:val="Standardskriftforavsnitt"/>
    <w:link w:val="Sterktsitat"/>
    <w:uiPriority w:val="30"/>
    <w:rsid w:val="00664515"/>
    <w:rPr>
      <w:i/>
      <w:iCs/>
      <w:color w:themeColor="accent1" w:themeShade="BF" w:val="0F4761"/>
    </w:rPr>
  </w:style>
  <w:style w:styleId="Sterkreferanse" w:type="character">
    <w:name w:val="Intense Reference"/>
    <w:basedOn w:val="Standardskriftforavsnitt"/>
    <w:uiPriority w:val="32"/>
    <w:qFormat/>
    <w:rsid w:val="00664515"/>
    <w:rPr>
      <w:b/>
      <w:bCs/>
      <w:smallCaps/>
      <w:color w:themeColor="accent1" w:themeShade="BF" w:val="0F4761"/>
      <w:spacing w:val="5"/>
    </w:rPr>
  </w:style>
  <w:style w:styleId="Brdtekst" w:type="paragraph">
    <w:name w:val="Body Text"/>
    <w:basedOn w:val="Normal"/>
    <w:link w:val="BrdtekstTegn"/>
    <w:qFormat/>
    <w:rsid w:val="00664515"/>
    <w:pPr>
      <w:spacing w:after="180" w:before="180" w:line="480" w:lineRule="auto"/>
    </w:pPr>
    <w:rPr>
      <w:rFonts w:ascii="Times New Roman" w:hAnsi="Times New Roman"/>
    </w:rPr>
  </w:style>
  <w:style w:customStyle="1" w:styleId="BrdtekstTegn" w:type="character">
    <w:name w:val="Brødtekst Tegn"/>
    <w:basedOn w:val="Standardskriftforavsnitt"/>
    <w:link w:val="Brdtekst"/>
    <w:rsid w:val="00664515"/>
    <w:rPr>
      <w:rFonts w:ascii="Times New Roman" w:hAnsi="Times New Roman"/>
      <w:kern w:val="0"/>
      <w:sz w:val="24"/>
      <w:szCs w:val="24"/>
      <w:lang w:val="en-US"/>
      <w14:ligatures w14:val="none"/>
    </w:rPr>
  </w:style>
  <w:style w:customStyle="1" w:styleId="FirstParagraph" w:type="paragraph">
    <w:name w:val="First Paragraph"/>
    <w:basedOn w:val="Brdtekst"/>
    <w:next w:val="Brdtekst"/>
    <w:qFormat/>
    <w:rsid w:val="00664515"/>
  </w:style>
  <w:style w:customStyle="1" w:styleId="Author" w:type="paragraph">
    <w:name w:val="Author"/>
    <w:next w:val="Brdtekst"/>
    <w:qFormat/>
    <w:rsid w:val="00664515"/>
    <w:pPr>
      <w:keepNext/>
      <w:keepLines/>
      <w:spacing w:after="480" w:before="480" w:line="240" w:lineRule="auto"/>
      <w:ind w:left="567"/>
      <w:contextualSpacing/>
    </w:pPr>
    <w:rPr>
      <w:rFonts w:ascii="Times New Roman" w:hAnsi="Times New Roman"/>
      <w:kern w:val="0"/>
      <w:sz w:val="24"/>
      <w:szCs w:val="24"/>
      <w:lang w:val="en-US"/>
      <w14:ligatures w14:val="none"/>
    </w:rPr>
  </w:style>
  <w:style w:customStyle="1" w:styleId="abstracttitle" w:type="paragraph">
    <w:name w:val="abstracttitle"/>
    <w:basedOn w:val="Normal"/>
    <w:next w:val="Abstract"/>
    <w:qFormat/>
    <w:rsid w:val="00664515"/>
    <w:pPr>
      <w:keepNext/>
      <w:keepLines/>
      <w:pageBreakBefore/>
      <w:spacing w:after="0" w:before="300"/>
      <w:ind w:left="284"/>
    </w:pPr>
    <w:rPr>
      <w:rFonts w:ascii="Times New Roman" w:hAnsi="Times New Roman"/>
      <w:b/>
      <w:szCs w:val="20"/>
    </w:rPr>
  </w:style>
  <w:style w:customStyle="1" w:styleId="Abstract" w:type="paragraph">
    <w:name w:val="Abstract"/>
    <w:basedOn w:val="Normal"/>
    <w:next w:val="Brdtekst"/>
    <w:qFormat/>
    <w:rsid w:val="00664515"/>
    <w:pPr>
      <w:keepNext/>
      <w:keepLines/>
      <w:spacing w:after="300" w:before="100" w:line="480" w:lineRule="auto"/>
      <w:ind w:left="284"/>
    </w:pPr>
    <w:rPr>
      <w:rFonts w:ascii="Times New Roman" w:hAnsi="Times New Roman"/>
      <w:szCs w:val="20"/>
    </w:rPr>
  </w:style>
  <w:style w:customStyle="1" w:styleId="author-meta" w:type="paragraph">
    <w:name w:val="author-meta"/>
    <w:basedOn w:val="Overskrift2"/>
    <w:link w:val="author-metaTegn"/>
    <w:qFormat/>
    <w:rsid w:val="00664515"/>
    <w:pPr>
      <w:spacing w:after="0" w:before="0" w:line="240" w:lineRule="auto"/>
      <w:ind w:left="567"/>
      <w:contextualSpacing/>
    </w:pPr>
    <w:rPr>
      <w:rFonts w:ascii="Times New Roman" w:hAnsi="Times New Roman"/>
      <w:bCs/>
      <w:kern w:val="0"/>
      <w:sz w:val="24"/>
      <w:szCs w:val="28"/>
      <w:lang w:val="en-US"/>
      <w14:ligatures w14:val="none"/>
    </w:rPr>
  </w:style>
  <w:style w:customStyle="1" w:styleId="author-metaTegn" w:type="character">
    <w:name w:val="author-meta Tegn"/>
    <w:basedOn w:val="Overskrift2Tegn"/>
    <w:link w:val="author-meta"/>
    <w:rsid w:val="00664515"/>
    <w:rPr>
      <w:rFonts w:ascii="Times New Roman" w:cstheme="majorBidi" w:eastAsiaTheme="majorEastAsia" w:hAnsi="Times New Roman"/>
      <w:bCs/>
      <w:color w:themeColor="accent1" w:themeShade="BF" w:val="0F4761"/>
      <w:kern w:val="0"/>
      <w:sz w:val="24"/>
      <w:szCs w:val="28"/>
      <w:lang w:val="en-US"/>
      <w14:ligatures w14:val="none"/>
    </w:rPr>
  </w:style>
  <w:style w:styleId="Topptekst" w:type="paragraph">
    <w:name w:val="header"/>
    <w:basedOn w:val="Normal"/>
    <w:link w:val="TopptekstTegn"/>
    <w:uiPriority w:val="99"/>
    <w:rsid w:val="00664515"/>
    <w:pPr>
      <w:tabs>
        <w:tab w:pos="4536" w:val="center"/>
        <w:tab w:pos="9072" w:val="right"/>
      </w:tabs>
      <w:spacing w:after="0"/>
    </w:pPr>
  </w:style>
  <w:style w:customStyle="1" w:styleId="TopptekstTegn" w:type="character">
    <w:name w:val="Topptekst Tegn"/>
    <w:basedOn w:val="Standardskriftforavsnitt"/>
    <w:link w:val="Topptekst"/>
    <w:uiPriority w:val="99"/>
    <w:rsid w:val="00664515"/>
    <w:rPr>
      <w:kern w:val="0"/>
      <w:sz w:val="24"/>
      <w:szCs w:val="24"/>
      <w:lang w:val="en-US"/>
      <w14:ligatures w14:val="none"/>
    </w:rPr>
  </w:style>
  <w:style w:styleId="Linjenummer" w:type="character">
    <w:name w:val="line number"/>
    <w:basedOn w:val="Standardskriftforavsnitt"/>
    <w:uiPriority w:val="99"/>
    <w:semiHidden/>
    <w:unhideWhenUsed/>
    <w:rsid w:val="00664515"/>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63" Target="http://biorxiv.org/content/early/2022/03/14/2022.03.14.484341.abstract" TargetMode="External" /><Relationship Type="http://schemas.openxmlformats.org/officeDocument/2006/relationships/hyperlink" Id="rId49" Target="http://biorxiv.org/content/early/2024/04/28/2024.04.25.591048.abstract" TargetMode="External" /><Relationship Type="http://schemas.openxmlformats.org/officeDocument/2006/relationships/hyperlink" Id="rId78" Target="http://dx.doi.org/10.7554/eLife.87811.2" TargetMode="External" /><Relationship Type="http://schemas.openxmlformats.org/officeDocument/2006/relationships/hyperlink" Id="rId59" Target="https://doi.org/10.1002/14651858.CD002759.pub2" TargetMode="External" /><Relationship Type="http://schemas.openxmlformats.org/officeDocument/2006/relationships/hyperlink" Id="rId104" Target="https://doi.org/10.1002/bies.201500117" TargetMode="External" /><Relationship Type="http://schemas.openxmlformats.org/officeDocument/2006/relationships/hyperlink" Id="rId106" Target="https://doi.org/10.1016/j.cell.2013.06.052" TargetMode="External" /><Relationship Type="http://schemas.openxmlformats.org/officeDocument/2006/relationships/hyperlink" Id="rId75" Target="https://doi.org/10.1038/jhg.2015.24" TargetMode="External" /><Relationship Type="http://schemas.openxmlformats.org/officeDocument/2006/relationships/hyperlink" Id="rId86" Target="https://doi.org/10.1038/s41586-020-2499-y" TargetMode="External" /><Relationship Type="http://schemas.openxmlformats.org/officeDocument/2006/relationships/hyperlink" Id="rId44" Target="https://doi.org/10.1038/s41588-021-00828-9" TargetMode="External" /><Relationship Type="http://schemas.openxmlformats.org/officeDocument/2006/relationships/hyperlink" Id="rId40" Target="https://doi.org/10.1038/s41588-022-01279-6" TargetMode="External" /><Relationship Type="http://schemas.openxmlformats.org/officeDocument/2006/relationships/hyperlink" Id="rId83" Target="https://doi.org/10.1038/s42003-022-03224-z" TargetMode="External" /><Relationship Type="http://schemas.openxmlformats.org/officeDocument/2006/relationships/hyperlink" Id="rId35" Target="https://doi.org/10.1038/s43587-022-00189-w" TargetMode="External" /><Relationship Type="http://schemas.openxmlformats.org/officeDocument/2006/relationships/hyperlink" Id="rId101" Target="https://doi.org/10.1093/bioinformatics/btv642" TargetMode="External" /><Relationship Type="http://schemas.openxmlformats.org/officeDocument/2006/relationships/hyperlink" Id="rId71" Target="https://doi.org/10.1093/nar/gkz1068" TargetMode="External" /><Relationship Type="http://schemas.openxmlformats.org/officeDocument/2006/relationships/hyperlink" Id="rId37" Target="https://doi.org/10.1101/2023.03.29.534370" TargetMode="External" /><Relationship Type="http://schemas.openxmlformats.org/officeDocument/2006/relationships/hyperlink" Id="rId32" Target="https://doi.org/10.1101/gr.177790.114" TargetMode="External" /><Relationship Type="http://schemas.openxmlformats.org/officeDocument/2006/relationships/hyperlink" Id="rId25" Target="https://doi.org/10.1111/acel.12928" TargetMode="External" /><Relationship Type="http://schemas.openxmlformats.org/officeDocument/2006/relationships/hyperlink" Id="rId51" Target="https://doi.org/10.1111/j.1600-0838.2006.00575.x" TargetMode="External" /><Relationship Type="http://schemas.openxmlformats.org/officeDocument/2006/relationships/hyperlink" Id="rId57" Target="https://doi.org/10.1186/1471-2105-12-323" TargetMode="External" /><Relationship Type="http://schemas.openxmlformats.org/officeDocument/2006/relationships/hyperlink" Id="rId47" Target="https://doi.org/10.1186/s12859-020-03866-y" TargetMode="External" /><Relationship Type="http://schemas.openxmlformats.org/officeDocument/2006/relationships/hyperlink" Id="rId69" Target="https://doi.org/10.1186/s12967-021-02969-1" TargetMode="External" /><Relationship Type="http://schemas.openxmlformats.org/officeDocument/2006/relationships/hyperlink" Id="rId67" Target="https://doi.org/10.1186/s13059-017-1184-4" TargetMode="External" /><Relationship Type="http://schemas.openxmlformats.org/officeDocument/2006/relationships/hyperlink" Id="rId88" Target="https://doi.org/10.1186/s13059-017-1339-3" TargetMode="External" /><Relationship Type="http://schemas.openxmlformats.org/officeDocument/2006/relationships/hyperlink" Id="rId80" Target="https://doi.org/10.1249/MSS.0b013e3181eb6265" TargetMode="External" /><Relationship Type="http://schemas.openxmlformats.org/officeDocument/2006/relationships/hyperlink" Id="rId53" Target="https://doi.org/10.18632/aging.104096" TargetMode="External" /><Relationship Type="http://schemas.openxmlformats.org/officeDocument/2006/relationships/hyperlink" Id="rId28" Target="https://doi.org/10.3390/cells12242819" TargetMode="External" /><Relationship Type="http://schemas.openxmlformats.org/officeDocument/2006/relationships/hyperlink" Id="rId97" Target="https://doi.org/10.7554/eLife.49874" TargetMode="External" /><Relationship Type="http://schemas.openxmlformats.org/officeDocument/2006/relationships/hyperlink" Id="rId99" Target="https://doi.org/10.7554/eLife.74335" TargetMode="External" /><Relationship Type="http://schemas.openxmlformats.org/officeDocument/2006/relationships/hyperlink" Id="rId92" Target="https://www.sciencedirect.com/science/article/pii/S0022283617303200" TargetMode="External" /><Relationship Type="http://schemas.openxmlformats.org/officeDocument/2006/relationships/hyperlink" Id="rId55" Target="https://www.sciencedirect.com/science/article/pii/S1568163717300624" TargetMode="External" /></Relationships>
</file>

<file path=word/_rels/footnotes.xml.rels><?xml version="1.0" encoding="UTF-8"?><Relationships xmlns="http://schemas.openxmlformats.org/package/2006/relationships"><Relationship Type="http://schemas.openxmlformats.org/officeDocument/2006/relationships/hyperlink" Id="rId63" Target="http://biorxiv.org/content/early/2022/03/14/2022.03.14.484341.abstract" TargetMode="External" /><Relationship Type="http://schemas.openxmlformats.org/officeDocument/2006/relationships/hyperlink" Id="rId49" Target="http://biorxiv.org/content/early/2024/04/28/2024.04.25.591048.abstract" TargetMode="External" /><Relationship Type="http://schemas.openxmlformats.org/officeDocument/2006/relationships/hyperlink" Id="rId78" Target="http://dx.doi.org/10.7554/eLife.87811.2" TargetMode="External" /><Relationship Type="http://schemas.openxmlformats.org/officeDocument/2006/relationships/hyperlink" Id="rId59" Target="https://doi.org/10.1002/14651858.CD002759.pub2" TargetMode="External" /><Relationship Type="http://schemas.openxmlformats.org/officeDocument/2006/relationships/hyperlink" Id="rId104" Target="https://doi.org/10.1002/bies.201500117" TargetMode="External" /><Relationship Type="http://schemas.openxmlformats.org/officeDocument/2006/relationships/hyperlink" Id="rId106" Target="https://doi.org/10.1016/j.cell.2013.06.052" TargetMode="External" /><Relationship Type="http://schemas.openxmlformats.org/officeDocument/2006/relationships/hyperlink" Id="rId75" Target="https://doi.org/10.1038/jhg.2015.24" TargetMode="External" /><Relationship Type="http://schemas.openxmlformats.org/officeDocument/2006/relationships/hyperlink" Id="rId86" Target="https://doi.org/10.1038/s41586-020-2499-y" TargetMode="External" /><Relationship Type="http://schemas.openxmlformats.org/officeDocument/2006/relationships/hyperlink" Id="rId44" Target="https://doi.org/10.1038/s41588-021-00828-9" TargetMode="External" /><Relationship Type="http://schemas.openxmlformats.org/officeDocument/2006/relationships/hyperlink" Id="rId40" Target="https://doi.org/10.1038/s41588-022-01279-6" TargetMode="External" /><Relationship Type="http://schemas.openxmlformats.org/officeDocument/2006/relationships/hyperlink" Id="rId83" Target="https://doi.org/10.1038/s42003-022-03224-z" TargetMode="External" /><Relationship Type="http://schemas.openxmlformats.org/officeDocument/2006/relationships/hyperlink" Id="rId35" Target="https://doi.org/10.1038/s43587-022-00189-w" TargetMode="External" /><Relationship Type="http://schemas.openxmlformats.org/officeDocument/2006/relationships/hyperlink" Id="rId101" Target="https://doi.org/10.1093/bioinformatics/btv642" TargetMode="External" /><Relationship Type="http://schemas.openxmlformats.org/officeDocument/2006/relationships/hyperlink" Id="rId71" Target="https://doi.org/10.1093/nar/gkz1068" TargetMode="External" /><Relationship Type="http://schemas.openxmlformats.org/officeDocument/2006/relationships/hyperlink" Id="rId37" Target="https://doi.org/10.1101/2023.03.29.534370" TargetMode="External" /><Relationship Type="http://schemas.openxmlformats.org/officeDocument/2006/relationships/hyperlink" Id="rId32" Target="https://doi.org/10.1101/gr.177790.114" TargetMode="External" /><Relationship Type="http://schemas.openxmlformats.org/officeDocument/2006/relationships/hyperlink" Id="rId25" Target="https://doi.org/10.1111/acel.12928" TargetMode="External" /><Relationship Type="http://schemas.openxmlformats.org/officeDocument/2006/relationships/hyperlink" Id="rId51" Target="https://doi.org/10.1111/j.1600-0838.2006.00575.x" TargetMode="External" /><Relationship Type="http://schemas.openxmlformats.org/officeDocument/2006/relationships/hyperlink" Id="rId57" Target="https://doi.org/10.1186/1471-2105-12-323" TargetMode="External" /><Relationship Type="http://schemas.openxmlformats.org/officeDocument/2006/relationships/hyperlink" Id="rId47" Target="https://doi.org/10.1186/s12859-020-03866-y" TargetMode="External" /><Relationship Type="http://schemas.openxmlformats.org/officeDocument/2006/relationships/hyperlink" Id="rId69" Target="https://doi.org/10.1186/s12967-021-02969-1" TargetMode="External" /><Relationship Type="http://schemas.openxmlformats.org/officeDocument/2006/relationships/hyperlink" Id="rId67" Target="https://doi.org/10.1186/s13059-017-1184-4" TargetMode="External" /><Relationship Type="http://schemas.openxmlformats.org/officeDocument/2006/relationships/hyperlink" Id="rId88" Target="https://doi.org/10.1186/s13059-017-1339-3" TargetMode="External" /><Relationship Type="http://schemas.openxmlformats.org/officeDocument/2006/relationships/hyperlink" Id="rId80" Target="https://doi.org/10.1249/MSS.0b013e3181eb6265" TargetMode="External" /><Relationship Type="http://schemas.openxmlformats.org/officeDocument/2006/relationships/hyperlink" Id="rId53" Target="https://doi.org/10.18632/aging.104096" TargetMode="External" /><Relationship Type="http://schemas.openxmlformats.org/officeDocument/2006/relationships/hyperlink" Id="rId28" Target="https://doi.org/10.3390/cells12242819" TargetMode="External" /><Relationship Type="http://schemas.openxmlformats.org/officeDocument/2006/relationships/hyperlink" Id="rId97" Target="https://doi.org/10.7554/eLife.49874" TargetMode="External" /><Relationship Type="http://schemas.openxmlformats.org/officeDocument/2006/relationships/hyperlink" Id="rId99" Target="https://doi.org/10.7554/eLife.74335" TargetMode="External" /><Relationship Type="http://schemas.openxmlformats.org/officeDocument/2006/relationships/hyperlink" Id="rId92" Target="https://www.sciencedirect.com/science/article/pii/S0022283617303200" TargetMode="External" /><Relationship Type="http://schemas.openxmlformats.org/officeDocument/2006/relationships/hyperlink" Id="rId55" Target="https://www.sciencedirect.com/science/article/pii/S1568163717300624"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82</Words>
  <Characters>438</Characters>
  <Application>Microsoft Office Word</Application>
  <DocSecurity>0</DocSecurity>
  <Lines>3</Lines>
  <Paragraphs>1</Paragraphs>
  <ScaleCrop>false</ScaleCrop>
  <Company>HINN</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age and exercise on intron retention</dc:title>
  <dc:creator>Chidimma Phoebe Echebiria,b, Kristian Lianb, Håvard Hamarslandb, Knut Sindre Mølmenb, Rafi Ahmada, Stian Ellefsenb, and Daniel Hammarströmb</dc:creator>
  <cp:keywords/>
  <dcterms:created xsi:type="dcterms:W3CDTF">2024-10-28T14:01:14Z</dcterms:created>
  <dcterms:modified xsi:type="dcterms:W3CDTF">2024-10-28T14:01:14Z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My_Library.bib</vt:lpwstr>
  </property>
  <property fmtid="{D5CDD505-2E9C-101B-9397-08002B2CF9AE}" pid="5" name="by-author">
    <vt:lpwstr/>
  </property>
  <property fmtid="{D5CDD505-2E9C-101B-9397-08002B2CF9AE}" pid="6" name="csl">
    <vt:lpwstr>rna.csl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arget_journal">
    <vt:lpwstr>https://rnajournal.cshlp.org/site/misc/about.xhtml</vt:lpwstr>
  </property>
  <property fmtid="{D5CDD505-2E9C-101B-9397-08002B2CF9AE}" pid="13" name="toc-title">
    <vt:lpwstr>Table of contents</vt:lpwstr>
  </property>
</Properties>
</file>