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progressive</w:t>
      </w:r>
      <w:r>
        <w:t xml:space="preserve"> </w:t>
      </w:r>
      <w:r>
        <w:t xml:space="preserve">resistance</w:t>
      </w:r>
      <w:r>
        <w:t xml:space="preserve"> </w:t>
      </w:r>
      <w:r>
        <w:t xml:space="preserve">training</w:t>
      </w:r>
      <w:r>
        <w:t xml:space="preserve"> </w:t>
      </w:r>
      <w:r>
        <w:t xml:space="preserve">on</w:t>
      </w:r>
      <w:r>
        <w:t xml:space="preserve"> </w:t>
      </w:r>
      <w:r>
        <w:t xml:space="preserve">the</w:t>
      </w:r>
      <w:r>
        <w:t xml:space="preserve"> </w:t>
      </w:r>
      <w:r>
        <w:t xml:space="preserve">expression</w:t>
      </w:r>
      <w:r>
        <w:t xml:space="preserve"> </w:t>
      </w:r>
      <w:r>
        <w:t xml:space="preserve">of</w:t>
      </w:r>
      <w:r>
        <w:t xml:space="preserve"> </w:t>
      </w:r>
      <w:r>
        <w:t xml:space="preserve">long</w:t>
      </w:r>
      <w:r>
        <w:t xml:space="preserve"> </w:t>
      </w:r>
      <w:r>
        <w:t xml:space="preserve">non-coding</w:t>
      </w:r>
      <w:r>
        <w:t xml:space="preserve"> </w:t>
      </w:r>
      <w:r>
        <w:t xml:space="preserve">RNAs</w:t>
      </w:r>
      <w:r>
        <w:t xml:space="preserve"> </w:t>
      </w:r>
      <w:r>
        <w:t xml:space="preserve">in</w:t>
      </w:r>
      <w:r>
        <w:t xml:space="preserve"> </w:t>
      </w:r>
      <w:r>
        <w:t xml:space="preserve">skeletal</w:t>
      </w:r>
      <w:r>
        <w:t xml:space="preserve"> </w:t>
      </w:r>
      <w:r>
        <w:t xml:space="preserve">muscle</w:t>
      </w:r>
      <w:r>
        <w:t xml:space="preserve"> </w:t>
      </w:r>
      <w:r>
        <w:t xml:space="preserve">of</w:t>
      </w:r>
      <w:r>
        <w:t xml:space="preserve"> </w:t>
      </w:r>
      <w:r>
        <w:t xml:space="preserve">young</w:t>
      </w:r>
      <w:r>
        <w:t xml:space="preserve"> </w:t>
      </w:r>
      <w:r>
        <w:t xml:space="preserve">adults</w:t>
      </w:r>
    </w:p>
    <w:bookmarkStart w:id="20" w:name="abstract"/>
    <w:p>
      <w:pPr>
        <w:pStyle w:val="Heading2"/>
      </w:pPr>
      <w:r>
        <w:t xml:space="preserve">Abstract</w:t>
      </w:r>
    </w:p>
    <w:bookmarkEnd w:id="20"/>
    <w:bookmarkStart w:id="21" w:name="introduction"/>
    <w:p>
      <w:pPr>
        <w:pStyle w:val="Heading2"/>
      </w:pPr>
      <w:r>
        <w:t xml:space="preserve">Introduction</w:t>
      </w:r>
    </w:p>
    <w:p>
      <w:pPr>
        <w:pStyle w:val="FirstParagraph"/>
      </w:pPr>
      <w:r>
        <w:t xml:space="preserve">The skeletal muscle is important for physical health and vitality. It responds to both use and disuse by hypertrophying, and loss of muscle strength and mass respectively</w:t>
      </w:r>
      <w:r>
        <w:t xml:space="preserve"> </w:t>
      </w:r>
      <w:r>
        <w:t xml:space="preserve">(</w:t>
      </w:r>
      <w:r>
        <w:rPr>
          <w:iCs/>
          <w:i/>
        </w:rPr>
        <w:t xml:space="preserve">1</w:t>
      </w:r>
      <w:r>
        <w:t xml:space="preserve">,</w:t>
      </w:r>
      <w:r>
        <w:t xml:space="preserve"> </w:t>
      </w:r>
      <w:r>
        <w:rPr>
          <w:iCs/>
          <w:i/>
        </w:rPr>
        <w:t xml:space="preserve">2</w:t>
      </w:r>
      <w:r>
        <w:t xml:space="preserve"> </w:t>
      </w:r>
      <w:r>
        <w:t xml:space="preserve">)</w:t>
      </w:r>
      <w:r>
        <w:t xml:space="preserve">. Human age correlates to loss of muscle mass and strength</w:t>
      </w:r>
      <w:r>
        <w:t xml:space="preserve"> </w:t>
      </w:r>
      <w:r>
        <w:t xml:space="preserve">(</w:t>
      </w:r>
      <w:r>
        <w:rPr>
          <w:iCs/>
          <w:i/>
        </w:rPr>
        <w:t xml:space="preserve">3</w:t>
      </w:r>
      <w:r>
        <w:t xml:space="preserve">,</w:t>
      </w:r>
      <w:r>
        <w:t xml:space="preserve"> </w:t>
      </w:r>
      <w:r>
        <w:rPr>
          <w:iCs/>
          <w:i/>
        </w:rPr>
        <w:t xml:space="preserve">4</w:t>
      </w:r>
      <w:r>
        <w:t xml:space="preserve"> </w:t>
      </w:r>
      <w:r>
        <w:t xml:space="preserve">)</w:t>
      </w:r>
      <w:r>
        <w:t xml:space="preserve"> </w:t>
      </w:r>
      <w:r>
        <w:t xml:space="preserve">which in turn correlates to the risks of falls, injuries and impaired mobility</w:t>
      </w:r>
      <w:r>
        <w:t xml:space="preserve"> </w:t>
      </w:r>
      <w:r>
        <w:t xml:space="preserve">(</w:t>
      </w:r>
      <w:r>
        <w:rPr>
          <w:iCs/>
          <w:i/>
        </w:rPr>
        <w:t xml:space="preserve">5</w:t>
      </w:r>
      <w:r>
        <w:t xml:space="preserve">)</w:t>
      </w:r>
      <w:r>
        <w:t xml:space="preserve"> </w:t>
      </w:r>
      <w:r>
        <w:t xml:space="preserve">. Certain disease conditions like chronic obstructive pulmonary disease (COPD) could also accelerate loss in muscle mass and strength</w:t>
      </w:r>
      <w:r>
        <w:t xml:space="preserve"> </w:t>
      </w:r>
      <w:r>
        <w:t xml:space="preserve">(</w:t>
      </w:r>
      <w:r>
        <w:rPr>
          <w:iCs/>
          <w:i/>
        </w:rPr>
        <w:t xml:space="preserve">6</w:t>
      </w:r>
      <w:r>
        <w:t xml:space="preserve">)</w:t>
      </w:r>
      <w:r>
        <w:t xml:space="preserve"> </w:t>
      </w:r>
      <w:r>
        <w:t xml:space="preserve">. Thus, muscle strength and mass are important for improved quality of life.</w:t>
      </w:r>
    </w:p>
    <w:p>
      <w:pPr>
        <w:pStyle w:val="BodyText"/>
      </w:pPr>
      <w:r>
        <w:t xml:space="preserve">Progressive resistance exercise training (RT); a type of exercise where the skeletal muscle is exercised against progressively increased types of resistance</w:t>
      </w:r>
      <w:r>
        <w:t xml:space="preserve"> </w:t>
      </w:r>
      <w:r>
        <w:t xml:space="preserve">(</w:t>
      </w:r>
      <w:r>
        <w:rPr>
          <w:iCs/>
          <w:i/>
        </w:rPr>
        <w:t xml:space="preserve">7</w:t>
      </w:r>
      <w:r>
        <w:t xml:space="preserve">)</w:t>
      </w:r>
      <w:r>
        <w:t xml:space="preserve"> </w:t>
      </w:r>
      <w:r>
        <w:t xml:space="preserve">such as free weights , is the most potent non-pharmacological method of stimulating muscle hypertrophy and countering the loss in muscle strength and mass</w:t>
      </w:r>
      <w:r>
        <w:t xml:space="preserve"> </w:t>
      </w:r>
      <w:r>
        <w:t xml:space="preserve">(</w:t>
      </w:r>
      <w:r>
        <w:rPr>
          <w:iCs/>
          <w:i/>
        </w:rPr>
        <w:t xml:space="preserve">1</w:t>
      </w:r>
      <w:r>
        <w:t xml:space="preserve">,</w:t>
      </w:r>
      <w:r>
        <w:t xml:space="preserve"> </w:t>
      </w:r>
      <w:r>
        <w:rPr>
          <w:iCs/>
          <w:i/>
        </w:rPr>
        <w:t xml:space="preserve">8</w:t>
      </w:r>
      <w:r>
        <w:t xml:space="preserve">)</w:t>
      </w:r>
      <w:r>
        <w:t xml:space="preserve"> </w:t>
      </w:r>
      <w:r>
        <w:t xml:space="preserve">. RT has been shown to reduce blood glucose levels</w:t>
      </w:r>
      <w:r>
        <w:t xml:space="preserve"> </w:t>
      </w:r>
      <w:r>
        <w:t xml:space="preserve">(</w:t>
      </w:r>
      <w:r>
        <w:rPr>
          <w:iCs/>
          <w:i/>
        </w:rPr>
        <w:t xml:space="preserve">9</w:t>
      </w:r>
      <w:r>
        <w:t xml:space="preserve">,</w:t>
      </w:r>
      <w:r>
        <w:t xml:space="preserve"> </w:t>
      </w:r>
      <w:r>
        <w:rPr>
          <w:iCs/>
          <w:i/>
        </w:rPr>
        <w:t xml:space="preserve">10</w:t>
      </w:r>
      <w:r>
        <w:t xml:space="preserve">)</w:t>
      </w:r>
      <w:r>
        <w:t xml:space="preserve"> </w:t>
      </w:r>
      <w:r>
        <w:t xml:space="preserve">improve strength and performance in older adults</w:t>
      </w:r>
      <w:r>
        <w:t xml:space="preserve"> </w:t>
      </w:r>
      <w:r>
        <w:t xml:space="preserve">(</w:t>
      </w:r>
      <w:r>
        <w:rPr>
          <w:iCs/>
          <w:i/>
        </w:rPr>
        <w:t xml:space="preserve">7</w:t>
      </w:r>
      <w:r>
        <w:t xml:space="preserve">)</w:t>
      </w:r>
      <w:r>
        <w:t xml:space="preserve"> </w:t>
      </w:r>
      <w:r>
        <w:t xml:space="preserve">and in children with celebral palsy</w:t>
      </w:r>
      <w:r>
        <w:t xml:space="preserve"> </w:t>
      </w:r>
      <w:r>
        <w:t xml:space="preserve">(</w:t>
      </w:r>
      <w:r>
        <w:rPr>
          <w:iCs/>
          <w:i/>
        </w:rPr>
        <w:t xml:space="preserve">11</w:t>
      </w:r>
      <w:r>
        <w:t xml:space="preserve">)</w:t>
      </w:r>
      <w:r>
        <w:t xml:space="preserve"> </w:t>
      </w:r>
      <w:r>
        <w:t xml:space="preserve">, improve health status and pain intensity in women with fibromyalgia</w:t>
      </w:r>
      <w:r>
        <w:t xml:space="preserve"> </w:t>
      </w:r>
      <w:r>
        <w:t xml:space="preserve">(</w:t>
      </w:r>
      <w:r>
        <w:rPr>
          <w:iCs/>
          <w:i/>
        </w:rPr>
        <w:t xml:space="preserve">12</w:t>
      </w:r>
      <w:r>
        <w:t xml:space="preserve">,</w:t>
      </w:r>
      <w:r>
        <w:t xml:space="preserve"> </w:t>
      </w:r>
      <w:r>
        <w:rPr>
          <w:iCs/>
          <w:i/>
        </w:rPr>
        <w:t xml:space="preserve">13</w:t>
      </w:r>
      <w:r>
        <w:t xml:space="preserve">)</w:t>
      </w:r>
      <w:r>
        <w:t xml:space="preserve"> </w:t>
      </w:r>
      <w:r>
        <w:t xml:space="preserve">, counteract the adverse effects of anrogen deprivation therapy in prostate cancer patients</w:t>
      </w:r>
      <w:r>
        <w:t xml:space="preserve"> </w:t>
      </w:r>
      <w:r>
        <w:t xml:space="preserve">(</w:t>
      </w:r>
      <w:r>
        <w:rPr>
          <w:iCs/>
          <w:i/>
        </w:rPr>
        <w:t xml:space="preserve">14</w:t>
      </w:r>
      <w:r>
        <w:t xml:space="preserve">)</w:t>
      </w:r>
      <w:r>
        <w:t xml:space="preserve"> </w:t>
      </w:r>
      <w:r>
        <w:t xml:space="preserve">, as well as decrease menopause-related symptoms</w:t>
      </w:r>
      <w:r>
        <w:t xml:space="preserve"> </w:t>
      </w:r>
      <w:r>
        <w:t xml:space="preserve">(</w:t>
      </w:r>
      <w:r>
        <w:rPr>
          <w:iCs/>
          <w:i/>
        </w:rPr>
        <w:t xml:space="preserve">15</w:t>
      </w:r>
      <w:r>
        <w:t xml:space="preserve">)</w:t>
      </w:r>
      <w:r>
        <w:t xml:space="preserve">. The benefits of RT extend beyond physical health to include the mental well being of participants</w:t>
      </w:r>
      <w:r>
        <w:t xml:space="preserve"> </w:t>
      </w:r>
      <w:r>
        <w:t xml:space="preserve">(</w:t>
      </w:r>
      <w:r>
        <w:rPr>
          <w:iCs/>
          <w:i/>
        </w:rPr>
        <w:t xml:space="preserve">16</w:t>
      </w:r>
      <w:r>
        <w:t xml:space="preserve">)</w:t>
      </w:r>
      <w:r>
        <w:t xml:space="preserve"> </w:t>
      </w:r>
      <w:r>
        <w:t xml:space="preserve">and correlate to the volume of RT done</w:t>
      </w:r>
      <w:r>
        <w:t xml:space="preserve"> </w:t>
      </w:r>
      <w:r>
        <w:t xml:space="preserve">(</w:t>
      </w:r>
      <w:r>
        <w:rPr>
          <w:iCs/>
          <w:i/>
        </w:rPr>
        <w:t xml:space="preserve">17</w:t>
      </w:r>
      <w:r>
        <w:t xml:space="preserve">)</w:t>
      </w:r>
      <w:r>
        <w:t xml:space="preserve"> </w:t>
      </w:r>
      <w:r>
        <w:t xml:space="preserve">. Besides volume, factors such as ribosome biogenesis, transcriptome profile and responses, metabolites profile etc determine an individual’s response to RT</w:t>
      </w:r>
      <w:r>
        <w:t xml:space="preserve"> </w:t>
      </w:r>
      <w:r>
        <w:t xml:space="preserve">(</w:t>
      </w:r>
      <w:r>
        <w:rPr>
          <w:iCs/>
          <w:i/>
        </w:rPr>
        <w:t xml:space="preserve">1</w:t>
      </w:r>
      <w:r>
        <w:t xml:space="preserve">,</w:t>
      </w:r>
      <w:r>
        <w:t xml:space="preserve"> </w:t>
      </w:r>
      <w:r>
        <w:rPr>
          <w:iCs/>
          <w:i/>
        </w:rPr>
        <w:t xml:space="preserve">18</w:t>
      </w:r>
      <w:r>
        <w:t xml:space="preserve">)</w:t>
      </w:r>
      <w:r>
        <w:t xml:space="preserve">.</w:t>
      </w:r>
    </w:p>
    <w:p>
      <w:pPr>
        <w:pStyle w:val="BodyText"/>
      </w:pPr>
      <w:r>
        <w:t xml:space="preserve">Numerous studies have reported the gene expression patterns following RT, but how these patterns are regulated is poorly understood. Understanding these could also help understand the factors regulating response to RT. Long non-coding RNAs (lncRNAs) are said regulate the expression of protein-coding genes</w:t>
      </w:r>
      <w:r>
        <w:t xml:space="preserve"> </w:t>
      </w:r>
      <w:r>
        <w:t xml:space="preserve">(</w:t>
      </w:r>
      <w:r>
        <w:rPr>
          <w:iCs/>
          <w:i/>
        </w:rPr>
        <w:t xml:space="preserve">19</w:t>
      </w:r>
      <w:r>
        <w:t xml:space="preserve">,</w:t>
      </w:r>
      <w:r>
        <w:t xml:space="preserve"> </w:t>
      </w:r>
      <w:r>
        <w:rPr>
          <w:iCs/>
          <w:i/>
        </w:rPr>
        <w:t xml:space="preserve">20</w:t>
      </w:r>
      <w:r>
        <w:t xml:space="preserve">)</w:t>
      </w:r>
      <w:r>
        <w:t xml:space="preserve"> </w:t>
      </w:r>
      <w:r>
        <w:t xml:space="preserve">as well as different aspects of cellular physiology and function</w:t>
      </w:r>
      <w:r>
        <w:t xml:space="preserve"> </w:t>
      </w:r>
      <w:r>
        <w:t xml:space="preserve">(</w:t>
      </w:r>
      <w:r>
        <w:rPr>
          <w:iCs/>
          <w:i/>
        </w:rPr>
        <w:t xml:space="preserve">21</w:t>
      </w:r>
      <w:r>
        <w:t xml:space="preserve">,</w:t>
      </w:r>
      <w:r>
        <w:t xml:space="preserve"> </w:t>
      </w:r>
      <w:r>
        <w:rPr>
          <w:iCs/>
          <w:i/>
        </w:rPr>
        <w:t xml:space="preserve">22</w:t>
      </w:r>
      <w:r>
        <w:t xml:space="preserve">)</w:t>
      </w:r>
      <w:r>
        <w:t xml:space="preserve"> </w:t>
      </w:r>
      <w:r>
        <w:t xml:space="preserve">. lncRNAs are non-protein-coding RNAs of more than 200 nucleotides in length. Most lncRNAs have low levels of expression and sequence conservation</w:t>
      </w:r>
      <w:r>
        <w:t xml:space="preserve"> </w:t>
      </w:r>
      <w:r>
        <w:t xml:space="preserve">(</w:t>
      </w:r>
      <w:r>
        <w:rPr>
          <w:iCs/>
          <w:i/>
        </w:rPr>
        <w:t xml:space="preserve">23</w:t>
      </w:r>
      <w:r>
        <w:t xml:space="preserve">)</w:t>
      </w:r>
      <w:r>
        <w:t xml:space="preserve"> </w:t>
      </w:r>
      <w:r>
        <w:t xml:space="preserve">, their expressions however are highly tissue and condition-specific</w:t>
      </w:r>
      <w:r>
        <w:t xml:space="preserve"> </w:t>
      </w:r>
      <w:r>
        <w:t xml:space="preserve">(</w:t>
      </w:r>
      <w:r>
        <w:rPr>
          <w:iCs/>
          <w:i/>
        </w:rPr>
        <w:t xml:space="preserve">19</w:t>
      </w:r>
      <w:r>
        <w:t xml:space="preserve">,</w:t>
      </w:r>
      <w:r>
        <w:t xml:space="preserve"> </w:t>
      </w:r>
      <w:r>
        <w:rPr>
          <w:iCs/>
          <w:i/>
        </w:rPr>
        <w:t xml:space="preserve">24</w:t>
      </w:r>
      <w:r>
        <w:t xml:space="preserve">,</w:t>
      </w:r>
      <w:r>
        <w:t xml:space="preserve"> </w:t>
      </w:r>
      <w:r>
        <w:rPr>
          <w:iCs/>
          <w:i/>
        </w:rPr>
        <w:t xml:space="preserve">25</w:t>
      </w:r>
      <w:r>
        <w:t xml:space="preserve">)</w:t>
      </w:r>
      <w:r>
        <w:t xml:space="preserve"> </w:t>
      </w:r>
      <w:r>
        <w:t xml:space="preserve">. Over 240,000 lncRNAs in humans have been curated</w:t>
      </w:r>
      <w:r>
        <w:t xml:space="preserve"> </w:t>
      </w:r>
      <w:r>
        <w:t xml:space="preserve">(</w:t>
      </w:r>
      <w:r>
        <w:rPr>
          <w:iCs/>
          <w:i/>
        </w:rPr>
        <w:t xml:space="preserve">26</w:t>
      </w:r>
      <w:r>
        <w:t xml:space="preserve">)</w:t>
      </w:r>
      <w:r>
        <w:t xml:space="preserve"> </w:t>
      </w:r>
      <w:r>
        <w:t xml:space="preserve">even though not much is known about the functional roles of a majority of them</w:t>
      </w:r>
      <w:r>
        <w:t xml:space="preserve"> </w:t>
      </w:r>
      <w:r>
        <w:t xml:space="preserve">(</w:t>
      </w:r>
      <w:r>
        <w:rPr>
          <w:iCs/>
          <w:i/>
        </w:rPr>
        <w:t xml:space="preserve">25</w:t>
      </w:r>
      <w:r>
        <w:t xml:space="preserve">)</w:t>
      </w:r>
      <w:r>
        <w:t xml:space="preserve"> </w:t>
      </w:r>
      <w:r>
        <w:t xml:space="preserve">. Some have been reported to play roles in cell cycle regulation</w:t>
      </w:r>
      <w:r>
        <w:t xml:space="preserve"> </w:t>
      </w:r>
      <w:r>
        <w:t xml:space="preserve">(</w:t>
      </w:r>
      <w:r>
        <w:rPr>
          <w:iCs/>
          <w:i/>
        </w:rPr>
        <w:t xml:space="preserve">27</w:t>
      </w:r>
      <w:r>
        <w:t xml:space="preserve">)</w:t>
      </w:r>
      <w:r>
        <w:t xml:space="preserve"> </w:t>
      </w:r>
      <w:r>
        <w:t xml:space="preserve">, differentiation</w:t>
      </w:r>
      <w:r>
        <w:t xml:space="preserve"> </w:t>
      </w:r>
      <w:r>
        <w:t xml:space="preserve">(</w:t>
      </w:r>
      <w:r>
        <w:rPr>
          <w:iCs/>
          <w:i/>
        </w:rPr>
        <w:t xml:space="preserve">28</w:t>
      </w:r>
      <w:r>
        <w:t xml:space="preserve">)</w:t>
      </w:r>
      <w:r>
        <w:t xml:space="preserve"> </w:t>
      </w:r>
      <w:r>
        <w:t xml:space="preserve">, metabolism</w:t>
      </w:r>
      <w:r>
        <w:t xml:space="preserve"> </w:t>
      </w:r>
      <w:r>
        <w:t xml:space="preserve">(</w:t>
      </w:r>
      <w:r>
        <w:rPr>
          <w:iCs/>
          <w:i/>
        </w:rPr>
        <w:t xml:space="preserve">29</w:t>
      </w:r>
      <w:r>
        <w:t xml:space="preserve">)</w:t>
      </w:r>
      <w:r>
        <w:t xml:space="preserve"> </w:t>
      </w:r>
      <w:r>
        <w:t xml:space="preserve">, and muscle regeneration</w:t>
      </w:r>
      <w:r>
        <w:t xml:space="preserve"> </w:t>
      </w:r>
      <w:r>
        <w:t xml:space="preserve">(</w:t>
      </w:r>
      <w:r>
        <w:rPr>
          <w:iCs/>
          <w:i/>
        </w:rPr>
        <w:t xml:space="preserve">30</w:t>
      </w:r>
      <w:r>
        <w:t xml:space="preserve">)</w:t>
      </w:r>
      <w:r>
        <w:t xml:space="preserve"> </w:t>
      </w:r>
      <w:r>
        <w:t xml:space="preserve">. There is currently significant uncertainty about the mechanisms of actions of most lncRNAs. Figuring out lncRNAs that are differentially expressed in a given condition could thus be the first in a series of steps aimed towards elucidating their mechanisms of action.</w:t>
      </w:r>
    </w:p>
    <w:p>
      <w:pPr>
        <w:pStyle w:val="BodyText"/>
      </w:pPr>
      <w:r>
        <w:t xml:space="preserve">Most publicly available research on this group of RNAs are focused on their roles in diseases, especially cancers, . Relatively much less like</w:t>
      </w:r>
      <w:r>
        <w:t xml:space="preserve"> </w:t>
      </w:r>
      <w:r>
        <w:t xml:space="preserve">(</w:t>
      </w:r>
      <w:r>
        <w:rPr>
          <w:iCs/>
          <w:i/>
        </w:rPr>
        <w:t xml:space="preserve">24</w:t>
      </w:r>
      <w:r>
        <w:t xml:space="preserve">)</w:t>
      </w:r>
      <w:r>
        <w:t xml:space="preserve"> </w:t>
      </w:r>
      <w:r>
        <w:t xml:space="preserve">are available on their roles in health promotion. It perhaps pertinent to investigate the possible functional roles of lncRNAs in health promoting activities like RT. This knowledge could not only contribute towards a deeper understanding of the mechanisms of response to RT, but perhaps optimizing the benefits as well as personalizing an individual’s RT regimen.</w:t>
      </w:r>
    </w:p>
    <w:p>
      <w:pPr>
        <w:pStyle w:val="BodyText"/>
      </w:pPr>
      <w:r>
        <w:t xml:space="preserve">This study aims to identify lncRNAs that are differentially expressed following RT based on exercise conditions, that is, between the trained and untrained and between volumes among the trained. It will enhance the current knowledge about the responses to PRET and how these can be optimized and personalized for individual participants</w:t>
      </w:r>
    </w:p>
    <w:bookmarkEnd w:id="21"/>
    <w:bookmarkStart w:id="29" w:name="methods"/>
    <w:p>
      <w:pPr>
        <w:pStyle w:val="Heading2"/>
      </w:pPr>
      <w:r>
        <w:t xml:space="preserve">Methods</w:t>
      </w:r>
    </w:p>
    <w:bookmarkStart w:id="22" w:name="Xcd841b0e4b7eb14899a5553fc45e3aa51da6422"/>
    <w:p>
      <w:pPr>
        <w:pStyle w:val="Heading3"/>
      </w:pPr>
      <w:r>
        <w:t xml:space="preserve">Study design, RNA extraction and sequencing</w:t>
      </w:r>
    </w:p>
    <w:p>
      <w:pPr>
        <w:pStyle w:val="FirstParagraph"/>
      </w:pPr>
      <w:r>
        <w:t xml:space="preserve">Study design , sample preparation and RNA sequencing were done as described by Hamarsland et al (in_view).</w:t>
      </w:r>
    </w:p>
    <w:bookmarkEnd w:id="22"/>
    <w:bookmarkStart w:id="28" w:name="data-analyses"/>
    <w:p>
      <w:pPr>
        <w:pStyle w:val="Heading3"/>
      </w:pPr>
      <w:r>
        <w:t xml:space="preserve">Data Analyses</w:t>
      </w:r>
    </w:p>
    <w:p>
      <w:pPr>
        <w:pStyle w:val="FirstParagraph"/>
      </w:pPr>
      <w:r>
        <w:t xml:space="preserve">The quality of the RNA sequences was checked using FastQc (v0.11.5)</w:t>
      </w:r>
      <w:r>
        <w:t xml:space="preserve"> </w:t>
      </w:r>
      <w:r>
        <w:t xml:space="preserve">(</w:t>
      </w:r>
      <w:r>
        <w:rPr>
          <w:iCs/>
          <w:i/>
        </w:rPr>
        <w:t xml:space="preserve">31</w:t>
      </w:r>
      <w:r>
        <w:t xml:space="preserve">)</w:t>
      </w:r>
      <w:r>
        <w:t xml:space="preserve"> </w:t>
      </w:r>
      <w:r>
        <w:t xml:space="preserve">while RSEM (v.1.3.3-foss-2019b)</w:t>
      </w:r>
      <w:r>
        <w:t xml:space="preserve"> </w:t>
      </w:r>
      <w:r>
        <w:t xml:space="preserve">(</w:t>
      </w:r>
      <w:r>
        <w:rPr>
          <w:iCs/>
          <w:i/>
        </w:rPr>
        <w:t xml:space="preserve">32</w:t>
      </w:r>
      <w:r>
        <w:t xml:space="preserve">)</w:t>
      </w:r>
      <w:r>
        <w:t xml:space="preserve"> </w:t>
      </w:r>
      <w:r>
        <w:t xml:space="preserve">was used to align and count the reads mapping to human genome(GRCh 38) with gencode v40 primary assembly annotation . The expected count and FPKM values of the gene level counts were used during the data analyses . Further data extraction and statistical analyses were done on RStudio (2023.06.2 Build 561). An overview of data analyses steps is shown in Figure 1</w:t>
      </w:r>
    </w:p>
    <w:bookmarkStart w:id="23" w:name="models-and-visualization"/>
    <w:p>
      <w:pPr>
        <w:pStyle w:val="Heading4"/>
      </w:pPr>
      <w:r>
        <w:t xml:space="preserve">Models and visualization</w:t>
      </w:r>
    </w:p>
    <w:p>
      <w:pPr>
        <w:pStyle w:val="FirstParagraph"/>
      </w:pPr>
      <w:r>
        <w:t xml:space="preserve">using BiomaRt</w:t>
      </w:r>
      <w:r>
        <w:t xml:space="preserve"> </w:t>
      </w:r>
      <w:r>
        <w:t xml:space="preserve">(</w:t>
      </w:r>
      <w:r>
        <w:rPr>
          <w:iCs/>
          <w:i/>
        </w:rPr>
        <w:t xml:space="preserve">33</w:t>
      </w:r>
      <w:r>
        <w:t xml:space="preserve">)</w:t>
      </w:r>
      <w:r>
        <w:t xml:space="preserve"> </w:t>
      </w:r>
      <w:r>
        <w:t xml:space="preserve">, all genes annotated as lncRNA by the Ensemble database were filtered for downstream analyses. To compare the influence of the effective library size of all the genes, versus only those annotated as lncRNAs, two types of negative binomial regression models were built using Seqwrap, an R package developed in-house, one normalized using lncRNAs alone, and another using the full genes counts.</w:t>
      </w:r>
    </w:p>
    <w:p>
      <w:pPr>
        <w:pStyle w:val="BodyText"/>
      </w:pPr>
      <w:r>
        <w:t xml:space="preserve">Two models were built, one to determine the effect of training by grouping the participants’ legs into trained and untrained. The other model was designed to investigate the effect of the different exercise conditions , that is set 6, set 3 and set 0. lncRNAs with p values less than or below 0.05, and log fold 2 change above 0.5 were extracted</w:t>
      </w:r>
    </w:p>
    <w:bookmarkEnd w:id="23"/>
    <w:bookmarkStart w:id="27" w:name="coexpression-analyses"/>
    <w:p>
      <w:pPr>
        <w:pStyle w:val="Heading4"/>
      </w:pPr>
      <w:r>
        <w:t xml:space="preserve">Coexpression analyses</w:t>
      </w:r>
    </w:p>
    <w:p>
      <w:pPr>
        <w:pStyle w:val="FirstParagraph"/>
      </w:pPr>
      <w:r>
        <w:t xml:space="preserve">To understand the potential functions of the differentially expressed lncRNAs, a model was built using lmer</w:t>
      </w:r>
      <w:r>
        <w:t xml:space="preserve"> </w:t>
      </w:r>
      <w:r>
        <w:t xml:space="preserve">(</w:t>
      </w:r>
      <w:r>
        <w:rPr>
          <w:iCs/>
          <w:i/>
        </w:rPr>
        <w:t xml:space="preserve">34</w:t>
      </w:r>
      <w:r>
        <w:t xml:space="preserve">)</w:t>
      </w:r>
      <w:r>
        <w:t xml:space="preserve"> </w:t>
      </w:r>
      <w:r>
        <w:t xml:space="preserve">to calculate the correlation between each individual lncRNA expression and the expression of the genes annotated by Ensemble as</w:t>
      </w:r>
      <w:r>
        <w:t xml:space="preserve"> </w:t>
      </w:r>
      <w:r>
        <w:t xml:space="preserve">“</w:t>
      </w:r>
      <w:r>
        <w:t xml:space="preserve">protein coding genes</w:t>
      </w:r>
      <w:r>
        <w:t xml:space="preserve">”</w:t>
      </w:r>
      <w:r>
        <w:t xml:space="preserve"> </w:t>
      </w:r>
      <w:r>
        <w:t xml:space="preserve">. This model built to identify protein-coding genes with similar expression patterns as the lncRNAs given the condition and time of PRET .</w:t>
      </w:r>
    </w:p>
    <w:p>
      <w:pPr>
        <w:pStyle w:val="CaptionedFigure"/>
      </w:pPr>
      <w:r>
        <w:drawing>
          <wp:inline>
            <wp:extent cx="5334000" cy="6681900"/>
            <wp:effectExtent b="0" l="0" r="0" t="0"/>
            <wp:docPr descr="Flow diagram sowing steps in analysis" title="" id="25" name="Picture"/>
            <a:graphic>
              <a:graphicData uri="http://schemas.openxmlformats.org/drawingml/2006/picture">
                <pic:pic>
                  <pic:nvPicPr>
                    <pic:cNvPr descr="lncRNA_manuscript_files/figure-docx/Steps_analyses-1.png" id="26" name="Picture"/>
                    <pic:cNvPicPr>
                      <a:picLocks noChangeArrowheads="1" noChangeAspect="1"/>
                    </pic:cNvPicPr>
                  </pic:nvPicPr>
                  <pic:blipFill>
                    <a:blip r:embed="rId24"/>
                    <a:stretch>
                      <a:fillRect/>
                    </a:stretch>
                  </pic:blipFill>
                  <pic:spPr bwMode="auto">
                    <a:xfrm>
                      <a:off x="0" y="0"/>
                      <a:ext cx="5334000" cy="6681900"/>
                    </a:xfrm>
                    <a:prstGeom prst="rect">
                      <a:avLst/>
                    </a:prstGeom>
                    <a:noFill/>
                    <a:ln w="9525">
                      <a:noFill/>
                      <a:headEnd/>
                      <a:tailEnd/>
                    </a:ln>
                  </pic:spPr>
                </pic:pic>
              </a:graphicData>
            </a:graphic>
          </wp:inline>
        </w:drawing>
      </w:r>
    </w:p>
    <w:p>
      <w:pPr>
        <w:pStyle w:val="ImageCaption"/>
      </w:pPr>
      <w:r>
        <w:t xml:space="preserve">Flow diagram sowing steps in analysis</w:t>
      </w:r>
    </w:p>
    <w:p>
      <w:pPr>
        <w:pStyle w:val="SourceCode"/>
      </w:pPr>
    </w:p>
    <w:p>
      <w:pPr>
        <w:pStyle w:val="SourceCode"/>
      </w:pPr>
    </w:p>
    <w:bookmarkEnd w:id="27"/>
    <w:bookmarkEnd w:id="28"/>
    <w:bookmarkEnd w:id="29"/>
    <w:bookmarkStart w:id="31" w:name="results"/>
    <w:p>
      <w:pPr>
        <w:pStyle w:val="Heading2"/>
      </w:pPr>
      <w:r>
        <w:t xml:space="preserve">Results</w:t>
      </w:r>
    </w:p>
    <w:bookmarkStart w:id="30" w:name="discussion"/>
    <w:p>
      <w:pPr>
        <w:pStyle w:val="Heading3"/>
      </w:pPr>
      <w:r>
        <w:t xml:space="preserve">Discussion</w:t>
      </w:r>
    </w:p>
    <w:p>
      <w:pPr>
        <w:pStyle w:val="FirstParagraph"/>
      </w:pPr>
      <w:r>
        <w:t xml:space="preserve">Thereis a poor understanding of the lncRNA functions owing to their relative low expressions , weak conservation and the relative less research into them</w:t>
      </w:r>
      <w:r>
        <w:t xml:space="preserve"> </w:t>
      </w:r>
      <w:r>
        <w:t xml:space="preserve">(</w:t>
      </w:r>
      <w:r>
        <w:rPr>
          <w:iCs/>
          <w:i/>
        </w:rPr>
        <w:t xml:space="preserve">35</w:t>
      </w:r>
      <w:r>
        <w:t xml:space="preserve">)</w:t>
      </w:r>
    </w:p>
    <w:p>
      <w:pPr>
        <w:pStyle w:val="BodyText"/>
      </w:pPr>
      <w:r>
        <w:t xml:space="preserve">The lncRNA expression of biopsies from the vastus lateralis muscle of young individuals who participated in the Contratrain training exercise were compared and analysed to detect their differential expression based on exercise condition and time, as well as the mRNA genes possibly regulated by the lncRNAs</w:t>
      </w:r>
    </w:p>
    <w:p>
      <w:pPr>
        <w:pStyle w:val="BodyText"/>
      </w:pPr>
      <w:r>
        <w:t xml:space="preserve">lncRNAs act as regulators of different mechanisms in the cell cycle</w:t>
      </w:r>
      <w:r>
        <w:t xml:space="preserve"> </w:t>
      </w:r>
      <w:r>
        <w:t xml:space="preserve">(</w:t>
      </w:r>
      <w:r>
        <w:rPr>
          <w:iCs/>
          <w:i/>
        </w:rPr>
        <w:t xml:space="preserve">27</w:t>
      </w:r>
      <w:r>
        <w:t xml:space="preserve">)</w:t>
      </w:r>
      <w:r>
        <w:t xml:space="preserve"> </w:t>
      </w:r>
      <w:r>
        <w:t xml:space="preserve">,</w:t>
      </w:r>
      <w:r>
        <w:t xml:space="preserve"> </w:t>
      </w:r>
      <w:r>
        <w:t xml:space="preserve">(</w:t>
      </w:r>
      <w:r>
        <w:rPr>
          <w:iCs/>
          <w:i/>
        </w:rPr>
        <w:t xml:space="preserve">36</w:t>
      </w:r>
      <w:r>
        <w:t xml:space="preserve">)</w:t>
      </w:r>
    </w:p>
    <w:p>
      <w:pPr>
        <w:pStyle w:val="BodyText"/>
      </w:pPr>
      <w:r>
        <w:t xml:space="preserve">correlations in gene expression are used to infer the functions of genes</w:t>
      </w:r>
      <w:r>
        <w:t xml:space="preserve"> </w:t>
      </w:r>
      <w:r>
        <w:t xml:space="preserve">(</w:t>
      </w:r>
      <w:r>
        <w:rPr>
          <w:iCs/>
          <w:i/>
        </w:rPr>
        <w:t xml:space="preserve">37</w:t>
      </w:r>
      <w:r>
        <w:t xml:space="preserve">)</w:t>
      </w:r>
      <w:r>
        <w:t xml:space="preserve"> </w:t>
      </w:r>
      <w:r>
        <w:t xml:space="preserve">,</w:t>
      </w:r>
      <w:r>
        <w:t xml:space="preserve"> </w:t>
      </w:r>
      <w:r>
        <w:t xml:space="preserve">(</w:t>
      </w:r>
      <w:r>
        <w:rPr>
          <w:iCs/>
          <w:i/>
        </w:rPr>
        <w:t xml:space="preserve">38</w:t>
      </w:r>
      <w:r>
        <w:t xml:space="preserve">)</w:t>
      </w:r>
      <w:r>
        <w:t xml:space="preserve"> </w:t>
      </w:r>
      <w:r>
        <w:t xml:space="preserve">. This guilt by association method assumes that expression patterns encode functionality</w:t>
      </w:r>
      <w:r>
        <w:t xml:space="preserve"> </w:t>
      </w:r>
      <w:r>
        <w:t xml:space="preserve">(</w:t>
      </w:r>
      <w:r>
        <w:rPr>
          <w:iCs/>
          <w:i/>
        </w:rPr>
        <w:t xml:space="preserve">35</w:t>
      </w:r>
      <w:r>
        <w:t xml:space="preserve">)</w:t>
      </w:r>
    </w:p>
    <w:p>
      <w:pPr>
        <w:pStyle w:val="BodyText"/>
      </w:pPr>
      <w:r>
        <w:t xml:space="preserve">lncRNA research would most likely help understanding the underlying mechanisms that influence the benefits accrued from PRET</w:t>
      </w:r>
    </w:p>
    <w:p>
      <w:pPr>
        <w:pStyle w:val="BodyText"/>
      </w:pPr>
      <w:r>
        <w:t xml:space="preserve">functionality of lncRNAs should be studied using wet-lab based methods. The increasing knowledge and access to computational methods for gene expression studies makes it easier to begin somewhere, by filtering a few lncRNAs from the thousands fom where to begin the studies.</w:t>
      </w:r>
    </w:p>
    <w:p>
      <w:pPr>
        <w:pStyle w:val="BodyText"/>
      </w:pPr>
      <w:r>
        <w:t xml:space="preserve">While this study does not enforce predictions of the functional roles of lncRNAs, it provides pointers towards lncRNAs of interest and perhaps points to areas where we could further enhance the understanding of the regulatory landscape of PRET and its benefits</w:t>
      </w:r>
    </w:p>
    <w:bookmarkEnd w:id="30"/>
    <w:bookmarkEnd w:id="31"/>
    <w:bookmarkStart w:id="108" w:name="references"/>
    <w:p>
      <w:pPr>
        <w:pStyle w:val="Heading1"/>
      </w:pPr>
      <w:r>
        <w:t xml:space="preserve">References</w:t>
      </w:r>
    </w:p>
    <w:bookmarkStart w:id="107" w:name="refs"/>
    <w:bookmarkStart w:id="33" w:name="ref-lim_evidence-based_2022"/>
    <w:p>
      <w:pPr>
        <w:pStyle w:val="Bibliography"/>
      </w:pPr>
      <w:r>
        <w:t xml:space="preserve">1.</w:t>
      </w:r>
      <w:r>
        <w:t xml:space="preserve"> </w:t>
      </w:r>
      <w:r>
        <w:t xml:space="preserve">	</w:t>
      </w:r>
      <w:r>
        <w:t xml:space="preserve">C. Lim, E. A. Nunes, B. S. Currier, J. C. McLeod, A. C. Q. Thomas, S. M. Phillips,</w:t>
      </w:r>
      <w:r>
        <w:t xml:space="preserve"> </w:t>
      </w:r>
      <w:hyperlink r:id="rId32">
        <w:r>
          <w:rPr>
            <w:rStyle w:val="Hyperlink"/>
          </w:rPr>
          <w:t xml:space="preserve">An</w:t>
        </w:r>
        <w:r>
          <w:rPr>
            <w:rStyle w:val="Hyperlink"/>
          </w:rPr>
          <w:t xml:space="preserve"> </w:t>
        </w:r>
        <w:r>
          <w:rPr>
            <w:rStyle w:val="Hyperlink"/>
          </w:rPr>
          <w:t xml:space="preserve">Evidence</w:t>
        </w:r>
        <w:r>
          <w:rPr>
            <w:rStyle w:val="Hyperlink"/>
          </w:rPr>
          <w:t xml:space="preserve">-</w:t>
        </w:r>
        <w:r>
          <w:rPr>
            <w:rStyle w:val="Hyperlink"/>
          </w:rPr>
          <w:t xml:space="preserve">Based</w:t>
        </w:r>
        <w:r>
          <w:rPr>
            <w:rStyle w:val="Hyperlink"/>
          </w:rPr>
          <w:t xml:space="preserve"> </w:t>
        </w:r>
        <w:r>
          <w:rPr>
            <w:rStyle w:val="Hyperlink"/>
          </w:rPr>
          <w:t xml:space="preserve">Narrative</w:t>
        </w:r>
        <w:r>
          <w:rPr>
            <w:rStyle w:val="Hyperlink"/>
          </w:rPr>
          <w:t xml:space="preserve"> </w:t>
        </w:r>
        <w:r>
          <w:rPr>
            <w:rStyle w:val="Hyperlink"/>
          </w:rPr>
          <w:t xml:space="preserve">Review</w:t>
        </w:r>
        <w:r>
          <w:rPr>
            <w:rStyle w:val="Hyperlink"/>
          </w:rPr>
          <w:t xml:space="preserve"> </w:t>
        </w:r>
        <w:r>
          <w:rPr>
            <w:rStyle w:val="Hyperlink"/>
          </w:rPr>
          <w:t xml:space="preserve">of</w:t>
        </w:r>
        <w:r>
          <w:rPr>
            <w:rStyle w:val="Hyperlink"/>
          </w:rPr>
          <w:t xml:space="preserve"> </w:t>
        </w:r>
        <w:r>
          <w:rPr>
            <w:rStyle w:val="Hyperlink"/>
          </w:rPr>
          <w:t xml:space="preserve">Mechanisms</w:t>
        </w:r>
        <w:r>
          <w:rPr>
            <w:rStyle w:val="Hyperlink"/>
          </w:rPr>
          <w:t xml:space="preserve"> </w:t>
        </w:r>
        <w:r>
          <w:rPr>
            <w:rStyle w:val="Hyperlink"/>
          </w:rPr>
          <w:t xml:space="preserve">of</w:t>
        </w:r>
        <w:r>
          <w:rPr>
            <w:rStyle w:val="Hyperlink"/>
          </w:rPr>
          <w:t xml:space="preserve"> </w:t>
        </w:r>
        <w:r>
          <w:rPr>
            <w:rStyle w:val="Hyperlink"/>
          </w:rPr>
          <w:t xml:space="preserve">Resistance</w:t>
        </w:r>
        <w:r>
          <w:rPr>
            <w:rStyle w:val="Hyperlink"/>
          </w:rPr>
          <w:t xml:space="preserve"> </w:t>
        </w:r>
        <w:r>
          <w:rPr>
            <w:rStyle w:val="Hyperlink"/>
          </w:rPr>
          <w:t xml:space="preserve">Exercise</w:t>
        </w:r>
        <w:r>
          <w:rPr>
            <w:rStyle w:val="Hyperlink"/>
          </w:rPr>
          <w:t xml:space="preserve">-</w:t>
        </w:r>
        <w:r>
          <w:rPr>
            <w:rStyle w:val="Hyperlink"/>
          </w:rPr>
          <w:t xml:space="preserve">Induced</w:t>
        </w:r>
        <w:r>
          <w:rPr>
            <w:rStyle w:val="Hyperlink"/>
          </w:rPr>
          <w:t xml:space="preserve"> </w:t>
        </w:r>
        <w:r>
          <w:rPr>
            <w:rStyle w:val="Hyperlink"/>
          </w:rPr>
          <w:t xml:space="preserve">Human</w:t>
        </w:r>
        <w:r>
          <w:rPr>
            <w:rStyle w:val="Hyperlink"/>
          </w:rPr>
          <w:t xml:space="preserve"> </w:t>
        </w:r>
        <w:r>
          <w:rPr>
            <w:rStyle w:val="Hyperlink"/>
          </w:rPr>
          <w:t xml:space="preserve">Skeletal</w:t>
        </w:r>
        <w:r>
          <w:rPr>
            <w:rStyle w:val="Hyperlink"/>
          </w:rPr>
          <w:t xml:space="preserve"> </w:t>
        </w:r>
        <w:r>
          <w:rPr>
            <w:rStyle w:val="Hyperlink"/>
          </w:rPr>
          <w:t xml:space="preserve">Muscle</w:t>
        </w:r>
        <w:r>
          <w:rPr>
            <w:rStyle w:val="Hyperlink"/>
          </w:rPr>
          <w:t xml:space="preserve"> </w:t>
        </w:r>
        <w:r>
          <w:rPr>
            <w:rStyle w:val="Hyperlink"/>
          </w:rPr>
          <w:t xml:space="preserve">Hypertrophy</w:t>
        </w:r>
        <w:r>
          <w:rPr>
            <w:rStyle w:val="Hyperlink"/>
          </w:rPr>
          <w:t xml:space="preserve">.</w:t>
        </w:r>
      </w:hyperlink>
      <w:r>
        <w:t xml:space="preserve"> </w:t>
      </w:r>
      <w:r>
        <w:rPr>
          <w:iCs/>
          <w:i/>
        </w:rPr>
        <w:t xml:space="preserve">Medicine and science in sports and exercise</w:t>
      </w:r>
      <w:r>
        <w:t xml:space="preserve"> </w:t>
      </w:r>
      <w:r>
        <w:rPr>
          <w:bCs/>
          <w:b/>
        </w:rPr>
        <w:t xml:space="preserve">54</w:t>
      </w:r>
      <w:r>
        <w:t xml:space="preserve">, 1546–1559 (2022).</w:t>
      </w:r>
    </w:p>
    <w:bookmarkEnd w:id="33"/>
    <w:bookmarkStart w:id="35" w:name="ref-khan_increased_2020"/>
    <w:p>
      <w:pPr>
        <w:pStyle w:val="Bibliography"/>
      </w:pPr>
      <w:r>
        <w:t xml:space="preserve">2.</w:t>
      </w:r>
      <w:r>
        <w:t xml:space="preserve"> </w:t>
      </w:r>
      <w:r>
        <w:t xml:space="preserve">	</w:t>
      </w:r>
      <w:r>
        <w:t xml:space="preserve">Y. Khan, D. Hammarström, B. R. Rønnestad, S. Ellefsen, R. Ahmad,</w:t>
      </w:r>
      <w:r>
        <w:t xml:space="preserve"> </w:t>
      </w:r>
      <w:hyperlink r:id="rId34">
        <w:r>
          <w:rPr>
            <w:rStyle w:val="Hyperlink"/>
          </w:rPr>
          <w:t xml:space="preserve">Increased biological relevance of transcriptome analyses in human skeletal muscle using a model-specific pipeline</w:t>
        </w:r>
      </w:hyperlink>
      <w:r>
        <w:t xml:space="preserve">.</w:t>
      </w:r>
      <w:r>
        <w:t xml:space="preserve"> </w:t>
      </w:r>
      <w:r>
        <w:rPr>
          <w:iCs/>
          <w:i/>
        </w:rPr>
        <w:t xml:space="preserve">BMC Bioinformatics</w:t>
      </w:r>
      <w:r>
        <w:t xml:space="preserve"> </w:t>
      </w:r>
      <w:r>
        <w:rPr>
          <w:bCs/>
          <w:b/>
        </w:rPr>
        <w:t xml:space="preserve">21</w:t>
      </w:r>
      <w:r>
        <w:t xml:space="preserve">, 548 (2020).</w:t>
      </w:r>
    </w:p>
    <w:bookmarkEnd w:id="35"/>
    <w:bookmarkStart w:id="37" w:name="ref-power_human_2013"/>
    <w:p>
      <w:pPr>
        <w:pStyle w:val="Bibliography"/>
      </w:pPr>
      <w:r>
        <w:t xml:space="preserve">3.</w:t>
      </w:r>
      <w:r>
        <w:t xml:space="preserve"> </w:t>
      </w:r>
      <w:r>
        <w:t xml:space="preserve">	</w:t>
      </w:r>
      <w:r>
        <w:t xml:space="preserve">G. A. Power, B. H. Dalton, C. L. Rice,</w:t>
      </w:r>
      <w:r>
        <w:t xml:space="preserve"> </w:t>
      </w:r>
      <w:hyperlink r:id="rId36">
        <w:r>
          <w:rPr>
            <w:rStyle w:val="Hyperlink"/>
          </w:rPr>
          <w:t xml:space="preserve">Human neuromuscular structure and function in old age:</w:t>
        </w:r>
        <w:r>
          <w:rPr>
            <w:rStyle w:val="Hyperlink"/>
          </w:rPr>
          <w:t xml:space="preserve"> </w:t>
        </w:r>
        <w:r>
          <w:rPr>
            <w:rStyle w:val="Hyperlink"/>
          </w:rPr>
          <w:t xml:space="preserve">A</w:t>
        </w:r>
        <w:r>
          <w:rPr>
            <w:rStyle w:val="Hyperlink"/>
          </w:rPr>
          <w:t xml:space="preserve"> </w:t>
        </w:r>
        <w:r>
          <w:rPr>
            <w:rStyle w:val="Hyperlink"/>
          </w:rPr>
          <w:t xml:space="preserve">brief review.</w:t>
        </w:r>
      </w:hyperlink>
      <w:r>
        <w:t xml:space="preserve"> </w:t>
      </w:r>
      <w:r>
        <w:rPr>
          <w:iCs/>
          <w:i/>
        </w:rPr>
        <w:t xml:space="preserve">Journal of sport and health science</w:t>
      </w:r>
      <w:r>
        <w:t xml:space="preserve"> </w:t>
      </w:r>
      <w:r>
        <w:rPr>
          <w:bCs/>
          <w:b/>
        </w:rPr>
        <w:t xml:space="preserve">2</w:t>
      </w:r>
      <w:r>
        <w:t xml:space="preserve">, 215–226 (2013).</w:t>
      </w:r>
    </w:p>
    <w:bookmarkEnd w:id="37"/>
    <w:bookmarkStart w:id="39" w:name="ref-volpi_muscle_2004"/>
    <w:p>
      <w:pPr>
        <w:pStyle w:val="Bibliography"/>
      </w:pPr>
      <w:r>
        <w:t xml:space="preserve">4.</w:t>
      </w:r>
      <w:r>
        <w:t xml:space="preserve"> </w:t>
      </w:r>
      <w:r>
        <w:t xml:space="preserve">	</w:t>
      </w:r>
      <w:r>
        <w:t xml:space="preserve">E. Volpi, R. Nazemi, S. Fujita,</w:t>
      </w:r>
      <w:r>
        <w:t xml:space="preserve"> </w:t>
      </w:r>
      <w:hyperlink r:id="rId38">
        <w:r>
          <w:rPr>
            <w:rStyle w:val="Hyperlink"/>
          </w:rPr>
          <w:t xml:space="preserve">Muscle tissue changes with aging.</w:t>
        </w:r>
      </w:hyperlink>
      <w:r>
        <w:t xml:space="preserve"> </w:t>
      </w:r>
      <w:r>
        <w:rPr>
          <w:iCs/>
          <w:i/>
        </w:rPr>
        <w:t xml:space="preserve">Current opinion in clinical nutrition and metabolic care</w:t>
      </w:r>
      <w:r>
        <w:t xml:space="preserve"> </w:t>
      </w:r>
      <w:r>
        <w:rPr>
          <w:bCs/>
          <w:b/>
        </w:rPr>
        <w:t xml:space="preserve">7</w:t>
      </w:r>
      <w:r>
        <w:t xml:space="preserve">, 405–410 (2004).</w:t>
      </w:r>
    </w:p>
    <w:bookmarkEnd w:id="39"/>
    <w:bookmarkStart w:id="41" w:name="ref-wolfson_strength_1995"/>
    <w:p>
      <w:pPr>
        <w:pStyle w:val="Bibliography"/>
      </w:pPr>
      <w:r>
        <w:t xml:space="preserve">5.</w:t>
      </w:r>
      <w:r>
        <w:t xml:space="preserve"> </w:t>
      </w:r>
      <w:r>
        <w:t xml:space="preserve">	</w:t>
      </w:r>
      <w:r>
        <w:t xml:space="preserve">L. Wolfson, J. Judge, R. Whipple, M. King,</w:t>
      </w:r>
      <w:r>
        <w:t xml:space="preserve"> </w:t>
      </w:r>
      <w:hyperlink r:id="rId40">
        <w:r>
          <w:rPr>
            <w:rStyle w:val="Hyperlink"/>
          </w:rPr>
          <w:t xml:space="preserve">Strength is a major factor in balance, gait, and the occurrence of falls.</w:t>
        </w:r>
      </w:hyperlink>
      <w:r>
        <w:t xml:space="preserve"> </w:t>
      </w:r>
      <w:r>
        <w:rPr>
          <w:iCs/>
          <w:i/>
        </w:rPr>
        <w:t xml:space="preserve">The journals of gerontology. Series A, Biological sciences and medical sciences</w:t>
      </w:r>
      <w:r>
        <w:t xml:space="preserve"> </w:t>
      </w:r>
      <w:r>
        <w:rPr>
          <w:bCs/>
          <w:b/>
        </w:rPr>
        <w:t xml:space="preserve">50 Spec No</w:t>
      </w:r>
      <w:r>
        <w:t xml:space="preserve">, 64–67 (1995).</w:t>
      </w:r>
    </w:p>
    <w:bookmarkEnd w:id="41"/>
    <w:bookmarkStart w:id="43" w:name="ref-molmen_chronic_2021"/>
    <w:p>
      <w:pPr>
        <w:pStyle w:val="Bibliography"/>
      </w:pPr>
      <w:r>
        <w:t xml:space="preserve">6.</w:t>
      </w:r>
      <w:r>
        <w:t xml:space="preserve"> </w:t>
      </w:r>
      <w:r>
        <w:t xml:space="preserve">	</w:t>
      </w:r>
      <w:r>
        <w:t xml:space="preserve">K. S. Mølmen, D. Hammarström, G. S. Falch, M. Grundtvig, L. Koll, M. Hanestadhaugen, Y. Khan, R. Ahmad, B. Malerbakken, T. J. Rødølen, R. Lien, B. R. Rønnestad, T. Raastad, S. Ellefsen,</w:t>
      </w:r>
      <w:r>
        <w:t xml:space="preserve"> </w:t>
      </w:r>
      <w:hyperlink r:id="rId42">
        <w:r>
          <w:rPr>
            <w:rStyle w:val="Hyperlink"/>
          </w:rPr>
          <w:t xml:space="preserve">Chronic obstructive pulmonary disease does not impair responses to resistance training.</w:t>
        </w:r>
      </w:hyperlink>
      <w:r>
        <w:t xml:space="preserve"> </w:t>
      </w:r>
      <w:r>
        <w:rPr>
          <w:iCs/>
          <w:i/>
        </w:rPr>
        <w:t xml:space="preserve">Journal of translational medicine</w:t>
      </w:r>
      <w:r>
        <w:t xml:space="preserve"> </w:t>
      </w:r>
      <w:r>
        <w:rPr>
          <w:bCs/>
          <w:b/>
        </w:rPr>
        <w:t xml:space="preserve">19</w:t>
      </w:r>
      <w:r>
        <w:t xml:space="preserve">, 292 (2021).</w:t>
      </w:r>
    </w:p>
    <w:bookmarkEnd w:id="43"/>
    <w:bookmarkStart w:id="45" w:name="ref-liu_progressive_2009"/>
    <w:p>
      <w:pPr>
        <w:pStyle w:val="Bibliography"/>
      </w:pPr>
      <w:r>
        <w:t xml:space="preserve">7.</w:t>
      </w:r>
      <w:r>
        <w:t xml:space="preserve"> </w:t>
      </w:r>
      <w:r>
        <w:t xml:space="preserve">	</w:t>
      </w:r>
      <w:r>
        <w:t xml:space="preserve">C.-J. Liu, N. K. Latham,</w:t>
      </w:r>
      <w:r>
        <w:t xml:space="preserve"> </w:t>
      </w:r>
      <w:hyperlink r:id="rId44">
        <w:r>
          <w:rPr>
            <w:rStyle w:val="Hyperlink"/>
          </w:rPr>
          <w:t xml:space="preserve">Progressive resistance strength training for improving physical function in older adults.</w:t>
        </w:r>
      </w:hyperlink>
      <w:r>
        <w:t xml:space="preserve"> </w:t>
      </w:r>
      <w:r>
        <w:rPr>
          <w:iCs/>
          <w:i/>
        </w:rPr>
        <w:t xml:space="preserve">The Cochrane database of systematic reviews</w:t>
      </w:r>
      <w:r>
        <w:t xml:space="preserve"> </w:t>
      </w:r>
      <w:r>
        <w:rPr>
          <w:bCs/>
          <w:b/>
        </w:rPr>
        <w:t xml:space="preserve">2009</w:t>
      </w:r>
      <w:r>
        <w:t xml:space="preserve">, CD002759 (2009).</w:t>
      </w:r>
    </w:p>
    <w:bookmarkEnd w:id="45"/>
    <w:bookmarkStart w:id="47" w:name="ref-hurst_resistance_2022"/>
    <w:p>
      <w:pPr>
        <w:pStyle w:val="Bibliography"/>
      </w:pPr>
      <w:r>
        <w:t xml:space="preserve">8.</w:t>
      </w:r>
      <w:r>
        <w:t xml:space="preserve"> </w:t>
      </w:r>
      <w:r>
        <w:t xml:space="preserve">	</w:t>
      </w:r>
      <w:r>
        <w:t xml:space="preserve">C. Hurst, S. M. Robinson, M. D. Witham, R. M. Dodds, A. Granic, C. Buckland, S. De Biase, S. Finnegan, L. Rochester, D. A. Skelton, A. A. Sayer,</w:t>
      </w:r>
      <w:r>
        <w:t xml:space="preserve"> </w:t>
      </w:r>
      <w:hyperlink r:id="rId46">
        <w:r>
          <w:rPr>
            <w:rStyle w:val="Hyperlink"/>
          </w:rPr>
          <w:t xml:space="preserve">Resistance exercise as a treatment for sarcopenia: Prescription and delivery.</w:t>
        </w:r>
      </w:hyperlink>
      <w:r>
        <w:t xml:space="preserve"> </w:t>
      </w:r>
      <w:r>
        <w:rPr>
          <w:iCs/>
          <w:i/>
        </w:rPr>
        <w:t xml:space="preserve">Age and ageing</w:t>
      </w:r>
      <w:r>
        <w:t xml:space="preserve"> </w:t>
      </w:r>
      <w:r>
        <w:rPr>
          <w:bCs/>
          <w:b/>
        </w:rPr>
        <w:t xml:space="preserve">51</w:t>
      </w:r>
      <w:r>
        <w:t xml:space="preserve"> </w:t>
      </w:r>
      <w:r>
        <w:t xml:space="preserve">(2022).</w:t>
      </w:r>
    </w:p>
    <w:bookmarkEnd w:id="47"/>
    <w:bookmarkStart w:id="49" w:name="ref-xie_effects_2022"/>
    <w:p>
      <w:pPr>
        <w:pStyle w:val="Bibliography"/>
      </w:pPr>
      <w:r>
        <w:t xml:space="preserve">9.</w:t>
      </w:r>
      <w:r>
        <w:t xml:space="preserve"> </w:t>
      </w:r>
      <w:r>
        <w:t xml:space="preserve">	</w:t>
      </w:r>
      <w:r>
        <w:t xml:space="preserve">Y. Xie, H. Zhao, M. Zhao, H. Huang, C. Liu, F. Huang, J. Wu,</w:t>
      </w:r>
      <w:r>
        <w:t xml:space="preserve"> </w:t>
      </w:r>
      <w:hyperlink r:id="rId48">
        <w:r>
          <w:rPr>
            <w:rStyle w:val="Hyperlink"/>
          </w:rPr>
          <w:t xml:space="preserve">Effects of resistance exercise on blood glucose level and pregnancy outcome in patients with gestational diabetes mellitus: A randomized controlled trial.</w:t>
        </w:r>
      </w:hyperlink>
      <w:r>
        <w:t xml:space="preserve"> </w:t>
      </w:r>
      <w:r>
        <w:rPr>
          <w:iCs/>
          <w:i/>
        </w:rPr>
        <w:t xml:space="preserve">BMJ open diabetes research &amp; care</w:t>
      </w:r>
      <w:r>
        <w:t xml:space="preserve"> </w:t>
      </w:r>
      <w:r>
        <w:rPr>
          <w:bCs/>
          <w:b/>
        </w:rPr>
        <w:t xml:space="preserve">10</w:t>
      </w:r>
      <w:r>
        <w:t xml:space="preserve"> </w:t>
      </w:r>
      <w:r>
        <w:t xml:space="preserve">(2022).</w:t>
      </w:r>
    </w:p>
    <w:bookmarkEnd w:id="49"/>
    <w:bookmarkStart w:id="51" w:name="ref-westcott_resistance_2012"/>
    <w:p>
      <w:pPr>
        <w:pStyle w:val="Bibliography"/>
      </w:pPr>
      <w:r>
        <w:t xml:space="preserve">10.</w:t>
      </w:r>
      <w:r>
        <w:t xml:space="preserve"> </w:t>
      </w:r>
      <w:r>
        <w:t xml:space="preserve">	</w:t>
      </w:r>
      <w:r>
        <w:t xml:space="preserve">W. L. Westcott,</w:t>
      </w:r>
      <w:r>
        <w:t xml:space="preserve"> </w:t>
      </w:r>
      <w:hyperlink r:id="rId50">
        <w:r>
          <w:rPr>
            <w:rStyle w:val="Hyperlink"/>
          </w:rPr>
          <w:t xml:space="preserve">Resistance training is medicine: Effects of strength training on health.</w:t>
        </w:r>
      </w:hyperlink>
      <w:r>
        <w:t xml:space="preserve"> </w:t>
      </w:r>
      <w:r>
        <w:rPr>
          <w:iCs/>
          <w:i/>
        </w:rPr>
        <w:t xml:space="preserve">Current sports medicine reports</w:t>
      </w:r>
      <w:r>
        <w:t xml:space="preserve"> </w:t>
      </w:r>
      <w:r>
        <w:rPr>
          <w:bCs/>
          <w:b/>
        </w:rPr>
        <w:t xml:space="preserve">11</w:t>
      </w:r>
      <w:r>
        <w:t xml:space="preserve">, 209–216 (2012).</w:t>
      </w:r>
    </w:p>
    <w:bookmarkEnd w:id="51"/>
    <w:bookmarkStart w:id="53" w:name="ref-hanssen_progressive_2022"/>
    <w:p>
      <w:pPr>
        <w:pStyle w:val="Bibliography"/>
      </w:pPr>
      <w:r>
        <w:t xml:space="preserve">11.</w:t>
      </w:r>
      <w:r>
        <w:t xml:space="preserve"> </w:t>
      </w:r>
      <w:r>
        <w:t xml:space="preserve">	</w:t>
      </w:r>
      <w:r>
        <w:t xml:space="preserve">B. Hanssen, N. Peeters, N. De Beukelaer, A. Vannerom, L. Peeters, G. Molenaers, A. Van Campenhout, E. Deschepper, C. Van den Broeck, K. Desloovere,</w:t>
      </w:r>
      <w:r>
        <w:t xml:space="preserve"> </w:t>
      </w:r>
      <w:hyperlink r:id="rId52">
        <w:r>
          <w:rPr>
            <w:rStyle w:val="Hyperlink"/>
          </w:rPr>
          <w:t xml:space="preserve">Progressive resistance training for children with cerebral palsy:</w:t>
        </w:r>
        <w:r>
          <w:rPr>
            <w:rStyle w:val="Hyperlink"/>
          </w:rPr>
          <w:t xml:space="preserve"> </w:t>
        </w:r>
        <w:r>
          <w:rPr>
            <w:rStyle w:val="Hyperlink"/>
          </w:rPr>
          <w:t xml:space="preserve">A</w:t>
        </w:r>
        <w:r>
          <w:rPr>
            <w:rStyle w:val="Hyperlink"/>
          </w:rPr>
          <w:t xml:space="preserve"> </w:t>
        </w:r>
        <w:r>
          <w:rPr>
            <w:rStyle w:val="Hyperlink"/>
          </w:rPr>
          <w:t xml:space="preserve">randomized controlled trial evaluating the effects on muscle strength and morphology.</w:t>
        </w:r>
      </w:hyperlink>
      <w:r>
        <w:t xml:space="preserve"> </w:t>
      </w:r>
      <w:r>
        <w:rPr>
          <w:iCs/>
          <w:i/>
        </w:rPr>
        <w:t xml:space="preserve">Frontiers in physiology</w:t>
      </w:r>
      <w:r>
        <w:t xml:space="preserve"> </w:t>
      </w:r>
      <w:r>
        <w:rPr>
          <w:bCs/>
          <w:b/>
        </w:rPr>
        <w:t xml:space="preserve">13</w:t>
      </w:r>
      <w:r>
        <w:t xml:space="preserve">, 911162 (2022).</w:t>
      </w:r>
    </w:p>
    <w:bookmarkEnd w:id="53"/>
    <w:bookmarkStart w:id="55" w:name="ref-larsson_resistance_2015"/>
    <w:p>
      <w:pPr>
        <w:pStyle w:val="Bibliography"/>
      </w:pPr>
      <w:r>
        <w:t xml:space="preserve">12.</w:t>
      </w:r>
      <w:r>
        <w:t xml:space="preserve"> </w:t>
      </w:r>
      <w:r>
        <w:t xml:space="preserve">	</w:t>
      </w:r>
      <w:r>
        <w:t xml:space="preserve">A. Larsson, A. Palstam, M. Löfgren, M. Ernberg, J. Bjersing, I. Bileviciute-Ljungar, B. Gerdle, E. Kosek, K. Mannerkorpi,</w:t>
      </w:r>
      <w:r>
        <w:t xml:space="preserve"> </w:t>
      </w:r>
      <w:hyperlink r:id="rId54">
        <w:r>
          <w:rPr>
            <w:rStyle w:val="Hyperlink"/>
          </w:rPr>
          <w:t xml:space="preserve">Resistance exercise improves muscle strength, health status and pain intensity in fibromyalgia–a randomized controlled trial.</w:t>
        </w:r>
      </w:hyperlink>
      <w:r>
        <w:t xml:space="preserve"> </w:t>
      </w:r>
      <w:r>
        <w:rPr>
          <w:iCs/>
          <w:i/>
        </w:rPr>
        <w:t xml:space="preserve">Arthritis research &amp; therapy</w:t>
      </w:r>
      <w:r>
        <w:t xml:space="preserve"> </w:t>
      </w:r>
      <w:r>
        <w:rPr>
          <w:bCs/>
          <w:b/>
        </w:rPr>
        <w:t xml:space="preserve">17</w:t>
      </w:r>
      <w:r>
        <w:t xml:space="preserve">, 161 (2015).</w:t>
      </w:r>
    </w:p>
    <w:bookmarkEnd w:id="55"/>
    <w:bookmarkStart w:id="57" w:name="ref-busch_resistance_2013"/>
    <w:p>
      <w:pPr>
        <w:pStyle w:val="Bibliography"/>
      </w:pPr>
      <w:r>
        <w:t xml:space="preserve">13.</w:t>
      </w:r>
      <w:r>
        <w:t xml:space="preserve"> </w:t>
      </w:r>
      <w:r>
        <w:t xml:space="preserve">	</w:t>
      </w:r>
      <w:r>
        <w:t xml:space="preserve">A. J. Busch, S. C. Webber, R. S. Richards, J. Bidonde, C. L. Schachter, L. A. Schafer, A. Danyliw, A. Sawant, V. Dal Bello-Haas, T. Rader, T. J. Overend,</w:t>
      </w:r>
      <w:r>
        <w:t xml:space="preserve"> </w:t>
      </w:r>
      <w:hyperlink r:id="rId56">
        <w:r>
          <w:rPr>
            <w:rStyle w:val="Hyperlink"/>
          </w:rPr>
          <w:t xml:space="preserve">Resistance exercise training for fibromyalgia.</w:t>
        </w:r>
      </w:hyperlink>
      <w:r>
        <w:t xml:space="preserve"> </w:t>
      </w:r>
      <w:r>
        <w:rPr>
          <w:iCs/>
          <w:i/>
        </w:rPr>
        <w:t xml:space="preserve">The Cochrane database of systematic reviews</w:t>
      </w:r>
      <w:r>
        <w:t xml:space="preserve"> </w:t>
      </w:r>
      <w:r>
        <w:rPr>
          <w:bCs/>
          <w:b/>
        </w:rPr>
        <w:t xml:space="preserve">2013</w:t>
      </w:r>
      <w:r>
        <w:t xml:space="preserve">, CD010884 (2013).</w:t>
      </w:r>
    </w:p>
    <w:bookmarkEnd w:id="57"/>
    <w:bookmarkStart w:id="59" w:name="ref-houben_resistance_2023"/>
    <w:p>
      <w:pPr>
        <w:pStyle w:val="Bibliography"/>
      </w:pPr>
      <w:r>
        <w:t xml:space="preserve">14.</w:t>
      </w:r>
      <w:r>
        <w:t xml:space="preserve"> </w:t>
      </w:r>
      <w:r>
        <w:t xml:space="preserve">	</w:t>
      </w:r>
      <w:r>
        <w:t xml:space="preserve">L. H. P. HOUBEN, M. OVERKAMP, P. VAN KRAAIJ, J. TROMMELEN, J. G. H. VAN ROERMUND, P. DE VRIES, K. DE LAET, S. VAN DER MEER, U. R. MIKKELSEN, L. B. VERDIJK, L. J. C. VAN LOON, S. BEIJER, M. BEELEN,</w:t>
      </w:r>
      <w:r>
        <w:t xml:space="preserve"> </w:t>
      </w:r>
      <w:hyperlink r:id="rId58">
        <w:r>
          <w:rPr>
            <w:rStyle w:val="Hyperlink"/>
          </w:rPr>
          <w:t xml:space="preserve">Resistance</w:t>
        </w:r>
        <w:r>
          <w:rPr>
            <w:rStyle w:val="Hyperlink"/>
          </w:rPr>
          <w:t xml:space="preserve"> </w:t>
        </w:r>
        <w:r>
          <w:rPr>
            <w:rStyle w:val="Hyperlink"/>
          </w:rPr>
          <w:t xml:space="preserve">Exercise</w:t>
        </w:r>
        <w:r>
          <w:rPr>
            <w:rStyle w:val="Hyperlink"/>
          </w:rPr>
          <w:t xml:space="preserve"> </w:t>
        </w:r>
        <w:r>
          <w:rPr>
            <w:rStyle w:val="Hyperlink"/>
          </w:rPr>
          <w:t xml:space="preserve">Training</w:t>
        </w:r>
        <w:r>
          <w:rPr>
            <w:rStyle w:val="Hyperlink"/>
          </w:rPr>
          <w:t xml:space="preserve"> </w:t>
        </w:r>
        <w:r>
          <w:rPr>
            <w:rStyle w:val="Hyperlink"/>
          </w:rPr>
          <w:t xml:space="preserve">Increases</w:t>
        </w:r>
        <w:r>
          <w:rPr>
            <w:rStyle w:val="Hyperlink"/>
          </w:rPr>
          <w:t xml:space="preserve"> </w:t>
        </w:r>
        <w:r>
          <w:rPr>
            <w:rStyle w:val="Hyperlink"/>
          </w:rPr>
          <w:t xml:space="preserve">Muscle</w:t>
        </w:r>
        <w:r>
          <w:rPr>
            <w:rStyle w:val="Hyperlink"/>
          </w:rPr>
          <w:t xml:space="preserve"> </w:t>
        </w:r>
        <w:r>
          <w:rPr>
            <w:rStyle w:val="Hyperlink"/>
          </w:rPr>
          <w:t xml:space="preserve">Mass</w:t>
        </w:r>
        <w:r>
          <w:rPr>
            <w:rStyle w:val="Hyperlink"/>
          </w:rPr>
          <w:t xml:space="preserve"> </w:t>
        </w:r>
        <w:r>
          <w:rPr>
            <w:rStyle w:val="Hyperlink"/>
          </w:rPr>
          <w:t xml:space="preserve">and</w:t>
        </w:r>
        <w:r>
          <w:rPr>
            <w:rStyle w:val="Hyperlink"/>
          </w:rPr>
          <w:t xml:space="preserve"> </w:t>
        </w:r>
        <w:r>
          <w:rPr>
            <w:rStyle w:val="Hyperlink"/>
          </w:rPr>
          <w:t xml:space="preserve">Strength</w:t>
        </w:r>
        <w:r>
          <w:rPr>
            <w:rStyle w:val="Hyperlink"/>
          </w:rPr>
          <w:t xml:space="preserve"> </w:t>
        </w:r>
        <w:r>
          <w:rPr>
            <w:rStyle w:val="Hyperlink"/>
          </w:rPr>
          <w:t xml:space="preserve">in</w:t>
        </w:r>
        <w:r>
          <w:rPr>
            <w:rStyle w:val="Hyperlink"/>
          </w:rPr>
          <w:t xml:space="preserve"> </w:t>
        </w:r>
        <w:r>
          <w:rPr>
            <w:rStyle w:val="Hyperlink"/>
          </w:rPr>
          <w:t xml:space="preserve">Prostate</w:t>
        </w:r>
        <w:r>
          <w:rPr>
            <w:rStyle w:val="Hyperlink"/>
          </w:rPr>
          <w:t xml:space="preserve"> </w:t>
        </w:r>
        <w:r>
          <w:rPr>
            <w:rStyle w:val="Hyperlink"/>
          </w:rPr>
          <w:t xml:space="preserve">Cancer</w:t>
        </w:r>
        <w:r>
          <w:rPr>
            <w:rStyle w:val="Hyperlink"/>
          </w:rPr>
          <w:t xml:space="preserve"> </w:t>
        </w:r>
        <w:r>
          <w:rPr>
            <w:rStyle w:val="Hyperlink"/>
          </w:rPr>
          <w:t xml:space="preserve">Patients</w:t>
        </w:r>
        <w:r>
          <w:rPr>
            <w:rStyle w:val="Hyperlink"/>
          </w:rPr>
          <w:t xml:space="preserve"> </w:t>
        </w:r>
        <w:r>
          <w:rPr>
            <w:rStyle w:val="Hyperlink"/>
          </w:rPr>
          <w:t xml:space="preserve">on</w:t>
        </w:r>
        <w:r>
          <w:rPr>
            <w:rStyle w:val="Hyperlink"/>
          </w:rPr>
          <w:t xml:space="preserve"> </w:t>
        </w:r>
        <w:r>
          <w:rPr>
            <w:rStyle w:val="Hyperlink"/>
          </w:rPr>
          <w:t xml:space="preserve">Androgen</w:t>
        </w:r>
        <w:r>
          <w:rPr>
            <w:rStyle w:val="Hyperlink"/>
          </w:rPr>
          <w:t xml:space="preserve"> </w:t>
        </w:r>
        <w:r>
          <w:rPr>
            <w:rStyle w:val="Hyperlink"/>
          </w:rPr>
          <w:t xml:space="preserve">Deprivation</w:t>
        </w:r>
        <w:r>
          <w:rPr>
            <w:rStyle w:val="Hyperlink"/>
          </w:rPr>
          <w:t xml:space="preserve"> </w:t>
        </w:r>
        <w:r>
          <w:rPr>
            <w:rStyle w:val="Hyperlink"/>
          </w:rPr>
          <w:t xml:space="preserve">Therapy</w:t>
        </w:r>
      </w:hyperlink>
      <w:r>
        <w:t xml:space="preserve">.</w:t>
      </w:r>
      <w:r>
        <w:t xml:space="preserve"> </w:t>
      </w:r>
      <w:r>
        <w:rPr>
          <w:iCs/>
          <w:i/>
        </w:rPr>
        <w:t xml:space="preserve">Medicine &amp; Science in Sports &amp; Exercise</w:t>
      </w:r>
      <w:r>
        <w:t xml:space="preserve"> </w:t>
      </w:r>
      <w:r>
        <w:rPr>
          <w:bCs/>
          <w:b/>
        </w:rPr>
        <w:t xml:space="preserve">55</w:t>
      </w:r>
      <w:r>
        <w:t xml:space="preserve"> </w:t>
      </w:r>
      <w:r>
        <w:t xml:space="preserve">(2023).</w:t>
      </w:r>
    </w:p>
    <w:bookmarkEnd w:id="59"/>
    <w:bookmarkStart w:id="61" w:name="ref-berin_resistance_2019"/>
    <w:p>
      <w:pPr>
        <w:pStyle w:val="Bibliography"/>
      </w:pPr>
      <w:r>
        <w:t xml:space="preserve">15.</w:t>
      </w:r>
      <w:r>
        <w:t xml:space="preserve"> </w:t>
      </w:r>
      <w:r>
        <w:t xml:space="preserve">	</w:t>
      </w:r>
      <w:r>
        <w:t xml:space="preserve">E. Berin, M. Hammar, H. Lindblom, L. Lindh-Åstrand, M. Rubér, A.-C. Spetz Holm,</w:t>
      </w:r>
      <w:r>
        <w:t xml:space="preserve"> </w:t>
      </w:r>
      <w:hyperlink r:id="rId60">
        <w:r>
          <w:rPr>
            <w:rStyle w:val="Hyperlink"/>
          </w:rPr>
          <w:t xml:space="preserve">Resistance training for hot flushes in postmenopausal women:</w:t>
        </w:r>
        <w:r>
          <w:rPr>
            <w:rStyle w:val="Hyperlink"/>
          </w:rPr>
          <w:t xml:space="preserve"> </w:t>
        </w:r>
        <w:r>
          <w:rPr>
            <w:rStyle w:val="Hyperlink"/>
          </w:rPr>
          <w:t xml:space="preserve">A</w:t>
        </w:r>
        <w:r>
          <w:rPr>
            <w:rStyle w:val="Hyperlink"/>
          </w:rPr>
          <w:t xml:space="preserve"> </w:t>
        </w:r>
        <w:r>
          <w:rPr>
            <w:rStyle w:val="Hyperlink"/>
          </w:rPr>
          <w:t xml:space="preserve">randomised controlled trial.</w:t>
        </w:r>
      </w:hyperlink>
      <w:r>
        <w:t xml:space="preserve"> </w:t>
      </w:r>
      <w:r>
        <w:rPr>
          <w:iCs/>
          <w:i/>
        </w:rPr>
        <w:t xml:space="preserve">Maturitas</w:t>
      </w:r>
      <w:r>
        <w:t xml:space="preserve"> </w:t>
      </w:r>
      <w:r>
        <w:rPr>
          <w:bCs/>
          <w:b/>
        </w:rPr>
        <w:t xml:space="preserve">126</w:t>
      </w:r>
      <w:r>
        <w:t xml:space="preserve">, 55–60 (2019).</w:t>
      </w:r>
    </w:p>
    <w:bookmarkEnd w:id="61"/>
    <w:bookmarkStart w:id="63" w:name="ref-kekalainen_effects_2018"/>
    <w:p>
      <w:pPr>
        <w:pStyle w:val="Bibliography"/>
      </w:pPr>
      <w:r>
        <w:t xml:space="preserve">16.</w:t>
      </w:r>
      <w:r>
        <w:t xml:space="preserve"> </w:t>
      </w:r>
      <w:r>
        <w:t xml:space="preserve">	</w:t>
      </w:r>
      <w:r>
        <w:t xml:space="preserve">T. Kekäläinen, K. Kokko, S. Sipilä, S. Walker,</w:t>
      </w:r>
      <w:r>
        <w:t xml:space="preserve"> </w:t>
      </w:r>
      <w:hyperlink r:id="rId62">
        <w:r>
          <w:rPr>
            <w:rStyle w:val="Hyperlink"/>
          </w:rPr>
          <w:t xml:space="preserve">Effects of a 9-month resistance training intervention on quality of life, sense of coherence, and depressive symptoms in older adults: Randomized controlled trial.</w:t>
        </w:r>
      </w:hyperlink>
      <w:r>
        <w:t xml:space="preserve"> </w:t>
      </w:r>
      <w:r>
        <w:rPr>
          <w:iCs/>
          <w:i/>
        </w:rPr>
        <w:t xml:space="preserve">Quality of life research : an international journal of quality of life aspects of treatment, care and rehabilitation</w:t>
      </w:r>
      <w:r>
        <w:t xml:space="preserve"> </w:t>
      </w:r>
      <w:r>
        <w:rPr>
          <w:bCs/>
          <w:b/>
        </w:rPr>
        <w:t xml:space="preserve">27</w:t>
      </w:r>
      <w:r>
        <w:t xml:space="preserve">, 455–465 (2018).</w:t>
      </w:r>
    </w:p>
    <w:bookmarkEnd w:id="63"/>
    <w:bookmarkStart w:id="65" w:name="ref-hammarstrom_benefits_2020"/>
    <w:p>
      <w:pPr>
        <w:pStyle w:val="Bibliography"/>
      </w:pPr>
      <w:r>
        <w:t xml:space="preserve">17.</w:t>
      </w:r>
      <w:r>
        <w:t xml:space="preserve"> </w:t>
      </w:r>
      <w:r>
        <w:t xml:space="preserve">	</w:t>
      </w:r>
      <w:r>
        <w:t xml:space="preserve">D. Hammarström, S. Øfsteng, L. Koll, M. Hanestadhaugen, I. Hollan, W. Apró, J. E. Whist, E. Blomstrand, B. R. Rønnestad, S. Ellefsen,</w:t>
      </w:r>
      <w:r>
        <w:t xml:space="preserve"> </w:t>
      </w:r>
      <w:hyperlink r:id="rId64">
        <w:r>
          <w:rPr>
            <w:rStyle w:val="Hyperlink"/>
          </w:rPr>
          <w:t xml:space="preserve">Benefits of higher resistance-training volume are related to ribosome biogenesis.</w:t>
        </w:r>
      </w:hyperlink>
      <w:r>
        <w:t xml:space="preserve"> </w:t>
      </w:r>
      <w:r>
        <w:rPr>
          <w:iCs/>
          <w:i/>
        </w:rPr>
        <w:t xml:space="preserve">The Journal of physiology</w:t>
      </w:r>
      <w:r>
        <w:t xml:space="preserve"> </w:t>
      </w:r>
      <w:r>
        <w:rPr>
          <w:bCs/>
          <w:b/>
        </w:rPr>
        <w:t xml:space="preserve">598</w:t>
      </w:r>
      <w:r>
        <w:t xml:space="preserve">, 543–565 (2020).</w:t>
      </w:r>
    </w:p>
    <w:bookmarkEnd w:id="65"/>
    <w:bookmarkStart w:id="67" w:name="ref-hammarstrom_ribosome_2022"/>
    <w:p>
      <w:pPr>
        <w:pStyle w:val="Bibliography"/>
      </w:pPr>
      <w:r>
        <w:t xml:space="preserve">18.</w:t>
      </w:r>
      <w:r>
        <w:t xml:space="preserve"> </w:t>
      </w:r>
      <w:r>
        <w:t xml:space="preserve">	</w:t>
      </w:r>
      <w:r>
        <w:t xml:space="preserve">D. Hammarström, S. J. Øfsteng, N. B. Jacobsen, K. B. Flobergseter, B. R. Rønnestad, S. Ellefsen,</w:t>
      </w:r>
      <w:r>
        <w:t xml:space="preserve"> </w:t>
      </w:r>
      <w:hyperlink r:id="rId66">
        <w:r>
          <w:rPr>
            <w:rStyle w:val="Hyperlink"/>
          </w:rPr>
          <w:t xml:space="preserve">Ribosome accumulation during early phase resistance training in humans.</w:t>
        </w:r>
      </w:hyperlink>
      <w:r>
        <w:t xml:space="preserve"> </w:t>
      </w:r>
      <w:r>
        <w:rPr>
          <w:iCs/>
          <w:i/>
        </w:rPr>
        <w:t xml:space="preserve">Acta physiologica (Oxford, England)</w:t>
      </w:r>
      <w:r>
        <w:t xml:space="preserve"> </w:t>
      </w:r>
      <w:r>
        <w:rPr>
          <w:bCs/>
          <w:b/>
        </w:rPr>
        <w:t xml:space="preserve">235</w:t>
      </w:r>
      <w:r>
        <w:t xml:space="preserve">, e13806 (2022).</w:t>
      </w:r>
    </w:p>
    <w:bookmarkEnd w:id="67"/>
    <w:bookmarkStart w:id="69" w:name="ref-statello_gene_2021"/>
    <w:p>
      <w:pPr>
        <w:pStyle w:val="Bibliography"/>
      </w:pPr>
      <w:r>
        <w:t xml:space="preserve">19.</w:t>
      </w:r>
      <w:r>
        <w:t xml:space="preserve"> </w:t>
      </w:r>
      <w:r>
        <w:t xml:space="preserve">	</w:t>
      </w:r>
      <w:r>
        <w:t xml:space="preserve">L. Statello, C.-J. Guo, L.-L. Chen, M. Huarte,</w:t>
      </w:r>
      <w:r>
        <w:t xml:space="preserve"> </w:t>
      </w:r>
      <w:hyperlink r:id="rId68">
        <w:r>
          <w:rPr>
            <w:rStyle w:val="Hyperlink"/>
          </w:rPr>
          <w:t xml:space="preserve">Gene regulation by long non-coding</w:t>
        </w:r>
        <w:r>
          <w:rPr>
            <w:rStyle w:val="Hyperlink"/>
          </w:rPr>
          <w:t xml:space="preserve"> </w:t>
        </w:r>
        <w:r>
          <w:rPr>
            <w:rStyle w:val="Hyperlink"/>
          </w:rPr>
          <w:t xml:space="preserve">RNAs</w:t>
        </w:r>
        <w:r>
          <w:rPr>
            <w:rStyle w:val="Hyperlink"/>
          </w:rPr>
          <w:t xml:space="preserve"> </w:t>
        </w:r>
        <w:r>
          <w:rPr>
            <w:rStyle w:val="Hyperlink"/>
          </w:rPr>
          <w:t xml:space="preserve">and its biological functions</w:t>
        </w:r>
      </w:hyperlink>
      <w:r>
        <w:t xml:space="preserve">.</w:t>
      </w:r>
      <w:r>
        <w:t xml:space="preserve"> </w:t>
      </w:r>
      <w:r>
        <w:rPr>
          <w:iCs/>
          <w:i/>
        </w:rPr>
        <w:t xml:space="preserve">Nature Reviews Molecular Cell Biology</w:t>
      </w:r>
      <w:r>
        <w:t xml:space="preserve"> </w:t>
      </w:r>
      <w:r>
        <w:rPr>
          <w:bCs/>
          <w:b/>
        </w:rPr>
        <w:t xml:space="preserve">22</w:t>
      </w:r>
      <w:r>
        <w:t xml:space="preserve">, 96–118 (2021).</w:t>
      </w:r>
    </w:p>
    <w:bookmarkEnd w:id="69"/>
    <w:bookmarkStart w:id="71" w:name="ref-doi:10.1177/2472630318780639"/>
    <w:p>
      <w:pPr>
        <w:pStyle w:val="Bibliography"/>
      </w:pPr>
      <w:r>
        <w:t xml:space="preserve">20.</w:t>
      </w:r>
      <w:r>
        <w:t xml:space="preserve"> </w:t>
      </w:r>
      <w:r>
        <w:t xml:space="preserve">	</w:t>
      </w:r>
      <w:r>
        <w:t xml:space="preserve">J. L. C. Richard, P. J. A. Eichhorn,</w:t>
      </w:r>
      <w:r>
        <w:t xml:space="preserve"> </w:t>
      </w:r>
      <w:hyperlink r:id="rId70">
        <w:r>
          <w:rPr>
            <w:rStyle w:val="Hyperlink"/>
          </w:rPr>
          <w:t xml:space="preserve">Platforms for investigating</w:t>
        </w:r>
        <w:r>
          <w:rPr>
            <w:rStyle w:val="Hyperlink"/>
          </w:rPr>
          <w:t xml:space="preserve"> </w:t>
        </w:r>
        <w:r>
          <w:rPr>
            <w:rStyle w:val="Hyperlink"/>
          </w:rPr>
          <w:t xml:space="preserve">LncRNA</w:t>
        </w:r>
        <w:r>
          <w:rPr>
            <w:rStyle w:val="Hyperlink"/>
          </w:rPr>
          <w:t xml:space="preserve"> </w:t>
        </w:r>
        <w:r>
          <w:rPr>
            <w:rStyle w:val="Hyperlink"/>
          </w:rPr>
          <w:t xml:space="preserve">functions</w:t>
        </w:r>
      </w:hyperlink>
      <w:r>
        <w:t xml:space="preserve">.</w:t>
      </w:r>
      <w:r>
        <w:t xml:space="preserve"> </w:t>
      </w:r>
      <w:r>
        <w:rPr>
          <w:iCs/>
          <w:i/>
        </w:rPr>
        <w:t xml:space="preserve">SLAS TECHNOLOGY: Translating Life Sciences Innovation</w:t>
      </w:r>
      <w:r>
        <w:t xml:space="preserve"> </w:t>
      </w:r>
      <w:r>
        <w:rPr>
          <w:bCs/>
          <w:b/>
        </w:rPr>
        <w:t xml:space="preserve">23</w:t>
      </w:r>
      <w:r>
        <w:t xml:space="preserve">, 493–506 (2018).</w:t>
      </w:r>
    </w:p>
    <w:bookmarkEnd w:id="71"/>
    <w:bookmarkStart w:id="73" w:name="ref-oo_long_2022"/>
    <w:p>
      <w:pPr>
        <w:pStyle w:val="Bibliography"/>
      </w:pPr>
      <w:r>
        <w:t xml:space="preserve">21.</w:t>
      </w:r>
      <w:r>
        <w:t xml:space="preserve"> </w:t>
      </w:r>
      <w:r>
        <w:t xml:space="preserve">	</w:t>
      </w:r>
      <w:r>
        <w:t xml:space="preserve">J. A. Oo, R. P. Brandes, M. S. Leisegang,</w:t>
      </w:r>
      <w:r>
        <w:t xml:space="preserve"> </w:t>
      </w:r>
      <w:hyperlink r:id="rId72">
        <w:r>
          <w:rPr>
            <w:rStyle w:val="Hyperlink"/>
          </w:rPr>
          <w:t xml:space="preserve">Long non-coding</w:t>
        </w:r>
        <w:r>
          <w:rPr>
            <w:rStyle w:val="Hyperlink"/>
          </w:rPr>
          <w:t xml:space="preserve"> </w:t>
        </w:r>
        <w:r>
          <w:rPr>
            <w:rStyle w:val="Hyperlink"/>
          </w:rPr>
          <w:t xml:space="preserve">RNAs</w:t>
        </w:r>
        <w:r>
          <w:rPr>
            <w:rStyle w:val="Hyperlink"/>
          </w:rPr>
          <w:t xml:space="preserve">: Novel regulators of cellular physiology and function</w:t>
        </w:r>
      </w:hyperlink>
      <w:r>
        <w:t xml:space="preserve">.</w:t>
      </w:r>
      <w:r>
        <w:t xml:space="preserve"> </w:t>
      </w:r>
      <w:r>
        <w:rPr>
          <w:iCs/>
          <w:i/>
        </w:rPr>
        <w:t xml:space="preserve">Pfl</w:t>
      </w:r>
      <w:r>
        <w:rPr>
          <w:iCs/>
          <w:i/>
        </w:rPr>
        <w:t xml:space="preserve">ü</w:t>
      </w:r>
      <w:r>
        <w:rPr>
          <w:iCs/>
          <w:i/>
        </w:rPr>
        <w:t xml:space="preserve">gers Archiv - European Journal of Physiology</w:t>
      </w:r>
      <w:r>
        <w:t xml:space="preserve"> </w:t>
      </w:r>
      <w:r>
        <w:rPr>
          <w:bCs/>
          <w:b/>
        </w:rPr>
        <w:t xml:space="preserve">474</w:t>
      </w:r>
      <w:r>
        <w:t xml:space="preserve">, 191–204 (2022).</w:t>
      </w:r>
    </w:p>
    <w:bookmarkEnd w:id="73"/>
    <w:bookmarkStart w:id="75" w:name="ref-bridges_lnccation_2021"/>
    <w:p>
      <w:pPr>
        <w:pStyle w:val="Bibliography"/>
      </w:pPr>
      <w:r>
        <w:t xml:space="preserve">22.</w:t>
      </w:r>
      <w:r>
        <w:t xml:space="preserve"> </w:t>
      </w:r>
      <w:r>
        <w:t xml:space="preserve">	</w:t>
      </w:r>
      <w:r>
        <w:t xml:space="preserve">M. C. Bridges, A. C. Daulagala, A. Kourtidis,</w:t>
      </w:r>
      <w:r>
        <w:t xml:space="preserve"> </w:t>
      </w:r>
      <w:hyperlink r:id="rId74">
        <w:r>
          <w:rPr>
            <w:rStyle w:val="Hyperlink"/>
          </w:rPr>
          <w:t xml:space="preserve">LNCcation</w:t>
        </w:r>
        <w:r>
          <w:rPr>
            <w:rStyle w:val="Hyperlink"/>
          </w:rPr>
          <w:t xml:space="preserve">:</w:t>
        </w:r>
        <w:r>
          <w:rPr>
            <w:rStyle w:val="Hyperlink"/>
          </w:rPr>
          <w:t xml:space="preserve"> </w:t>
        </w:r>
        <w:r>
          <w:rPr>
            <w:rStyle w:val="Hyperlink"/>
          </w:rPr>
          <w:t xml:space="preserve">lncRNA</w:t>
        </w:r>
        <w:r>
          <w:rPr>
            <w:rStyle w:val="Hyperlink"/>
          </w:rPr>
          <w:t xml:space="preserve"> </w:t>
        </w:r>
        <w:r>
          <w:rPr>
            <w:rStyle w:val="Hyperlink"/>
          </w:rPr>
          <w:t xml:space="preserve">localization and function.</w:t>
        </w:r>
      </w:hyperlink>
      <w:r>
        <w:t xml:space="preserve"> </w:t>
      </w:r>
      <w:r>
        <w:rPr>
          <w:iCs/>
          <w:i/>
        </w:rPr>
        <w:t xml:space="preserve">The Journal of cell biology</w:t>
      </w:r>
      <w:r>
        <w:t xml:space="preserve"> </w:t>
      </w:r>
      <w:r>
        <w:rPr>
          <w:bCs/>
          <w:b/>
        </w:rPr>
        <w:t xml:space="preserve">220</w:t>
      </w:r>
      <w:r>
        <w:t xml:space="preserve"> </w:t>
      </w:r>
      <w:r>
        <w:t xml:space="preserve">(2021).</w:t>
      </w:r>
    </w:p>
    <w:bookmarkEnd w:id="75"/>
    <w:bookmarkStart w:id="77" w:name="ref-mattick_long_2023"/>
    <w:p>
      <w:pPr>
        <w:pStyle w:val="Bibliography"/>
      </w:pPr>
      <w:r>
        <w:t xml:space="preserve">23.</w:t>
      </w:r>
      <w:r>
        <w:t xml:space="preserve"> </w:t>
      </w:r>
      <w:r>
        <w:t xml:space="preserve">	</w:t>
      </w:r>
      <w:r>
        <w:t xml:space="preserve">J. S. Mattick, P. P. Amaral, P. Carninci, S. Carpenter, H. Y. Chang, L.-L. Chen, R. Chen, C. Dean, M. E. Dinger, K. A. Fitzgerald, T. R. Gingeras, M. Guttman, T. Hirose, M. Huarte, R. Johnson, C. Kanduri, P. Kapranov, J. B. Lawrence, J. T. Lee, J. T. Mendell, T. R. Mercer, K. J. Moore, S. Nakagawa, J. L. Rinn, D. L. Spector, I. Ulitsky, Y. Wan, J. E. Wilusz, M. Wu,</w:t>
      </w:r>
      <w:r>
        <w:t xml:space="preserve"> </w:t>
      </w:r>
      <w:hyperlink r:id="rId76">
        <w:r>
          <w:rPr>
            <w:rStyle w:val="Hyperlink"/>
          </w:rPr>
          <w:t xml:space="preserve">Long non-coding</w:t>
        </w:r>
        <w:r>
          <w:rPr>
            <w:rStyle w:val="Hyperlink"/>
          </w:rPr>
          <w:t xml:space="preserve"> </w:t>
        </w:r>
        <w:r>
          <w:rPr>
            <w:rStyle w:val="Hyperlink"/>
          </w:rPr>
          <w:t xml:space="preserve">RNAs</w:t>
        </w:r>
        <w:r>
          <w:rPr>
            <w:rStyle w:val="Hyperlink"/>
          </w:rPr>
          <w:t xml:space="preserve">: Definitions, functions, challenges and recommendations</w:t>
        </w:r>
      </w:hyperlink>
      <w:r>
        <w:t xml:space="preserve">.</w:t>
      </w:r>
      <w:r>
        <w:t xml:space="preserve"> </w:t>
      </w:r>
      <w:r>
        <w:rPr>
          <w:iCs/>
          <w:i/>
        </w:rPr>
        <w:t xml:space="preserve">Nature Reviews Molecular Cell Biology</w:t>
      </w:r>
      <w:r>
        <w:t xml:space="preserve"> </w:t>
      </w:r>
      <w:r>
        <w:rPr>
          <w:bCs/>
          <w:b/>
        </w:rPr>
        <w:t xml:space="preserve">24</w:t>
      </w:r>
      <w:r>
        <w:t xml:space="preserve">, 430–447 (2023).</w:t>
      </w:r>
    </w:p>
    <w:bookmarkEnd w:id="77"/>
    <w:bookmarkStart w:id="79" w:name="ref-bonilauri_long_2020"/>
    <w:p>
      <w:pPr>
        <w:pStyle w:val="Bibliography"/>
      </w:pPr>
      <w:r>
        <w:t xml:space="preserve">24.</w:t>
      </w:r>
      <w:r>
        <w:t xml:space="preserve"> </w:t>
      </w:r>
      <w:r>
        <w:t xml:space="preserve">	</w:t>
      </w:r>
      <w:r>
        <w:t xml:space="preserve">B. Bonilauri, B. Dallagiovanna,</w:t>
      </w:r>
      <w:r>
        <w:t xml:space="preserve"> </w:t>
      </w:r>
      <w:hyperlink r:id="rId78">
        <w:r>
          <w:rPr>
            <w:rStyle w:val="Hyperlink"/>
          </w:rPr>
          <w:t xml:space="preserve">Long</w:t>
        </w:r>
        <w:r>
          <w:rPr>
            <w:rStyle w:val="Hyperlink"/>
          </w:rPr>
          <w:t xml:space="preserve"> </w:t>
        </w:r>
        <w:r>
          <w:rPr>
            <w:rStyle w:val="Hyperlink"/>
          </w:rPr>
          <w:t xml:space="preserve">Non</w:t>
        </w:r>
        <w:r>
          <w:rPr>
            <w:rStyle w:val="Hyperlink"/>
          </w:rPr>
          <w:t xml:space="preserve">-coding</w:t>
        </w:r>
        <w:r>
          <w:rPr>
            <w:rStyle w:val="Hyperlink"/>
          </w:rPr>
          <w:t xml:space="preserve"> </w:t>
        </w:r>
        <w:r>
          <w:rPr>
            <w:rStyle w:val="Hyperlink"/>
          </w:rPr>
          <w:t xml:space="preserve">RNAs</w:t>
        </w:r>
        <w:r>
          <w:rPr>
            <w:rStyle w:val="Hyperlink"/>
          </w:rPr>
          <w:t xml:space="preserve"> </w:t>
        </w:r>
        <w:r>
          <w:rPr>
            <w:rStyle w:val="Hyperlink"/>
          </w:rPr>
          <w:t xml:space="preserve">Are</w:t>
        </w:r>
        <w:r>
          <w:rPr>
            <w:rStyle w:val="Hyperlink"/>
          </w:rPr>
          <w:t xml:space="preserve"> </w:t>
        </w:r>
        <w:r>
          <w:rPr>
            <w:rStyle w:val="Hyperlink"/>
          </w:rPr>
          <w:t xml:space="preserve">Differentially</w:t>
        </w:r>
        <w:r>
          <w:rPr>
            <w:rStyle w:val="Hyperlink"/>
          </w:rPr>
          <w:t xml:space="preserve"> </w:t>
        </w:r>
        <w:r>
          <w:rPr>
            <w:rStyle w:val="Hyperlink"/>
          </w:rPr>
          <w:t xml:space="preserve">Expressed</w:t>
        </w:r>
        <w:r>
          <w:rPr>
            <w:rStyle w:val="Hyperlink"/>
          </w:rPr>
          <w:t xml:space="preserve"> </w:t>
        </w:r>
        <w:r>
          <w:rPr>
            <w:rStyle w:val="Hyperlink"/>
          </w:rPr>
          <w:t xml:space="preserve">After</w:t>
        </w:r>
        <w:r>
          <w:rPr>
            <w:rStyle w:val="Hyperlink"/>
          </w:rPr>
          <w:t xml:space="preserve"> </w:t>
        </w:r>
        <w:r>
          <w:rPr>
            <w:rStyle w:val="Hyperlink"/>
          </w:rPr>
          <w:t xml:space="preserve">Different</w:t>
        </w:r>
        <w:r>
          <w:rPr>
            <w:rStyle w:val="Hyperlink"/>
          </w:rPr>
          <w:t xml:space="preserve"> </w:t>
        </w:r>
        <w:r>
          <w:rPr>
            <w:rStyle w:val="Hyperlink"/>
          </w:rPr>
          <w:t xml:space="preserve">Exercise</w:t>
        </w:r>
        <w:r>
          <w:rPr>
            <w:rStyle w:val="Hyperlink"/>
          </w:rPr>
          <w:t xml:space="preserve"> </w:t>
        </w:r>
        <w:r>
          <w:rPr>
            <w:rStyle w:val="Hyperlink"/>
          </w:rPr>
          <w:t xml:space="preserve">Training</w:t>
        </w:r>
        <w:r>
          <w:rPr>
            <w:rStyle w:val="Hyperlink"/>
          </w:rPr>
          <w:t xml:space="preserve"> </w:t>
        </w:r>
        <w:r>
          <w:rPr>
            <w:rStyle w:val="Hyperlink"/>
          </w:rPr>
          <w:t xml:space="preserve">Programs</w:t>
        </w:r>
        <w:r>
          <w:rPr>
            <w:rStyle w:val="Hyperlink"/>
          </w:rPr>
          <w:t xml:space="preserve">.</w:t>
        </w:r>
      </w:hyperlink>
      <w:r>
        <w:t xml:space="preserve"> </w:t>
      </w:r>
      <w:r>
        <w:rPr>
          <w:iCs/>
          <w:i/>
        </w:rPr>
        <w:t xml:space="preserve">Frontiers in physiology</w:t>
      </w:r>
      <w:r>
        <w:t xml:space="preserve"> </w:t>
      </w:r>
      <w:r>
        <w:rPr>
          <w:bCs/>
          <w:b/>
        </w:rPr>
        <w:t xml:space="preserve">11</w:t>
      </w:r>
      <w:r>
        <w:t xml:space="preserve">, 567614 (2020).</w:t>
      </w:r>
    </w:p>
    <w:bookmarkEnd w:id="79"/>
    <w:bookmarkStart w:id="81" w:name="ref-ali_beyond_2020"/>
    <w:p>
      <w:pPr>
        <w:pStyle w:val="Bibliography"/>
      </w:pPr>
      <w:r>
        <w:t xml:space="preserve">25.</w:t>
      </w:r>
      <w:r>
        <w:t xml:space="preserve"> </w:t>
      </w:r>
      <w:r>
        <w:t xml:space="preserve">	</w:t>
      </w:r>
      <w:r>
        <w:t xml:space="preserve">T. Ali, P. Grote,</w:t>
      </w:r>
      <w:r>
        <w:t xml:space="preserve"> </w:t>
      </w:r>
      <w:hyperlink r:id="rId80">
        <w:r>
          <w:rPr>
            <w:rStyle w:val="Hyperlink"/>
          </w:rPr>
          <w:t xml:space="preserve">Beyond the</w:t>
        </w:r>
        <w:r>
          <w:rPr>
            <w:rStyle w:val="Hyperlink"/>
          </w:rPr>
          <w:t xml:space="preserve"> </w:t>
        </w:r>
        <w:r>
          <w:rPr>
            <w:rStyle w:val="Hyperlink"/>
          </w:rPr>
          <w:t xml:space="preserve">RNA</w:t>
        </w:r>
        <w:r>
          <w:rPr>
            <w:rStyle w:val="Hyperlink"/>
          </w:rPr>
          <w:t xml:space="preserve">-dependent function of</w:t>
        </w:r>
        <w:r>
          <w:rPr>
            <w:rStyle w:val="Hyperlink"/>
          </w:rPr>
          <w:t xml:space="preserve"> </w:t>
        </w:r>
        <w:r>
          <w:rPr>
            <w:rStyle w:val="Hyperlink"/>
          </w:rPr>
          <w:t xml:space="preserve">LncRNA</w:t>
        </w:r>
        <w:r>
          <w:rPr>
            <w:rStyle w:val="Hyperlink"/>
          </w:rPr>
          <w:t xml:space="preserve"> </w:t>
        </w:r>
        <w:r>
          <w:rPr>
            <w:rStyle w:val="Hyperlink"/>
          </w:rPr>
          <w:t xml:space="preserve">genes</w:t>
        </w:r>
      </w:hyperlink>
      <w:r>
        <w:t xml:space="preserve">.</w:t>
      </w:r>
      <w:r>
        <w:t xml:space="preserve"> </w:t>
      </w:r>
      <w:r>
        <w:rPr>
          <w:iCs/>
          <w:i/>
        </w:rPr>
        <w:t xml:space="preserve">eLife</w:t>
      </w:r>
      <w:r>
        <w:t xml:space="preserve"> </w:t>
      </w:r>
      <w:r>
        <w:rPr>
          <w:bCs/>
          <w:b/>
        </w:rPr>
        <w:t xml:space="preserve">9</w:t>
      </w:r>
      <w:r>
        <w:t xml:space="preserve">, e60583 (2020).</w:t>
      </w:r>
    </w:p>
    <w:bookmarkEnd w:id="81"/>
    <w:bookmarkStart w:id="83" w:name="ref-10.1093/nar/gky960"/>
    <w:p>
      <w:pPr>
        <w:pStyle w:val="Bibliography"/>
      </w:pPr>
      <w:r>
        <w:t xml:space="preserve">26.</w:t>
      </w:r>
      <w:r>
        <w:t xml:space="preserve"> </w:t>
      </w:r>
      <w:r>
        <w:t xml:space="preserve">	</w:t>
      </w:r>
      <w:r>
        <w:t xml:space="preserve">L. Ma, J. Cao, L. Liu, Q. Du, Z. Li, D. Zou, V. B. Bajic, Z. Zhang,</w:t>
      </w:r>
      <w:r>
        <w:t xml:space="preserve"> </w:t>
      </w:r>
      <w:hyperlink r:id="rId82">
        <w:r>
          <w:rPr>
            <w:rStyle w:val="Hyperlink"/>
          </w:rPr>
          <w:t xml:space="preserve">LncBook</w:t>
        </w:r>
        <w:r>
          <w:rPr>
            <w:rStyle w:val="Hyperlink"/>
          </w:rPr>
          <w:t xml:space="preserve">: A curated knowledgebase of human long non-coding</w:t>
        </w:r>
        <w:r>
          <w:rPr>
            <w:rStyle w:val="Hyperlink"/>
          </w:rPr>
          <w:t xml:space="preserve"> </w:t>
        </w:r>
        <w:r>
          <w:rPr>
            <w:rStyle w:val="Hyperlink"/>
          </w:rPr>
          <w:t xml:space="preserve">RNAs</w:t>
        </w:r>
      </w:hyperlink>
      <w:r>
        <w:t xml:space="preserve">.</w:t>
      </w:r>
      <w:r>
        <w:t xml:space="preserve"> </w:t>
      </w:r>
      <w:r>
        <w:rPr>
          <w:iCs/>
          <w:i/>
        </w:rPr>
        <w:t xml:space="preserve">Nucleic Acids Research</w:t>
      </w:r>
      <w:r>
        <w:t xml:space="preserve"> </w:t>
      </w:r>
      <w:r>
        <w:rPr>
          <w:bCs/>
          <w:b/>
        </w:rPr>
        <w:t xml:space="preserve">47</w:t>
      </w:r>
      <w:r>
        <w:t xml:space="preserve">, D128–D134 (2018).</w:t>
      </w:r>
    </w:p>
    <w:bookmarkEnd w:id="83"/>
    <w:bookmarkStart w:id="85" w:name="ref-kitagawa_cell_2013"/>
    <w:p>
      <w:pPr>
        <w:pStyle w:val="Bibliography"/>
      </w:pPr>
      <w:r>
        <w:t xml:space="preserve">27.</w:t>
      </w:r>
      <w:r>
        <w:t xml:space="preserve"> </w:t>
      </w:r>
      <w:r>
        <w:t xml:space="preserve">	</w:t>
      </w:r>
      <w:r>
        <w:t xml:space="preserve">M. Kitagawa, K. Kitagawa, Y. Kotake, H. Niida, T. Ohhata,</w:t>
      </w:r>
      <w:r>
        <w:t xml:space="preserve"> </w:t>
      </w:r>
      <w:hyperlink r:id="rId84">
        <w:r>
          <w:rPr>
            <w:rStyle w:val="Hyperlink"/>
          </w:rPr>
          <w:t xml:space="preserve">Cell cycle regulation by long non-coding</w:t>
        </w:r>
        <w:r>
          <w:rPr>
            <w:rStyle w:val="Hyperlink"/>
          </w:rPr>
          <w:t xml:space="preserve"> </w:t>
        </w:r>
        <w:r>
          <w:rPr>
            <w:rStyle w:val="Hyperlink"/>
          </w:rPr>
          <w:t xml:space="preserve">RNAs</w:t>
        </w:r>
        <w:r>
          <w:rPr>
            <w:rStyle w:val="Hyperlink"/>
          </w:rPr>
          <w:t xml:space="preserve">.</w:t>
        </w:r>
      </w:hyperlink>
      <w:r>
        <w:t xml:space="preserve"> </w:t>
      </w:r>
      <w:r>
        <w:rPr>
          <w:iCs/>
          <w:i/>
        </w:rPr>
        <w:t xml:space="preserve">Cellular and molecular life sciences : CMLS</w:t>
      </w:r>
      <w:r>
        <w:t xml:space="preserve"> </w:t>
      </w:r>
      <w:r>
        <w:rPr>
          <w:bCs/>
          <w:b/>
        </w:rPr>
        <w:t xml:space="preserve">70</w:t>
      </w:r>
      <w:r>
        <w:t xml:space="preserve">, 4785–4794 (2013).</w:t>
      </w:r>
    </w:p>
    <w:bookmarkEnd w:id="85"/>
    <w:bookmarkStart w:id="87" w:name="ref-delas_lncrna_2017"/>
    <w:p>
      <w:pPr>
        <w:pStyle w:val="Bibliography"/>
      </w:pPr>
      <w:r>
        <w:t xml:space="preserve">28.</w:t>
      </w:r>
      <w:r>
        <w:t xml:space="preserve"> </w:t>
      </w:r>
      <w:r>
        <w:t xml:space="preserve">	</w:t>
      </w:r>
      <w:r>
        <w:t xml:space="preserve">M. J. Delás, L. R. Sabin, E. Dolzhenko, S. R. Knott, E. Munera Maravilla, B. T. Jackson, S. A. Wild, T. Kovacevic, E. M. Stork, M. Zhou, N. Erard, E. Lee, D. R. Kelley, M. Roth, I. A. Barbosa, J. Zuber, J. L. Rinn, A. D. Smith, G. J. Hannon,</w:t>
      </w:r>
      <w:r>
        <w:t xml:space="preserve"> </w:t>
      </w:r>
      <w:hyperlink r:id="rId86">
        <w:r>
          <w:rPr>
            <w:rStyle w:val="Hyperlink"/>
          </w:rPr>
          <w:t xml:space="preserve">lncRNA</w:t>
        </w:r>
        <w:r>
          <w:rPr>
            <w:rStyle w:val="Hyperlink"/>
          </w:rPr>
          <w:t xml:space="preserve"> </w:t>
        </w:r>
        <w:r>
          <w:rPr>
            <w:rStyle w:val="Hyperlink"/>
          </w:rPr>
          <w:t xml:space="preserve">requirements for mouse acute myeloid leukemia and normal differentiation.</w:t>
        </w:r>
      </w:hyperlink>
      <w:r>
        <w:t xml:space="preserve"> </w:t>
      </w:r>
      <w:r>
        <w:rPr>
          <w:iCs/>
          <w:i/>
        </w:rPr>
        <w:t xml:space="preserve">eLife</w:t>
      </w:r>
      <w:r>
        <w:t xml:space="preserve"> </w:t>
      </w:r>
      <w:r>
        <w:rPr>
          <w:bCs/>
          <w:b/>
        </w:rPr>
        <w:t xml:space="preserve">6</w:t>
      </w:r>
      <w:r>
        <w:t xml:space="preserve"> </w:t>
      </w:r>
      <w:r>
        <w:t xml:space="preserve">(2017).</w:t>
      </w:r>
    </w:p>
    <w:bookmarkEnd w:id="87"/>
    <w:bookmarkStart w:id="89" w:name="ref-sirey_long_2019"/>
    <w:p>
      <w:pPr>
        <w:pStyle w:val="Bibliography"/>
      </w:pPr>
      <w:r>
        <w:t xml:space="preserve">29.</w:t>
      </w:r>
      <w:r>
        <w:t xml:space="preserve"> </w:t>
      </w:r>
      <w:r>
        <w:t xml:space="preserve">	</w:t>
      </w:r>
      <w:r>
        <w:t xml:space="preserve">T. M. Sirey, K. Roberts, W. Haerty, O. Bedoya-Reina, S. Rogatti-Granados, J. Y. Tan, N. Li, L. C. Heather, R. N. Carter, S. Cooper, A. J. Finch, J. Wills, N. M. Morton, A. C. Marques, C. P. Ponting,</w:t>
      </w:r>
      <w:r>
        <w:t xml:space="preserve"> </w:t>
      </w:r>
      <w:hyperlink r:id="rId88">
        <w:r>
          <w:rPr>
            <w:rStyle w:val="Hyperlink"/>
          </w:rPr>
          <w:t xml:space="preserve">The long non-coding</w:t>
        </w:r>
        <w:r>
          <w:rPr>
            <w:rStyle w:val="Hyperlink"/>
          </w:rPr>
          <w:t xml:space="preserve"> </w:t>
        </w:r>
        <w:r>
          <w:rPr>
            <w:rStyle w:val="Hyperlink"/>
          </w:rPr>
          <w:t xml:space="preserve">RNA</w:t>
        </w:r>
        <w:r>
          <w:rPr>
            <w:rStyle w:val="Hyperlink"/>
          </w:rPr>
          <w:t xml:space="preserve"> </w:t>
        </w:r>
        <w:r>
          <w:rPr>
            <w:rStyle w:val="Hyperlink"/>
          </w:rPr>
          <w:t xml:space="preserve">Cerox1</w:t>
        </w:r>
        <w:r>
          <w:rPr>
            <w:rStyle w:val="Hyperlink"/>
          </w:rPr>
          <w:t xml:space="preserve"> </w:t>
        </w:r>
        <w:r>
          <w:rPr>
            <w:rStyle w:val="Hyperlink"/>
          </w:rPr>
          <w:t xml:space="preserve">is a post transcriptional regulator of mitochondrial complex</w:t>
        </w:r>
        <w:r>
          <w:rPr>
            <w:rStyle w:val="Hyperlink"/>
          </w:rPr>
          <w:t xml:space="preserve"> </w:t>
        </w:r>
        <w:r>
          <w:rPr>
            <w:rStyle w:val="Hyperlink"/>
          </w:rPr>
          <w:t xml:space="preserve">I</w:t>
        </w:r>
        <w:r>
          <w:rPr>
            <w:rStyle w:val="Hyperlink"/>
          </w:rPr>
          <w:t xml:space="preserve"> </w:t>
        </w:r>
        <w:r>
          <w:rPr>
            <w:rStyle w:val="Hyperlink"/>
          </w:rPr>
          <w:t xml:space="preserve">catalytic activity.</w:t>
        </w:r>
      </w:hyperlink>
      <w:r>
        <w:t xml:space="preserve"> </w:t>
      </w:r>
      <w:r>
        <w:rPr>
          <w:iCs/>
          <w:i/>
        </w:rPr>
        <w:t xml:space="preserve">eLife</w:t>
      </w:r>
      <w:r>
        <w:t xml:space="preserve"> </w:t>
      </w:r>
      <w:r>
        <w:rPr>
          <w:bCs/>
          <w:b/>
        </w:rPr>
        <w:t xml:space="preserve">8</w:t>
      </w:r>
      <w:r>
        <w:t xml:space="preserve"> </w:t>
      </w:r>
      <w:r>
        <w:t xml:space="preserve">(2019).</w:t>
      </w:r>
    </w:p>
    <w:bookmarkEnd w:id="89"/>
    <w:bookmarkStart w:id="91" w:name="ref-sweta_importance_2019"/>
    <w:p>
      <w:pPr>
        <w:pStyle w:val="Bibliography"/>
      </w:pPr>
      <w:r>
        <w:t xml:space="preserve">30.</w:t>
      </w:r>
      <w:r>
        <w:t xml:space="preserve"> </w:t>
      </w:r>
      <w:r>
        <w:t xml:space="preserve">	</w:t>
      </w:r>
      <w:r>
        <w:t xml:space="preserve">S. Sweta, T. Dudnakova, S. Sudheer, A. H. Baker, R. Bhushan,</w:t>
      </w:r>
      <w:r>
        <w:t xml:space="preserve"> </w:t>
      </w:r>
      <w:hyperlink r:id="rId90">
        <w:r>
          <w:rPr>
            <w:rStyle w:val="Hyperlink"/>
          </w:rPr>
          <w:t xml:space="preserve">Importance of</w:t>
        </w:r>
        <w:r>
          <w:rPr>
            <w:rStyle w:val="Hyperlink"/>
          </w:rPr>
          <w:t xml:space="preserve"> </w:t>
        </w:r>
        <w:r>
          <w:rPr>
            <w:rStyle w:val="Hyperlink"/>
          </w:rPr>
          <w:t xml:space="preserve">Long</w:t>
        </w:r>
        <w:r>
          <w:rPr>
            <w:rStyle w:val="Hyperlink"/>
          </w:rPr>
          <w:t xml:space="preserve"> </w:t>
        </w:r>
        <w:r>
          <w:rPr>
            <w:rStyle w:val="Hyperlink"/>
          </w:rPr>
          <w:t xml:space="preserve">Non</w:t>
        </w:r>
        <w:r>
          <w:rPr>
            <w:rStyle w:val="Hyperlink"/>
          </w:rPr>
          <w:t xml:space="preserve">-coding</w:t>
        </w:r>
        <w:r>
          <w:rPr>
            <w:rStyle w:val="Hyperlink"/>
          </w:rPr>
          <w:t xml:space="preserve"> </w:t>
        </w:r>
        <w:r>
          <w:rPr>
            <w:rStyle w:val="Hyperlink"/>
          </w:rPr>
          <w:t xml:space="preserve">RNAs</w:t>
        </w:r>
        <w:r>
          <w:rPr>
            <w:rStyle w:val="Hyperlink"/>
          </w:rPr>
          <w:t xml:space="preserve"> </w:t>
        </w:r>
        <w:r>
          <w:rPr>
            <w:rStyle w:val="Hyperlink"/>
          </w:rPr>
          <w:t xml:space="preserve">in the</w:t>
        </w:r>
        <w:r>
          <w:rPr>
            <w:rStyle w:val="Hyperlink"/>
          </w:rPr>
          <w:t xml:space="preserve"> </w:t>
        </w:r>
        <w:r>
          <w:rPr>
            <w:rStyle w:val="Hyperlink"/>
          </w:rPr>
          <w:t xml:space="preserve">Development</w:t>
        </w:r>
        <w:r>
          <w:rPr>
            <w:rStyle w:val="Hyperlink"/>
          </w:rPr>
          <w:t xml:space="preserve"> </w:t>
        </w:r>
        <w:r>
          <w:rPr>
            <w:rStyle w:val="Hyperlink"/>
          </w:rPr>
          <w:t xml:space="preserve">and</w:t>
        </w:r>
        <w:r>
          <w:rPr>
            <w:rStyle w:val="Hyperlink"/>
          </w:rPr>
          <w:t xml:space="preserve"> </w:t>
        </w:r>
        <w:r>
          <w:rPr>
            <w:rStyle w:val="Hyperlink"/>
          </w:rPr>
          <w:t xml:space="preserve">Disease</w:t>
        </w:r>
        <w:r>
          <w:rPr>
            <w:rStyle w:val="Hyperlink"/>
          </w:rPr>
          <w:t xml:space="preserve"> </w:t>
        </w:r>
        <w:r>
          <w:rPr>
            <w:rStyle w:val="Hyperlink"/>
          </w:rPr>
          <w:t xml:space="preserve">of</w:t>
        </w:r>
        <w:r>
          <w:rPr>
            <w:rStyle w:val="Hyperlink"/>
          </w:rPr>
          <w:t xml:space="preserve"> </w:t>
        </w:r>
        <w:r>
          <w:rPr>
            <w:rStyle w:val="Hyperlink"/>
          </w:rPr>
          <w:t xml:space="preserve">Skeletal</w:t>
        </w:r>
        <w:r>
          <w:rPr>
            <w:rStyle w:val="Hyperlink"/>
          </w:rPr>
          <w:t xml:space="preserve"> </w:t>
        </w:r>
        <w:r>
          <w:rPr>
            <w:rStyle w:val="Hyperlink"/>
          </w:rPr>
          <w:t xml:space="preserve">Muscle</w:t>
        </w:r>
        <w:r>
          <w:rPr>
            <w:rStyle w:val="Hyperlink"/>
          </w:rPr>
          <w:t xml:space="preserve"> </w:t>
        </w:r>
        <w:r>
          <w:rPr>
            <w:rStyle w:val="Hyperlink"/>
          </w:rPr>
          <w:t xml:space="preserve">and</w:t>
        </w:r>
        <w:r>
          <w:rPr>
            <w:rStyle w:val="Hyperlink"/>
          </w:rPr>
          <w:t xml:space="preserve"> </w:t>
        </w:r>
        <w:r>
          <w:rPr>
            <w:rStyle w:val="Hyperlink"/>
          </w:rPr>
          <w:t xml:space="preserve">Cardiovascular</w:t>
        </w:r>
        <w:r>
          <w:rPr>
            <w:rStyle w:val="Hyperlink"/>
          </w:rPr>
          <w:t xml:space="preserve"> </w:t>
        </w:r>
        <w:r>
          <w:rPr>
            <w:rStyle w:val="Hyperlink"/>
          </w:rPr>
          <w:t xml:space="preserve">Lineages</w:t>
        </w:r>
        <w:r>
          <w:rPr>
            <w:rStyle w:val="Hyperlink"/>
          </w:rPr>
          <w:t xml:space="preserve">.</w:t>
        </w:r>
      </w:hyperlink>
      <w:r>
        <w:t xml:space="preserve"> </w:t>
      </w:r>
      <w:r>
        <w:rPr>
          <w:iCs/>
          <w:i/>
        </w:rPr>
        <w:t xml:space="preserve">Frontiers in cell and developmental biology</w:t>
      </w:r>
      <w:r>
        <w:t xml:space="preserve"> </w:t>
      </w:r>
      <w:r>
        <w:rPr>
          <w:bCs/>
          <w:b/>
        </w:rPr>
        <w:t xml:space="preserve">7</w:t>
      </w:r>
      <w:r>
        <w:t xml:space="preserve">, 228 (2019).</w:t>
      </w:r>
    </w:p>
    <w:bookmarkEnd w:id="91"/>
    <w:bookmarkStart w:id="92" w:name="ref-andrews2012"/>
    <w:p>
      <w:pPr>
        <w:pStyle w:val="Bibliography"/>
      </w:pPr>
      <w:r>
        <w:t xml:space="preserve">31.</w:t>
      </w:r>
      <w:r>
        <w:t xml:space="preserve"> </w:t>
      </w:r>
      <w:r>
        <w:t xml:space="preserve">	</w:t>
      </w:r>
      <w:r>
        <w:t xml:space="preserve">S. Andrews, F. Krueger, A. Segonds-Pichon, L. Biggins, C. Krueger, S. Wingett,</w:t>
      </w:r>
      <w:r>
        <w:t xml:space="preserve"> </w:t>
      </w:r>
      <w:r>
        <w:t xml:space="preserve">FastQC</w:t>
      </w:r>
      <w:r>
        <w:t xml:space="preserve"> </w:t>
      </w:r>
      <w:r>
        <w:t xml:space="preserve">(2012).</w:t>
      </w:r>
    </w:p>
    <w:bookmarkEnd w:id="92"/>
    <w:bookmarkStart w:id="94" w:name="ref-li2011"/>
    <w:p>
      <w:pPr>
        <w:pStyle w:val="Bibliography"/>
      </w:pPr>
      <w:r>
        <w:t xml:space="preserve">32.</w:t>
      </w:r>
      <w:r>
        <w:t xml:space="preserve"> </w:t>
      </w:r>
      <w:r>
        <w:t xml:space="preserve">	</w:t>
      </w:r>
      <w:r>
        <w:t xml:space="preserve">B. Li, C. N. Dewey,</w:t>
      </w:r>
      <w:r>
        <w:t xml:space="preserve"> </w:t>
      </w:r>
      <w:hyperlink r:id="rId93">
        <w:r>
          <w:rPr>
            <w:rStyle w:val="Hyperlink"/>
          </w:rPr>
          <w:t xml:space="preserve">RSEM: Accurate transcript quantification from RNA-seq data with or without a reference genome</w:t>
        </w:r>
      </w:hyperlink>
      <w:r>
        <w:t xml:space="preserve">.</w:t>
      </w:r>
      <w:r>
        <w:t xml:space="preserve"> </w:t>
      </w:r>
      <w:r>
        <w:rPr>
          <w:iCs/>
          <w:i/>
        </w:rPr>
        <w:t xml:space="preserve">BMC Bioinformatics</w:t>
      </w:r>
      <w:r>
        <w:t xml:space="preserve"> </w:t>
      </w:r>
      <w:r>
        <w:rPr>
          <w:bCs/>
          <w:b/>
        </w:rPr>
        <w:t xml:space="preserve">12</w:t>
      </w:r>
      <w:r>
        <w:t xml:space="preserve">, 323 (2011).</w:t>
      </w:r>
    </w:p>
    <w:bookmarkEnd w:id="94"/>
    <w:bookmarkStart w:id="96" w:name="ref-durinck_mapping_2009"/>
    <w:p>
      <w:pPr>
        <w:pStyle w:val="Bibliography"/>
      </w:pPr>
      <w:r>
        <w:t xml:space="preserve">33.</w:t>
      </w:r>
      <w:r>
        <w:t xml:space="preserve"> </w:t>
      </w:r>
      <w:r>
        <w:t xml:space="preserve">	</w:t>
      </w:r>
      <w:r>
        <w:t xml:space="preserve">S. Durinck, P. T. Spellman, E. Birney, W. Huber,</w:t>
      </w:r>
      <w:r>
        <w:t xml:space="preserve"> </w:t>
      </w:r>
      <w:hyperlink r:id="rId95">
        <w:r>
          <w:rPr>
            <w:rStyle w:val="Hyperlink"/>
          </w:rPr>
          <w:t xml:space="preserve">Mapping identifiers for the integration of genomic datasets with the</w:t>
        </w:r>
        <w:r>
          <w:rPr>
            <w:rStyle w:val="Hyperlink"/>
          </w:rPr>
          <w:t xml:space="preserve"> </w:t>
        </w:r>
        <w:r>
          <w:rPr>
            <w:rStyle w:val="Hyperlink"/>
          </w:rPr>
          <w:t xml:space="preserve">R</w:t>
        </w:r>
        <w:r>
          <w:rPr>
            <w:rStyle w:val="Hyperlink"/>
          </w:rPr>
          <w:t xml:space="preserve">/</w:t>
        </w:r>
        <w:r>
          <w:rPr>
            <w:rStyle w:val="Hyperlink"/>
          </w:rPr>
          <w:t xml:space="preserve">Bioconductor</w:t>
        </w:r>
        <w:r>
          <w:rPr>
            <w:rStyle w:val="Hyperlink"/>
          </w:rPr>
          <w:t xml:space="preserve"> </w:t>
        </w:r>
        <w:r>
          <w:rPr>
            <w:rStyle w:val="Hyperlink"/>
          </w:rPr>
          <w:t xml:space="preserve">package</w:t>
        </w:r>
        <w:r>
          <w:rPr>
            <w:rStyle w:val="Hyperlink"/>
          </w:rPr>
          <w:t xml:space="preserve"> </w:t>
        </w:r>
        <w:r>
          <w:rPr>
            <w:rStyle w:val="Hyperlink"/>
          </w:rPr>
          <w:t xml:space="preserve">biomaRt</w:t>
        </w:r>
      </w:hyperlink>
      <w:r>
        <w:t xml:space="preserve">.</w:t>
      </w:r>
      <w:r>
        <w:t xml:space="preserve"> </w:t>
      </w:r>
      <w:r>
        <w:rPr>
          <w:iCs/>
          <w:i/>
        </w:rPr>
        <w:t xml:space="preserve">Nature Protocols</w:t>
      </w:r>
      <w:r>
        <w:t xml:space="preserve"> </w:t>
      </w:r>
      <w:r>
        <w:rPr>
          <w:bCs/>
          <w:b/>
        </w:rPr>
        <w:t xml:space="preserve">4</w:t>
      </w:r>
      <w:r>
        <w:t xml:space="preserve">, 1184–1191 (2009).</w:t>
      </w:r>
    </w:p>
    <w:bookmarkEnd w:id="96"/>
    <w:bookmarkStart w:id="98" w:name="ref-bates_fitting_2015"/>
    <w:p>
      <w:pPr>
        <w:pStyle w:val="Bibliography"/>
      </w:pPr>
      <w:r>
        <w:t xml:space="preserve">34.</w:t>
      </w:r>
      <w:r>
        <w:t xml:space="preserve"> </w:t>
      </w:r>
      <w:r>
        <w:t xml:space="preserve">	</w:t>
      </w:r>
      <w:r>
        <w:t xml:space="preserve">D. Bates, M. Mächler, B. Bolker, S. Walker,</w:t>
      </w:r>
      <w:r>
        <w:t xml:space="preserve"> </w:t>
      </w:r>
      <w:hyperlink r:id="rId97">
        <w:r>
          <w:rPr>
            <w:rStyle w:val="Hyperlink"/>
          </w:rPr>
          <w:t xml:space="preserve">Fitting</w:t>
        </w:r>
        <w:r>
          <w:rPr>
            <w:rStyle w:val="Hyperlink"/>
          </w:rPr>
          <w:t xml:space="preserve"> </w:t>
        </w:r>
        <w:r>
          <w:rPr>
            <w:rStyle w:val="Hyperlink"/>
          </w:rPr>
          <w:t xml:space="preserve">Linear</w:t>
        </w:r>
        <w:r>
          <w:rPr>
            <w:rStyle w:val="Hyperlink"/>
          </w:rPr>
          <w:t xml:space="preserve"> </w:t>
        </w:r>
        <w:r>
          <w:rPr>
            <w:rStyle w:val="Hyperlink"/>
          </w:rPr>
          <w:t xml:space="preserve">Mixed</w:t>
        </w:r>
        <w:r>
          <w:rPr>
            <w:rStyle w:val="Hyperlink"/>
          </w:rPr>
          <w:t xml:space="preserve">-</w:t>
        </w:r>
        <w:r>
          <w:rPr>
            <w:rStyle w:val="Hyperlink"/>
          </w:rPr>
          <w:t xml:space="preserve">Effects</w:t>
        </w:r>
        <w:r>
          <w:rPr>
            <w:rStyle w:val="Hyperlink"/>
          </w:rPr>
          <w:t xml:space="preserve"> </w:t>
        </w:r>
        <w:r>
          <w:rPr>
            <w:rStyle w:val="Hyperlink"/>
          </w:rPr>
          <w:t xml:space="preserve">Models</w:t>
        </w:r>
        <w:r>
          <w:rPr>
            <w:rStyle w:val="Hyperlink"/>
          </w:rPr>
          <w:t xml:space="preserve"> </w:t>
        </w:r>
        <w:r>
          <w:rPr>
            <w:rStyle w:val="Hyperlink"/>
          </w:rPr>
          <w:t xml:space="preserve">Using</w:t>
        </w:r>
        <w:r>
          <w:rPr>
            <w:rStyle w:val="Hyperlink"/>
          </w:rPr>
          <w:t xml:space="preserve"> </w:t>
        </w:r>
        <w:r>
          <w:rPr>
            <w:rStyle w:val="Hyperlink"/>
          </w:rPr>
          <w:t xml:space="preserve">lme4</w:t>
        </w:r>
      </w:hyperlink>
      <w:r>
        <w:t xml:space="preserve">.</w:t>
      </w:r>
      <w:r>
        <w:t xml:space="preserve"> </w:t>
      </w:r>
      <w:r>
        <w:rPr>
          <w:iCs/>
          <w:i/>
        </w:rPr>
        <w:t xml:space="preserve">Journal of Statistical Software</w:t>
      </w:r>
      <w:r>
        <w:t xml:space="preserve"> </w:t>
      </w:r>
      <w:r>
        <w:rPr>
          <w:bCs/>
          <w:b/>
        </w:rPr>
        <w:t xml:space="preserve">67</w:t>
      </w:r>
      <w:r>
        <w:t xml:space="preserve">, 1–48 (2015).</w:t>
      </w:r>
    </w:p>
    <w:bookmarkEnd w:id="98"/>
    <w:bookmarkStart w:id="100" w:name="ref-uszczynska-ratajczak_towards_2018"/>
    <w:p>
      <w:pPr>
        <w:pStyle w:val="Bibliography"/>
      </w:pPr>
      <w:r>
        <w:t xml:space="preserve">35.</w:t>
      </w:r>
      <w:r>
        <w:t xml:space="preserve"> </w:t>
      </w:r>
      <w:r>
        <w:t xml:space="preserve">	</w:t>
      </w:r>
      <w:r>
        <w:t xml:space="preserve">B. Uszczynska-Ratajczak, J. Lagarde, A. Frankish, R. Guigó, R. Johnson,</w:t>
      </w:r>
      <w:r>
        <w:t xml:space="preserve"> </w:t>
      </w:r>
      <w:hyperlink r:id="rId99">
        <w:r>
          <w:rPr>
            <w:rStyle w:val="Hyperlink"/>
          </w:rPr>
          <w:t xml:space="preserve">Towards a complete map of the human long non-coding</w:t>
        </w:r>
        <w:r>
          <w:rPr>
            <w:rStyle w:val="Hyperlink"/>
          </w:rPr>
          <w:t xml:space="preserve"> </w:t>
        </w:r>
        <w:r>
          <w:rPr>
            <w:rStyle w:val="Hyperlink"/>
          </w:rPr>
          <w:t xml:space="preserve">RNA</w:t>
        </w:r>
        <w:r>
          <w:rPr>
            <w:rStyle w:val="Hyperlink"/>
          </w:rPr>
          <w:t xml:space="preserve"> </w:t>
        </w:r>
        <w:r>
          <w:rPr>
            <w:rStyle w:val="Hyperlink"/>
          </w:rPr>
          <w:t xml:space="preserve">transcriptome</w:t>
        </w:r>
      </w:hyperlink>
      <w:r>
        <w:t xml:space="preserve">.</w:t>
      </w:r>
      <w:r>
        <w:t xml:space="preserve"> </w:t>
      </w:r>
      <w:r>
        <w:rPr>
          <w:iCs/>
          <w:i/>
        </w:rPr>
        <w:t xml:space="preserve">Nature Reviews Genetics</w:t>
      </w:r>
      <w:r>
        <w:t xml:space="preserve"> </w:t>
      </w:r>
      <w:r>
        <w:rPr>
          <w:bCs/>
          <w:b/>
        </w:rPr>
        <w:t xml:space="preserve">19</w:t>
      </w:r>
      <w:r>
        <w:t xml:space="preserve">, 535–548 (2018).</w:t>
      </w:r>
    </w:p>
    <w:bookmarkEnd w:id="100"/>
    <w:bookmarkStart w:id="102" w:name="ref-khan_distinct_2023"/>
    <w:p>
      <w:pPr>
        <w:pStyle w:val="Bibliography"/>
      </w:pPr>
      <w:r>
        <w:t xml:space="preserve">36.</w:t>
      </w:r>
      <w:r>
        <w:t xml:space="preserve"> </w:t>
      </w:r>
      <w:r>
        <w:t xml:space="preserve">	</w:t>
      </w:r>
      <w:r>
        <w:t xml:space="preserve">M. R. Khan, M. Avino, R. J. Wellinger, B. Laurent,</w:t>
      </w:r>
      <w:r>
        <w:t xml:space="preserve"> </w:t>
      </w:r>
      <w:hyperlink r:id="rId101">
        <w:r>
          <w:rPr>
            <w:rStyle w:val="Hyperlink"/>
          </w:rPr>
          <w:t xml:space="preserve">Distinct regulatory functions and biological roles of</w:t>
        </w:r>
        <w:r>
          <w:rPr>
            <w:rStyle w:val="Hyperlink"/>
          </w:rPr>
          <w:t xml:space="preserve"> </w:t>
        </w:r>
        <w:r>
          <w:rPr>
            <w:rStyle w:val="Hyperlink"/>
          </w:rPr>
          <w:t xml:space="preserve">lncRNA</w:t>
        </w:r>
        <w:r>
          <w:rPr>
            <w:rStyle w:val="Hyperlink"/>
          </w:rPr>
          <w:t xml:space="preserve"> </w:t>
        </w:r>
        <w:r>
          <w:rPr>
            <w:rStyle w:val="Hyperlink"/>
          </w:rPr>
          <w:t xml:space="preserve">splice variants.</w:t>
        </w:r>
      </w:hyperlink>
      <w:r>
        <w:t xml:space="preserve"> </w:t>
      </w:r>
      <w:r>
        <w:rPr>
          <w:iCs/>
          <w:i/>
        </w:rPr>
        <w:t xml:space="preserve">Molecular therapy. Nucleic acids</w:t>
      </w:r>
      <w:r>
        <w:t xml:space="preserve"> </w:t>
      </w:r>
      <w:r>
        <w:rPr>
          <w:bCs/>
          <w:b/>
        </w:rPr>
        <w:t xml:space="preserve">32</w:t>
      </w:r>
      <w:r>
        <w:t xml:space="preserve">, 127–143 (2023).</w:t>
      </w:r>
    </w:p>
    <w:bookmarkEnd w:id="102"/>
    <w:bookmarkStart w:id="104" w:name="ref-chapman_correlated_2022"/>
    <w:p>
      <w:pPr>
        <w:pStyle w:val="Bibliography"/>
      </w:pPr>
      <w:r>
        <w:t xml:space="preserve">37.</w:t>
      </w:r>
      <w:r>
        <w:t xml:space="preserve"> </w:t>
      </w:r>
      <w:r>
        <w:t xml:space="preserve">	</w:t>
      </w:r>
      <w:r>
        <w:t xml:space="preserve">A. R. Chapman, D. F. Lee, W. Cai, W. Ma, X. Li, W. Sun, X. S. Xie,</w:t>
      </w:r>
      <w:r>
        <w:t xml:space="preserve"> </w:t>
      </w:r>
      <w:hyperlink r:id="rId103">
        <w:r>
          <w:rPr>
            <w:rStyle w:val="Hyperlink"/>
          </w:rPr>
          <w:t xml:space="preserve">Correlated gene modules uncovered by high-precision single-cell transcriptomics.</w:t>
        </w:r>
      </w:hyperlink>
      <w:r>
        <w:t xml:space="preserve"> </w:t>
      </w:r>
      <w:r>
        <w:rPr>
          <w:iCs/>
          <w:i/>
        </w:rPr>
        <w:t xml:space="preserve">Proceedings of the National Academy of Sciences of the United States of America</w:t>
      </w:r>
      <w:r>
        <w:t xml:space="preserve"> </w:t>
      </w:r>
      <w:r>
        <w:rPr>
          <w:bCs/>
          <w:b/>
        </w:rPr>
        <w:t xml:space="preserve">119</w:t>
      </w:r>
      <w:r>
        <w:t xml:space="preserve">, e2206938119 (2022).</w:t>
      </w:r>
    </w:p>
    <w:bookmarkEnd w:id="104"/>
    <w:bookmarkStart w:id="106" w:name="ref-seifuddin_lncrnakb_2020"/>
    <w:p>
      <w:pPr>
        <w:pStyle w:val="Bibliography"/>
      </w:pPr>
      <w:r>
        <w:t xml:space="preserve">38.</w:t>
      </w:r>
      <w:r>
        <w:t xml:space="preserve"> </w:t>
      </w:r>
      <w:r>
        <w:t xml:space="preserve">	</w:t>
      </w:r>
      <w:r>
        <w:t xml:space="preserve">F. Seifuddin, K. Singh, A. Suresh, J. T. Judy, Y.-C. Chen, V. Chaitankar, I. Tunc, X. Ruan, P. Li, Y. Chen, H. Cao, R. S. Lee, F. S. Goes, P. P. Zandi, M. S. Jafri, M. Pirooznia,</w:t>
      </w:r>
      <w:r>
        <w:t xml:space="preserve"> </w:t>
      </w:r>
      <w:hyperlink r:id="rId105">
        <w:r>
          <w:rPr>
            <w:rStyle w:val="Hyperlink"/>
          </w:rPr>
          <w:t xml:space="preserve">lncRNAKB</w:t>
        </w:r>
        <w:r>
          <w:rPr>
            <w:rStyle w:val="Hyperlink"/>
          </w:rPr>
          <w:t xml:space="preserve">, a knowledgebase of tissue-specific functional annotation and trait association of long noncoding</w:t>
        </w:r>
        <w:r>
          <w:rPr>
            <w:rStyle w:val="Hyperlink"/>
          </w:rPr>
          <w:t xml:space="preserve"> </w:t>
        </w:r>
        <w:r>
          <w:rPr>
            <w:rStyle w:val="Hyperlink"/>
          </w:rPr>
          <w:t xml:space="preserve">RNA</w:t>
        </w:r>
      </w:hyperlink>
      <w:r>
        <w:t xml:space="preserve">.</w:t>
      </w:r>
      <w:r>
        <w:t xml:space="preserve"> </w:t>
      </w:r>
      <w:r>
        <w:rPr>
          <w:iCs/>
          <w:i/>
        </w:rPr>
        <w:t xml:space="preserve">Scientific Data</w:t>
      </w:r>
      <w:r>
        <w:t xml:space="preserve"> </w:t>
      </w:r>
      <w:r>
        <w:rPr>
          <w:bCs/>
          <w:b/>
        </w:rPr>
        <w:t xml:space="preserve">7</w:t>
      </w:r>
      <w:r>
        <w:t xml:space="preserve">, 326 (2020).</w:t>
      </w:r>
    </w:p>
    <w:bookmarkEnd w:id="106"/>
    <w:bookmarkEnd w:id="107"/>
    <w:p>
      <w:pPr>
        <w:pStyle w:val="BodyText"/>
      </w:pPr>
      <w:r>
        <w:t xml:space="preserve">:::</w:t>
      </w:r>
    </w:p>
    <w:bookmarkEnd w:id="108"/>
    <w:bookmarkStart w:id="109" w:name="section"/>
    <w:p>
      <w:pPr>
        <w:pStyle w:val="Heading1"/>
      </w:pPr>
    </w:p>
    <w:bookmarkEnd w:id="109"/>
    <w:bookmarkStart w:id="110" w:name="appendix"/>
    <w:p>
      <w:pPr>
        <w:pStyle w:val="Heading1"/>
      </w:pPr>
      <w:r>
        <w:t xml:space="preserve">Appendix</w:t>
      </w:r>
    </w:p>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4" Target="https://doi.org/10.1002/14651858.CD002759.pub2" TargetMode="External" /><Relationship Type="http://schemas.openxmlformats.org/officeDocument/2006/relationships/hyperlink" Id="rId56" Target="https://doi.org/10.1002/14651858.CD010884" TargetMode="External" /><Relationship Type="http://schemas.openxmlformats.org/officeDocument/2006/relationships/hyperlink" Id="rId84" Target="https://doi.org/10.1007/s00018-013-1423-0" TargetMode="External" /><Relationship Type="http://schemas.openxmlformats.org/officeDocument/2006/relationships/hyperlink" Id="rId72" Target="https://doi.org/10.1007/s00424-021-02641-z" TargetMode="External" /><Relationship Type="http://schemas.openxmlformats.org/officeDocument/2006/relationships/hyperlink" Id="rId62" Target="https://doi.org/10.1007/s11136-017-1733-z" TargetMode="External" /><Relationship Type="http://schemas.openxmlformats.org/officeDocument/2006/relationships/hyperlink" Id="rId36" Target="https://doi.org/10.1016/j.jshs.2013.07.001" TargetMode="External" /><Relationship Type="http://schemas.openxmlformats.org/officeDocument/2006/relationships/hyperlink" Id="rId60" Target="https://doi.org/10.1016/j.maturitas.2019.05.005" TargetMode="External" /><Relationship Type="http://schemas.openxmlformats.org/officeDocument/2006/relationships/hyperlink" Id="rId101" Target="https://doi.org/10.1016/j.omtn.2023.03.004" TargetMode="External" /><Relationship Type="http://schemas.openxmlformats.org/officeDocument/2006/relationships/hyperlink" Id="rId95" Target="https://doi.org/10.1038/nprot.2009.97" TargetMode="External" /><Relationship Type="http://schemas.openxmlformats.org/officeDocument/2006/relationships/hyperlink" Id="rId99" Target="https://doi.org/10.1038/s41576-018-0017-y" TargetMode="External" /><Relationship Type="http://schemas.openxmlformats.org/officeDocument/2006/relationships/hyperlink" Id="rId68" Target="https://doi.org/10.1038/s41580-020-00315-9" TargetMode="External" /><Relationship Type="http://schemas.openxmlformats.org/officeDocument/2006/relationships/hyperlink" Id="rId76" Target="https://doi.org/10.1038/s41580-022-00566-8" TargetMode="External" /><Relationship Type="http://schemas.openxmlformats.org/officeDocument/2006/relationships/hyperlink" Id="rId105" Target="https://doi.org/10.1038/s41597-020-00659-z" TargetMode="External" /><Relationship Type="http://schemas.openxmlformats.org/officeDocument/2006/relationships/hyperlink" Id="rId103" Target="https://doi.org/10.1073/pnas.2206938119" TargetMode="External" /><Relationship Type="http://schemas.openxmlformats.org/officeDocument/2006/relationships/hyperlink" Id="rId74" Target="https://doi.org/10.1083/jcb.202009045" TargetMode="External" /><Relationship Type="http://schemas.openxmlformats.org/officeDocument/2006/relationships/hyperlink" Id="rId46" Target="https://doi.org/10.1093/ageing/afac003" TargetMode="External" /><Relationship Type="http://schemas.openxmlformats.org/officeDocument/2006/relationships/hyperlink" Id="rId40" Target="https://doi.org/10.1093/gerona/50a.special_issue.64" TargetMode="External" /><Relationship Type="http://schemas.openxmlformats.org/officeDocument/2006/relationships/hyperlink" Id="rId82" Target="https://doi.org/10.1093/nar/gky960" TargetMode="External" /><Relationship Type="http://schemas.openxmlformats.org/officeDocument/2006/relationships/hyperlink" Id="rId38" Target="https://doi.org/10.1097/01.mco.0000134362.76653.b2" TargetMode="External" /><Relationship Type="http://schemas.openxmlformats.org/officeDocument/2006/relationships/hyperlink" Id="rId66" Target="https://doi.org/10.1111/apha.13806" TargetMode="External" /><Relationship Type="http://schemas.openxmlformats.org/officeDocument/2006/relationships/hyperlink" Id="rId64" Target="https://doi.org/10.1113/JP278455" TargetMode="External" /><Relationship Type="http://schemas.openxmlformats.org/officeDocument/2006/relationships/hyperlink" Id="rId48" Target="https://doi.org/10.1136/bmjdrc-2021-002622" TargetMode="External" /><Relationship Type="http://schemas.openxmlformats.org/officeDocument/2006/relationships/hyperlink" Id="rId70" Target="https://doi.org/10.1177/2472630318780639" TargetMode="External" /><Relationship Type="http://schemas.openxmlformats.org/officeDocument/2006/relationships/hyperlink" Id="rId93" Target="https://doi.org/10.1186/1471-2105-12-323" TargetMode="External" /><Relationship Type="http://schemas.openxmlformats.org/officeDocument/2006/relationships/hyperlink" Id="rId34" Target="https://doi.org/10.1186/s12859-020-03866-y" TargetMode="External" /><Relationship Type="http://schemas.openxmlformats.org/officeDocument/2006/relationships/hyperlink" Id="rId42" Target="https://doi.org/10.1186/s12967-021-02969-1" TargetMode="External" /><Relationship Type="http://schemas.openxmlformats.org/officeDocument/2006/relationships/hyperlink" Id="rId54" Target="https://doi.org/10.1186/s13075-015-0679-1" TargetMode="External" /><Relationship Type="http://schemas.openxmlformats.org/officeDocument/2006/relationships/hyperlink" Id="rId50" Target="https://doi.org/10.1249/JSR.0b013e31825dabb8" TargetMode="External" /><Relationship Type="http://schemas.openxmlformats.org/officeDocument/2006/relationships/hyperlink" Id="rId32" Target="https://doi.org/10.1249/MSS.0000000000002929" TargetMode="External" /><Relationship Type="http://schemas.openxmlformats.org/officeDocument/2006/relationships/hyperlink" Id="rId97" Target="https://doi.org/10.18637/jss.v067.i01" TargetMode="External" /><Relationship Type="http://schemas.openxmlformats.org/officeDocument/2006/relationships/hyperlink" Id="rId90" Target="https://doi.org/10.3389/fcell.2019.00228" TargetMode="External" /><Relationship Type="http://schemas.openxmlformats.org/officeDocument/2006/relationships/hyperlink" Id="rId78" Target="https://doi.org/10.3389/fphys.2020.567614" TargetMode="External" /><Relationship Type="http://schemas.openxmlformats.org/officeDocument/2006/relationships/hyperlink" Id="rId52" Target="https://doi.org/10.3389/fphys.2022.911162" TargetMode="External" /><Relationship Type="http://schemas.openxmlformats.org/officeDocument/2006/relationships/hyperlink" Id="rId86" Target="https://doi.org/10.7554/eLife.25607" TargetMode="External" /><Relationship Type="http://schemas.openxmlformats.org/officeDocument/2006/relationships/hyperlink" Id="rId88" Target="https://doi.org/10.7554/eLife.45051" TargetMode="External" /><Relationship Type="http://schemas.openxmlformats.org/officeDocument/2006/relationships/hyperlink" Id="rId80" Target="https://doi.org/10.7554/eLife.60583" TargetMode="External" /><Relationship Type="http://schemas.openxmlformats.org/officeDocument/2006/relationships/hyperlink" Id="rId58" Target="https://journals.lww.com/acsm-msse/Fulltext/2023/04000/Resistance_Exercise_Training_Increases_Muscle_Mass.2.aspx"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02/14651858.CD002759.pub2" TargetMode="External" /><Relationship Type="http://schemas.openxmlformats.org/officeDocument/2006/relationships/hyperlink" Id="rId56" Target="https://doi.org/10.1002/14651858.CD010884" TargetMode="External" /><Relationship Type="http://schemas.openxmlformats.org/officeDocument/2006/relationships/hyperlink" Id="rId84" Target="https://doi.org/10.1007/s00018-013-1423-0" TargetMode="External" /><Relationship Type="http://schemas.openxmlformats.org/officeDocument/2006/relationships/hyperlink" Id="rId72" Target="https://doi.org/10.1007/s00424-021-02641-z" TargetMode="External" /><Relationship Type="http://schemas.openxmlformats.org/officeDocument/2006/relationships/hyperlink" Id="rId62" Target="https://doi.org/10.1007/s11136-017-1733-z" TargetMode="External" /><Relationship Type="http://schemas.openxmlformats.org/officeDocument/2006/relationships/hyperlink" Id="rId36" Target="https://doi.org/10.1016/j.jshs.2013.07.001" TargetMode="External" /><Relationship Type="http://schemas.openxmlformats.org/officeDocument/2006/relationships/hyperlink" Id="rId60" Target="https://doi.org/10.1016/j.maturitas.2019.05.005" TargetMode="External" /><Relationship Type="http://schemas.openxmlformats.org/officeDocument/2006/relationships/hyperlink" Id="rId101" Target="https://doi.org/10.1016/j.omtn.2023.03.004" TargetMode="External" /><Relationship Type="http://schemas.openxmlformats.org/officeDocument/2006/relationships/hyperlink" Id="rId95" Target="https://doi.org/10.1038/nprot.2009.97" TargetMode="External" /><Relationship Type="http://schemas.openxmlformats.org/officeDocument/2006/relationships/hyperlink" Id="rId99" Target="https://doi.org/10.1038/s41576-018-0017-y" TargetMode="External" /><Relationship Type="http://schemas.openxmlformats.org/officeDocument/2006/relationships/hyperlink" Id="rId68" Target="https://doi.org/10.1038/s41580-020-00315-9" TargetMode="External" /><Relationship Type="http://schemas.openxmlformats.org/officeDocument/2006/relationships/hyperlink" Id="rId76" Target="https://doi.org/10.1038/s41580-022-00566-8" TargetMode="External" /><Relationship Type="http://schemas.openxmlformats.org/officeDocument/2006/relationships/hyperlink" Id="rId105" Target="https://doi.org/10.1038/s41597-020-00659-z" TargetMode="External" /><Relationship Type="http://schemas.openxmlformats.org/officeDocument/2006/relationships/hyperlink" Id="rId103" Target="https://doi.org/10.1073/pnas.2206938119" TargetMode="External" /><Relationship Type="http://schemas.openxmlformats.org/officeDocument/2006/relationships/hyperlink" Id="rId74" Target="https://doi.org/10.1083/jcb.202009045" TargetMode="External" /><Relationship Type="http://schemas.openxmlformats.org/officeDocument/2006/relationships/hyperlink" Id="rId46" Target="https://doi.org/10.1093/ageing/afac003" TargetMode="External" /><Relationship Type="http://schemas.openxmlformats.org/officeDocument/2006/relationships/hyperlink" Id="rId40" Target="https://doi.org/10.1093/gerona/50a.special_issue.64" TargetMode="External" /><Relationship Type="http://schemas.openxmlformats.org/officeDocument/2006/relationships/hyperlink" Id="rId82" Target="https://doi.org/10.1093/nar/gky960" TargetMode="External" /><Relationship Type="http://schemas.openxmlformats.org/officeDocument/2006/relationships/hyperlink" Id="rId38" Target="https://doi.org/10.1097/01.mco.0000134362.76653.b2" TargetMode="External" /><Relationship Type="http://schemas.openxmlformats.org/officeDocument/2006/relationships/hyperlink" Id="rId66" Target="https://doi.org/10.1111/apha.13806" TargetMode="External" /><Relationship Type="http://schemas.openxmlformats.org/officeDocument/2006/relationships/hyperlink" Id="rId64" Target="https://doi.org/10.1113/JP278455" TargetMode="External" /><Relationship Type="http://schemas.openxmlformats.org/officeDocument/2006/relationships/hyperlink" Id="rId48" Target="https://doi.org/10.1136/bmjdrc-2021-002622" TargetMode="External" /><Relationship Type="http://schemas.openxmlformats.org/officeDocument/2006/relationships/hyperlink" Id="rId70" Target="https://doi.org/10.1177/2472630318780639" TargetMode="External" /><Relationship Type="http://schemas.openxmlformats.org/officeDocument/2006/relationships/hyperlink" Id="rId93" Target="https://doi.org/10.1186/1471-2105-12-323" TargetMode="External" /><Relationship Type="http://schemas.openxmlformats.org/officeDocument/2006/relationships/hyperlink" Id="rId34" Target="https://doi.org/10.1186/s12859-020-03866-y" TargetMode="External" /><Relationship Type="http://schemas.openxmlformats.org/officeDocument/2006/relationships/hyperlink" Id="rId42" Target="https://doi.org/10.1186/s12967-021-02969-1" TargetMode="External" /><Relationship Type="http://schemas.openxmlformats.org/officeDocument/2006/relationships/hyperlink" Id="rId54" Target="https://doi.org/10.1186/s13075-015-0679-1" TargetMode="External" /><Relationship Type="http://schemas.openxmlformats.org/officeDocument/2006/relationships/hyperlink" Id="rId50" Target="https://doi.org/10.1249/JSR.0b013e31825dabb8" TargetMode="External" /><Relationship Type="http://schemas.openxmlformats.org/officeDocument/2006/relationships/hyperlink" Id="rId32" Target="https://doi.org/10.1249/MSS.0000000000002929" TargetMode="External" /><Relationship Type="http://schemas.openxmlformats.org/officeDocument/2006/relationships/hyperlink" Id="rId97" Target="https://doi.org/10.18637/jss.v067.i01" TargetMode="External" /><Relationship Type="http://schemas.openxmlformats.org/officeDocument/2006/relationships/hyperlink" Id="rId90" Target="https://doi.org/10.3389/fcell.2019.00228" TargetMode="External" /><Relationship Type="http://schemas.openxmlformats.org/officeDocument/2006/relationships/hyperlink" Id="rId78" Target="https://doi.org/10.3389/fphys.2020.567614" TargetMode="External" /><Relationship Type="http://schemas.openxmlformats.org/officeDocument/2006/relationships/hyperlink" Id="rId52" Target="https://doi.org/10.3389/fphys.2022.911162" TargetMode="External" /><Relationship Type="http://schemas.openxmlformats.org/officeDocument/2006/relationships/hyperlink" Id="rId86" Target="https://doi.org/10.7554/eLife.25607" TargetMode="External" /><Relationship Type="http://schemas.openxmlformats.org/officeDocument/2006/relationships/hyperlink" Id="rId88" Target="https://doi.org/10.7554/eLife.45051" TargetMode="External" /><Relationship Type="http://schemas.openxmlformats.org/officeDocument/2006/relationships/hyperlink" Id="rId80" Target="https://doi.org/10.7554/eLife.60583" TargetMode="External" /><Relationship Type="http://schemas.openxmlformats.org/officeDocument/2006/relationships/hyperlink" Id="rId58" Target="https://journals.lww.com/acsm-msse/Fulltext/2023/04000/Resistance_Exercise_Training_Increases_Muscle_Mass.2.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progressive resistance training on the expression of long non-coding RNAs in skeletal muscle of young adults</dc:title>
  <dc:creator/>
  <cp:keywords/>
  <dcterms:created xsi:type="dcterms:W3CDTF">2024-07-14T02:10:52Z</dcterms:created>
  <dcterms:modified xsi:type="dcterms:W3CDTF">2024-07-14T02:10:52Z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My_Library.bib</vt:lpwstr>
  </property>
  <property fmtid="{D5CDD505-2E9C-101B-9397-08002B2CF9AE}" pid="4" name="csl">
    <vt:lpwstr>science.csl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arget_journal">
    <vt:lpwstr>https://www.tandfonline.com/journals/krnb20</vt:lpwstr>
  </property>
  <property fmtid="{D5CDD505-2E9C-101B-9397-08002B2CF9AE}" pid="11" name="toc-title">
    <vt:lpwstr>Table of contents</vt:lpwstr>
  </property>
</Properties>
</file>