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hd w:fill="ffffff" w:val="clear"/>
        <w:spacing w:line="240" w:lineRule="auto"/>
        <w:rPr/>
      </w:pPr>
      <w:r w:rsidDel="00000000" w:rsidR="00000000" w:rsidRPr="00000000">
        <w:rPr>
          <w:highlight w:val="white"/>
          <w:rtl w:val="0"/>
        </w:rPr>
        <w:t xml:space="preserve">I analyzed the links between income, food insecurity and obesity using state-level data from the U.S. Census Bureau and CDC. </w:t>
      </w:r>
      <w:r w:rsidDel="00000000" w:rsidR="00000000" w:rsidRPr="00000000">
        <w:rPr>
          <w:color w:val="121512"/>
          <w:highlight w:val="white"/>
          <w:rtl w:val="0"/>
        </w:rPr>
        <w:t xml:space="preserve">Many studies have shown that lower income is associated with increased obesity</w:t>
      </w:r>
      <w:r w:rsidDel="00000000" w:rsidR="00000000" w:rsidRPr="00000000">
        <w:rPr>
          <w:color w:val="121512"/>
          <w:highlight w:val="white"/>
          <w:vertAlign w:val="superscript"/>
        </w:rPr>
        <w:footnoteReference w:customMarkFollows="0" w:id="0"/>
      </w:r>
      <w:r w:rsidDel="00000000" w:rsidR="00000000" w:rsidRPr="00000000">
        <w:rPr>
          <w:color w:val="121512"/>
          <w:highlight w:val="white"/>
          <w:vertAlign w:val="superscript"/>
        </w:rPr>
        <w:footnoteReference w:customMarkFollows="0" w:id="1"/>
      </w:r>
      <w:r w:rsidDel="00000000" w:rsidR="00000000" w:rsidRPr="00000000">
        <w:rPr>
          <w:color w:val="121512"/>
          <w:highlight w:val="white"/>
          <w:vertAlign w:val="superscript"/>
        </w:rPr>
        <w:footnoteReference w:customMarkFollows="0" w:id="2"/>
      </w:r>
      <w:r w:rsidDel="00000000" w:rsidR="00000000" w:rsidRPr="00000000">
        <w:rPr>
          <w:color w:val="121512"/>
          <w:highlight w:val="white"/>
          <w:rtl w:val="0"/>
        </w:rPr>
        <w:t xml:space="preserve">. </w:t>
      </w:r>
      <w:r w:rsidDel="00000000" w:rsidR="00000000" w:rsidRPr="00000000">
        <w:rPr>
          <w:rtl w:val="0"/>
        </w:rPr>
        <w:t xml:space="preserve">The framework of social determinants of health indicates that material conditions confine one’s access to healthy food</w:t>
      </w:r>
      <w:r w:rsidDel="00000000" w:rsidR="00000000" w:rsidRPr="00000000">
        <w:rPr>
          <w:vertAlign w:val="superscript"/>
        </w:rPr>
        <w:footnoteReference w:customMarkFollows="0" w:id="3"/>
      </w:r>
      <w:r w:rsidDel="00000000" w:rsidR="00000000" w:rsidRPr="00000000">
        <w:rPr>
          <w:vertAlign w:val="superscript"/>
        </w:rPr>
        <w:footnoteReference w:customMarkFollows="0" w:id="4"/>
      </w:r>
      <w:r w:rsidDel="00000000" w:rsidR="00000000" w:rsidRPr="00000000">
        <w:rPr>
          <w:rtl w:val="0"/>
        </w:rPr>
        <w:t xml:space="preserve">. Indeed, other studies have found an association between income and food insecurity</w:t>
      </w:r>
      <w:r w:rsidDel="00000000" w:rsidR="00000000" w:rsidRPr="00000000">
        <w:rPr>
          <w:vertAlign w:val="superscript"/>
        </w:rPr>
        <w:footnoteReference w:customMarkFollows="0" w:id="5"/>
      </w:r>
      <w:r w:rsidDel="00000000" w:rsidR="00000000" w:rsidRPr="00000000">
        <w:rPr>
          <w:vertAlign w:val="superscript"/>
        </w:rPr>
        <w:footnoteReference w:customMarkFollows="0" w:id="6"/>
      </w:r>
      <w:r w:rsidDel="00000000" w:rsidR="00000000" w:rsidRPr="00000000">
        <w:rPr>
          <w:rtl w:val="0"/>
        </w:rPr>
        <w:t xml:space="preserve">, and between food insecurity and obesity</w:t>
      </w:r>
      <w:r w:rsidDel="00000000" w:rsidR="00000000" w:rsidRPr="00000000">
        <w:rPr>
          <w:vertAlign w:val="superscript"/>
        </w:rPr>
        <w:footnoteReference w:customMarkFollows="0" w:id="7"/>
      </w:r>
      <w:r w:rsidDel="00000000" w:rsidR="00000000" w:rsidRPr="00000000">
        <w:rPr>
          <w:rtl w:val="0"/>
        </w:rPr>
        <w:t xml:space="preserve">. </w:t>
      </w:r>
    </w:p>
    <w:p w:rsidR="00000000" w:rsidDel="00000000" w:rsidP="00000000" w:rsidRDefault="00000000" w:rsidRPr="00000000" w14:paraId="00000002">
      <w:pPr>
        <w:widowControl w:val="0"/>
        <w:shd w:fill="ffffff" w:val="clear"/>
        <w:spacing w:line="240" w:lineRule="auto"/>
        <w:rPr/>
      </w:pPr>
      <w:r w:rsidDel="00000000" w:rsidR="00000000" w:rsidRPr="00000000">
        <w:rPr>
          <w:rtl w:val="0"/>
        </w:rPr>
      </w:r>
    </w:p>
    <w:p w:rsidR="00000000" w:rsidDel="00000000" w:rsidP="00000000" w:rsidRDefault="00000000" w:rsidRPr="00000000" w14:paraId="00000003">
      <w:pPr>
        <w:widowControl w:val="0"/>
        <w:shd w:fill="ffffff" w:val="clear"/>
        <w:spacing w:line="240" w:lineRule="auto"/>
        <w:rPr>
          <w:color w:val="121512"/>
          <w:highlight w:val="white"/>
        </w:rPr>
      </w:pPr>
      <w:r w:rsidDel="00000000" w:rsidR="00000000" w:rsidRPr="00000000">
        <w:rPr>
          <w:rtl w:val="0"/>
        </w:rPr>
        <w:t xml:space="preserve">This study uses multivariate regression analysis to test the hypothesis that food insecurity partially mediates (explains) the relationship between income and obesity. </w:t>
      </w:r>
      <w:r w:rsidDel="00000000" w:rsidR="00000000" w:rsidRPr="00000000">
        <w:rPr>
          <w:color w:val="121512"/>
          <w:highlight w:val="white"/>
          <w:rtl w:val="0"/>
        </w:rPr>
        <w:t xml:space="preserve">I performed data cleaning and scaling, followed by regress</w:t>
      </w:r>
      <w:r w:rsidDel="00000000" w:rsidR="00000000" w:rsidRPr="00000000">
        <w:rPr>
          <w:color w:val="121512"/>
          <w:rtl w:val="0"/>
        </w:rPr>
        <w:t xml:space="preserve">ion analysis (bivariate and multivariate) and </w:t>
      </w:r>
      <w:r w:rsidDel="00000000" w:rsidR="00000000" w:rsidRPr="00000000">
        <w:rPr>
          <w:color w:val="121512"/>
          <w:highlight w:val="white"/>
          <w:rtl w:val="0"/>
        </w:rPr>
        <w:t xml:space="preserve">correlation analysis. I then transformed data in order to perform a chi squared test and created data visualizations. </w:t>
      </w:r>
    </w:p>
    <w:p w:rsidR="00000000" w:rsidDel="00000000" w:rsidP="00000000" w:rsidRDefault="00000000" w:rsidRPr="00000000" w14:paraId="00000004">
      <w:pPr>
        <w:widowControl w:val="0"/>
        <w:shd w:fill="ffffff" w:val="clear"/>
        <w:spacing w:line="240" w:lineRule="auto"/>
        <w:rPr>
          <w:color w:val="121512"/>
          <w:highlight w:val="white"/>
        </w:rPr>
      </w:pPr>
      <w:r w:rsidDel="00000000" w:rsidR="00000000" w:rsidRPr="00000000">
        <w:rPr>
          <w:rtl w:val="0"/>
        </w:rPr>
      </w:r>
    </w:p>
    <w:p w:rsidR="00000000" w:rsidDel="00000000" w:rsidP="00000000" w:rsidRDefault="00000000" w:rsidRPr="00000000" w14:paraId="00000005">
      <w:pPr>
        <w:widowControl w:val="0"/>
        <w:shd w:fill="ffffff" w:val="clear"/>
        <w:spacing w:line="240" w:lineRule="auto"/>
        <w:rPr>
          <w:color w:val="121512"/>
          <w:highlight w:val="white"/>
        </w:rPr>
      </w:pPr>
      <w:r w:rsidDel="00000000" w:rsidR="00000000" w:rsidRPr="00000000">
        <w:rPr>
          <w:color w:val="121512"/>
          <w:highlight w:val="white"/>
          <w:rtl w:val="0"/>
        </w:rPr>
        <w:t xml:space="preserve">Results were consistent between statistical tests. </w:t>
      </w:r>
    </w:p>
    <w:p w:rsidR="00000000" w:rsidDel="00000000" w:rsidP="00000000" w:rsidRDefault="00000000" w:rsidRPr="00000000" w14:paraId="00000006">
      <w:pPr>
        <w:widowControl w:val="0"/>
        <w:numPr>
          <w:ilvl w:val="0"/>
          <w:numId w:val="1"/>
        </w:numPr>
        <w:shd w:fill="ffffff" w:val="clear"/>
        <w:spacing w:line="240" w:lineRule="auto"/>
        <w:ind w:left="720" w:hanging="360"/>
        <w:rPr>
          <w:color w:val="121512"/>
          <w:highlight w:val="white"/>
        </w:rPr>
      </w:pPr>
      <w:r w:rsidDel="00000000" w:rsidR="00000000" w:rsidRPr="00000000">
        <w:rPr>
          <w:color w:val="121512"/>
          <w:highlight w:val="white"/>
          <w:rtl w:val="0"/>
        </w:rPr>
        <w:t xml:space="preserve">Results showed an insignificant, weak negative association between income and obesity. </w:t>
      </w:r>
    </w:p>
    <w:p w:rsidR="00000000" w:rsidDel="00000000" w:rsidP="00000000" w:rsidRDefault="00000000" w:rsidRPr="00000000" w14:paraId="00000007">
      <w:pPr>
        <w:widowControl w:val="0"/>
        <w:numPr>
          <w:ilvl w:val="0"/>
          <w:numId w:val="2"/>
        </w:numPr>
        <w:shd w:fill="ffffff" w:val="clear"/>
        <w:spacing w:line="240" w:lineRule="auto"/>
        <w:ind w:left="720" w:hanging="360"/>
        <w:rPr>
          <w:color w:val="121512"/>
          <w:highlight w:val="white"/>
        </w:rPr>
      </w:pPr>
      <w:r w:rsidDel="00000000" w:rsidR="00000000" w:rsidRPr="00000000">
        <w:rPr>
          <w:color w:val="121512"/>
          <w:highlight w:val="white"/>
          <w:rtl w:val="0"/>
        </w:rPr>
        <w:t xml:space="preserve">Results showed a significant, moderate positive association between obesity and food insecurity. </w:t>
      </w:r>
    </w:p>
    <w:p w:rsidR="00000000" w:rsidDel="00000000" w:rsidP="00000000" w:rsidRDefault="00000000" w:rsidRPr="00000000" w14:paraId="00000008">
      <w:pPr>
        <w:widowControl w:val="0"/>
        <w:numPr>
          <w:ilvl w:val="0"/>
          <w:numId w:val="2"/>
        </w:numPr>
        <w:shd w:fill="ffffff" w:val="clear"/>
        <w:spacing w:line="240" w:lineRule="auto"/>
        <w:ind w:left="720" w:hanging="360"/>
        <w:rPr>
          <w:color w:val="121512"/>
          <w:highlight w:val="white"/>
        </w:rPr>
      </w:pPr>
      <w:r w:rsidDel="00000000" w:rsidR="00000000" w:rsidRPr="00000000">
        <w:rPr>
          <w:color w:val="121512"/>
          <w:highlight w:val="white"/>
          <w:rtl w:val="0"/>
        </w:rPr>
        <w:t xml:space="preserve">Results showed an insignificant, very weak negative association between income and food insecurity. </w:t>
      </w:r>
    </w:p>
    <w:p w:rsidR="00000000" w:rsidDel="00000000" w:rsidP="00000000" w:rsidRDefault="00000000" w:rsidRPr="00000000" w14:paraId="00000009">
      <w:pPr>
        <w:widowControl w:val="0"/>
        <w:shd w:fill="ffffff" w:val="clear"/>
        <w:spacing w:line="240" w:lineRule="auto"/>
        <w:rPr>
          <w:color w:val="121512"/>
          <w:highlight w:val="white"/>
        </w:rPr>
      </w:pPr>
      <w:r w:rsidDel="00000000" w:rsidR="00000000" w:rsidRPr="00000000">
        <w:rPr>
          <w:rtl w:val="0"/>
        </w:rPr>
      </w:r>
    </w:p>
    <w:p w:rsidR="00000000" w:rsidDel="00000000" w:rsidP="00000000" w:rsidRDefault="00000000" w:rsidRPr="00000000" w14:paraId="0000000A">
      <w:pPr>
        <w:widowControl w:val="0"/>
        <w:shd w:fill="ffffff" w:val="clear"/>
        <w:spacing w:line="240" w:lineRule="auto"/>
        <w:rPr/>
      </w:pPr>
      <w:r w:rsidDel="00000000" w:rsidR="00000000" w:rsidRPr="00000000">
        <w:rPr>
          <w:color w:val="121512"/>
          <w:highlight w:val="white"/>
          <w:rtl w:val="0"/>
        </w:rPr>
        <w:t xml:space="preserve">The partial mediation hypothesis is not supported at the state level. State-level comparison did not show the relationships that have been repeatedly found between income and obesity, and income and food insecurity. </w:t>
      </w:r>
      <w:r w:rsidDel="00000000" w:rsidR="00000000" w:rsidRPr="00000000">
        <w:rPr>
          <w:rtl w:val="0"/>
        </w:rPr>
        <w:t xml:space="preserve">State average data does not account for income disparities, which may obscure the relationships. Future research should test the partial mediation hypothesis between individual households on a smaller scale. State average data also does not account for the rural-urban divide. Future research should consider the role of rurality in mediating the relationship between income and food insecurity, and income and obesity. Future research should also test the significance of social determinants of health such as access to healthcare and stress in explaining the relationship between income and obesity. </w:t>
      </w:r>
    </w:p>
    <w:p w:rsidR="00000000" w:rsidDel="00000000" w:rsidP="00000000" w:rsidRDefault="00000000" w:rsidRPr="00000000" w14:paraId="0000000B">
      <w:pPr>
        <w:widowControl w:val="0"/>
        <w:shd w:fill="ffffff" w:val="clear"/>
        <w:spacing w:line="240" w:lineRule="au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3">
    <w:p w:rsidR="00000000" w:rsidDel="00000000" w:rsidP="00000000" w:rsidRDefault="00000000" w:rsidRPr="00000000" w14:paraId="0000000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Marmot, M. (2002). The influence of income on health: Views of an epidemiologist. </w:t>
      </w:r>
      <w:r w:rsidDel="00000000" w:rsidR="00000000" w:rsidRPr="00000000">
        <w:rPr>
          <w:i w:val="1"/>
          <w:sz w:val="20"/>
          <w:szCs w:val="20"/>
          <w:rtl w:val="0"/>
        </w:rPr>
        <w:t xml:space="preserve">Health Affairs, 21</w:t>
      </w:r>
      <w:r w:rsidDel="00000000" w:rsidR="00000000" w:rsidRPr="00000000">
        <w:rPr>
          <w:sz w:val="20"/>
          <w:szCs w:val="20"/>
          <w:highlight w:val="white"/>
          <w:rtl w:val="0"/>
        </w:rPr>
        <w:t xml:space="preserve">(2), 31–46.</w:t>
      </w:r>
      <w:hyperlink r:id="rId1">
        <w:r w:rsidDel="00000000" w:rsidR="00000000" w:rsidRPr="00000000">
          <w:rPr>
            <w:sz w:val="20"/>
            <w:szCs w:val="20"/>
            <w:highlight w:val="white"/>
            <w:rtl w:val="0"/>
          </w:rPr>
          <w:t xml:space="preserve"> </w:t>
        </w:r>
      </w:hyperlink>
      <w:hyperlink r:id="rId2">
        <w:r w:rsidDel="00000000" w:rsidR="00000000" w:rsidRPr="00000000">
          <w:rPr>
            <w:color w:val="1155cc"/>
            <w:sz w:val="20"/>
            <w:szCs w:val="20"/>
            <w:u w:val="single"/>
            <w:rtl w:val="0"/>
          </w:rPr>
          <w:t xml:space="preserve">https://doi.org/10.1377/hlthaff.21.2.31</w:t>
        </w:r>
      </w:hyperlink>
      <w:r w:rsidDel="00000000" w:rsidR="00000000" w:rsidRPr="00000000">
        <w:rPr>
          <w:rtl w:val="0"/>
        </w:rPr>
      </w:r>
    </w:p>
  </w:footnote>
  <w:footnote w:id="7">
    <w:p w:rsidR="00000000" w:rsidDel="00000000" w:rsidP="00000000" w:rsidRDefault="00000000" w:rsidRPr="00000000" w14:paraId="0000000E">
      <w:pPr>
        <w:spacing w:line="240" w:lineRule="auto"/>
        <w:rPr>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Pan, L., Sherry, B., Njai, R., &amp; Blanck, H. M. (2012). "Food insecurity is associated with obesity among US adults in 12 states." </w:t>
      </w:r>
      <w:r w:rsidDel="00000000" w:rsidR="00000000" w:rsidRPr="00000000">
        <w:rPr>
          <w:i w:val="1"/>
          <w:sz w:val="20"/>
          <w:szCs w:val="20"/>
          <w:rtl w:val="0"/>
        </w:rPr>
        <w:t xml:space="preserve">Journal of the Academy of Nutrition and Dietetics, 112</w:t>
      </w:r>
      <w:r w:rsidDel="00000000" w:rsidR="00000000" w:rsidRPr="00000000">
        <w:rPr>
          <w:sz w:val="20"/>
          <w:szCs w:val="20"/>
          <w:rtl w:val="0"/>
        </w:rPr>
        <w:t xml:space="preserve">(9), 1403–1409.</w:t>
      </w:r>
      <w:hyperlink r:id="rId3">
        <w:r w:rsidDel="00000000" w:rsidR="00000000" w:rsidRPr="00000000">
          <w:rPr>
            <w:sz w:val="20"/>
            <w:szCs w:val="20"/>
            <w:rtl w:val="0"/>
          </w:rPr>
          <w:t xml:space="preserve"> </w:t>
        </w:r>
      </w:hyperlink>
      <w:hyperlink r:id="rId4">
        <w:r w:rsidDel="00000000" w:rsidR="00000000" w:rsidRPr="00000000">
          <w:rPr>
            <w:color w:val="1155cc"/>
            <w:sz w:val="20"/>
            <w:szCs w:val="20"/>
            <w:u w:val="single"/>
            <w:rtl w:val="0"/>
          </w:rPr>
          <w:t xml:space="preserve">https://doi.org/10.1016/j.jand.2012.06.011</w:t>
        </w:r>
      </w:hyperlink>
      <w:r w:rsidDel="00000000" w:rsidR="00000000" w:rsidRPr="00000000">
        <w:rPr>
          <w:sz w:val="20"/>
          <w:szCs w:val="20"/>
          <w:rtl w:val="0"/>
        </w:rPr>
        <w:t xml:space="preserve">.</w:t>
      </w:r>
      <w:r w:rsidDel="00000000" w:rsidR="00000000" w:rsidRPr="00000000">
        <w:rPr>
          <w:rtl w:val="0"/>
        </w:rPr>
      </w:r>
    </w:p>
  </w:footnote>
  <w:footnote w:id="5">
    <w:p w:rsidR="00000000" w:rsidDel="00000000" w:rsidP="00000000" w:rsidRDefault="00000000" w:rsidRPr="00000000" w14:paraId="0000000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T, Li. (2023). "Household food insecurity in Canada, 2022." </w:t>
      </w:r>
      <w:r w:rsidDel="00000000" w:rsidR="00000000" w:rsidRPr="00000000">
        <w:rPr>
          <w:i w:val="1"/>
          <w:sz w:val="20"/>
          <w:szCs w:val="20"/>
          <w:rtl w:val="0"/>
        </w:rPr>
        <w:t xml:space="preserve">Household food insecurity in Canada, 2022</w:t>
      </w:r>
      <w:r w:rsidDel="00000000" w:rsidR="00000000" w:rsidRPr="00000000">
        <w:rPr>
          <w:sz w:val="20"/>
          <w:szCs w:val="20"/>
          <w:highlight w:val="white"/>
          <w:rtl w:val="0"/>
        </w:rPr>
        <w:t xml:space="preserve">. Retrieved March 5, 2024, from</w:t>
      </w:r>
      <w:hyperlink r:id="rId5">
        <w:r w:rsidDel="00000000" w:rsidR="00000000" w:rsidRPr="00000000">
          <w:rPr>
            <w:sz w:val="20"/>
            <w:szCs w:val="20"/>
            <w:highlight w:val="white"/>
            <w:rtl w:val="0"/>
          </w:rPr>
          <w:t xml:space="preserve"> </w:t>
        </w:r>
      </w:hyperlink>
      <w:hyperlink r:id="rId6">
        <w:r w:rsidDel="00000000" w:rsidR="00000000" w:rsidRPr="00000000">
          <w:rPr>
            <w:color w:val="1155cc"/>
            <w:sz w:val="20"/>
            <w:szCs w:val="20"/>
            <w:u w:val="single"/>
            <w:rtl w:val="0"/>
          </w:rPr>
          <w:t xml:space="preserve">https://proof.utoronto.ca/resource/household-food-insecurity-in-canada-2022/</w:t>
        </w:r>
      </w:hyperlink>
      <w:r w:rsidDel="00000000" w:rsidR="00000000" w:rsidRPr="00000000">
        <w:rPr>
          <w:sz w:val="20"/>
          <w:szCs w:val="20"/>
          <w:highlight w:val="white"/>
          <w:rtl w:val="0"/>
        </w:rPr>
        <w:t xml:space="preserve">.</w:t>
      </w:r>
      <w:r w:rsidDel="00000000" w:rsidR="00000000" w:rsidRPr="00000000">
        <w:rPr>
          <w:rtl w:val="0"/>
        </w:rPr>
      </w:r>
    </w:p>
  </w:footnote>
  <w:footnote w:id="6">
    <w:p w:rsidR="00000000" w:rsidDel="00000000" w:rsidP="00000000" w:rsidRDefault="00000000" w:rsidRPr="00000000" w14:paraId="0000001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highlight w:val="white"/>
          <w:rtl w:val="0"/>
        </w:rPr>
        <w:t xml:space="preserve">Anon. (2009). "World agricultural production, resource use, and productivity, 1961–2020." </w:t>
      </w:r>
      <w:r w:rsidDel="00000000" w:rsidR="00000000" w:rsidRPr="00000000">
        <w:rPr>
          <w:i w:val="1"/>
          <w:sz w:val="20"/>
          <w:szCs w:val="20"/>
          <w:rtl w:val="0"/>
        </w:rPr>
        <w:t xml:space="preserve">USDA ERS - Home</w:t>
      </w:r>
      <w:r w:rsidDel="00000000" w:rsidR="00000000" w:rsidRPr="00000000">
        <w:rPr>
          <w:sz w:val="20"/>
          <w:szCs w:val="20"/>
          <w:highlight w:val="white"/>
          <w:rtl w:val="0"/>
        </w:rPr>
        <w:t xml:space="preserve">. Retrieved March 5, 2024, from</w:t>
      </w:r>
      <w:hyperlink r:id="rId7">
        <w:r w:rsidDel="00000000" w:rsidR="00000000" w:rsidRPr="00000000">
          <w:rPr>
            <w:sz w:val="20"/>
            <w:szCs w:val="20"/>
            <w:highlight w:val="white"/>
            <w:rtl w:val="0"/>
          </w:rPr>
          <w:t xml:space="preserve"> </w:t>
        </w:r>
      </w:hyperlink>
      <w:hyperlink r:id="rId8">
        <w:r w:rsidDel="00000000" w:rsidR="00000000" w:rsidRPr="00000000">
          <w:rPr>
            <w:color w:val="1155cc"/>
            <w:sz w:val="20"/>
            <w:szCs w:val="20"/>
            <w:u w:val="single"/>
            <w:rtl w:val="0"/>
          </w:rPr>
          <w:t xml:space="preserve">https://www.ers.usda.gov/</w:t>
        </w:r>
      </w:hyperlink>
      <w:r w:rsidDel="00000000" w:rsidR="00000000" w:rsidRPr="00000000">
        <w:rPr>
          <w:sz w:val="20"/>
          <w:szCs w:val="20"/>
          <w:highlight w:val="white"/>
          <w:rtl w:val="0"/>
        </w:rPr>
        <w:t xml:space="preserve">.</w:t>
      </w:r>
      <w:r w:rsidDel="00000000" w:rsidR="00000000" w:rsidRPr="00000000">
        <w:rPr>
          <w:rtl w:val="0"/>
        </w:rPr>
      </w:r>
    </w:p>
  </w:footnote>
  <w:footnote w:id="4">
    <w:p w:rsidR="00000000" w:rsidDel="00000000" w:rsidP="00000000" w:rsidRDefault="00000000" w:rsidRPr="00000000" w14:paraId="000000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Reidpath, D. D., Burns, C., Garrard, J., et al. (2002). An ecological study of the relationship between social and environmental determinants of obesity. </w:t>
      </w:r>
      <w:r w:rsidDel="00000000" w:rsidR="00000000" w:rsidRPr="00000000">
        <w:rPr>
          <w:i w:val="1"/>
          <w:sz w:val="20"/>
          <w:szCs w:val="20"/>
          <w:rtl w:val="0"/>
        </w:rPr>
        <w:t xml:space="preserve">Health &amp; Place, 8</w:t>
      </w:r>
      <w:r w:rsidDel="00000000" w:rsidR="00000000" w:rsidRPr="00000000">
        <w:rPr>
          <w:sz w:val="20"/>
          <w:szCs w:val="20"/>
          <w:highlight w:val="white"/>
          <w:rtl w:val="0"/>
        </w:rPr>
        <w:t xml:space="preserve">(2), 141–145.</w:t>
      </w:r>
      <w:hyperlink r:id="rId9">
        <w:r w:rsidDel="00000000" w:rsidR="00000000" w:rsidRPr="00000000">
          <w:rPr>
            <w:sz w:val="20"/>
            <w:szCs w:val="20"/>
            <w:highlight w:val="white"/>
            <w:rtl w:val="0"/>
          </w:rPr>
          <w:t xml:space="preserve"> </w:t>
        </w:r>
      </w:hyperlink>
      <w:hyperlink r:id="rId10">
        <w:r w:rsidDel="00000000" w:rsidR="00000000" w:rsidRPr="00000000">
          <w:rPr>
            <w:color w:val="1155cc"/>
            <w:sz w:val="20"/>
            <w:szCs w:val="20"/>
            <w:u w:val="single"/>
            <w:rtl w:val="0"/>
          </w:rPr>
          <w:t xml:space="preserve">https://doi.org/10.1016/S1353-8292(01)00028-4</w:t>
        </w:r>
      </w:hyperlink>
      <w:r w:rsidDel="00000000" w:rsidR="00000000" w:rsidRPr="00000000">
        <w:rPr>
          <w:rtl w:val="0"/>
        </w:rPr>
      </w:r>
    </w:p>
  </w:footnote>
  <w:footnote w:id="0">
    <w:p w:rsidR="00000000" w:rsidDel="00000000" w:rsidP="00000000" w:rsidRDefault="00000000" w:rsidRPr="00000000" w14:paraId="0000001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McLaren, L. (2007). Socioeconomic status and obesity. </w:t>
      </w:r>
      <w:r w:rsidDel="00000000" w:rsidR="00000000" w:rsidRPr="00000000">
        <w:rPr>
          <w:i w:val="1"/>
          <w:sz w:val="20"/>
          <w:szCs w:val="20"/>
          <w:rtl w:val="0"/>
        </w:rPr>
        <w:t xml:space="preserve">Epidemiologic Reviews, 29</w:t>
      </w:r>
      <w:r w:rsidDel="00000000" w:rsidR="00000000" w:rsidRPr="00000000">
        <w:rPr>
          <w:sz w:val="20"/>
          <w:szCs w:val="20"/>
          <w:rtl w:val="0"/>
        </w:rPr>
        <w:t xml:space="preserve">(1), 29–48.</w:t>
      </w:r>
      <w:hyperlink r:id="rId11">
        <w:r w:rsidDel="00000000" w:rsidR="00000000" w:rsidRPr="00000000">
          <w:rPr>
            <w:sz w:val="20"/>
            <w:szCs w:val="20"/>
            <w:rtl w:val="0"/>
          </w:rPr>
          <w:t xml:space="preserve"> </w:t>
        </w:r>
      </w:hyperlink>
      <w:hyperlink r:id="rId12">
        <w:r w:rsidDel="00000000" w:rsidR="00000000" w:rsidRPr="00000000">
          <w:rPr>
            <w:color w:val="1155cc"/>
            <w:sz w:val="20"/>
            <w:szCs w:val="20"/>
            <w:u w:val="single"/>
            <w:rtl w:val="0"/>
          </w:rPr>
          <w:t xml:space="preserve">https://doi.org/10.1093/epirev/mxm001</w:t>
        </w:r>
      </w:hyperlink>
      <w:r w:rsidDel="00000000" w:rsidR="00000000" w:rsidRPr="00000000">
        <w:rPr>
          <w:rtl w:val="0"/>
        </w:rPr>
      </w:r>
    </w:p>
  </w:footnote>
  <w:footnote w:id="1">
    <w:p w:rsidR="00000000" w:rsidDel="00000000" w:rsidP="00000000" w:rsidRDefault="00000000" w:rsidRPr="00000000" w14:paraId="000000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Sobal, J., &amp; Stunkard, A. J. (1989). Socioeconomic status and obesity: A review of the literature. </w:t>
      </w:r>
      <w:r w:rsidDel="00000000" w:rsidR="00000000" w:rsidRPr="00000000">
        <w:rPr>
          <w:i w:val="1"/>
          <w:sz w:val="20"/>
          <w:szCs w:val="20"/>
          <w:rtl w:val="0"/>
        </w:rPr>
        <w:t xml:space="preserve">Psychological Bulletin, 105</w:t>
      </w:r>
      <w:r w:rsidDel="00000000" w:rsidR="00000000" w:rsidRPr="00000000">
        <w:rPr>
          <w:sz w:val="20"/>
          <w:szCs w:val="20"/>
          <w:rtl w:val="0"/>
        </w:rPr>
        <w:t xml:space="preserve">(2), 260–275.</w:t>
      </w:r>
      <w:hyperlink r:id="rId13">
        <w:r w:rsidDel="00000000" w:rsidR="00000000" w:rsidRPr="00000000">
          <w:rPr>
            <w:sz w:val="20"/>
            <w:szCs w:val="20"/>
            <w:rtl w:val="0"/>
          </w:rPr>
          <w:t xml:space="preserve"> </w:t>
        </w:r>
      </w:hyperlink>
      <w:hyperlink r:id="rId14">
        <w:r w:rsidDel="00000000" w:rsidR="00000000" w:rsidRPr="00000000">
          <w:rPr>
            <w:color w:val="1155cc"/>
            <w:sz w:val="20"/>
            <w:szCs w:val="20"/>
            <w:u w:val="single"/>
            <w:rtl w:val="0"/>
          </w:rPr>
          <w:t xml:space="preserve">https://doi.org/10.1037/0033-2909.105.2.260</w:t>
        </w:r>
      </w:hyperlink>
      <w:r w:rsidDel="00000000" w:rsidR="00000000" w:rsidRPr="00000000">
        <w:rPr>
          <w:rtl w:val="0"/>
        </w:rPr>
      </w:r>
    </w:p>
  </w:footnote>
  <w:footnote w:id="2">
    <w:p w:rsidR="00000000" w:rsidDel="00000000" w:rsidP="00000000" w:rsidRDefault="00000000" w:rsidRPr="00000000" w14:paraId="000000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Marmot, M. (2002). The influence of income on health: Views of an epidemiologist. </w:t>
      </w:r>
      <w:r w:rsidDel="00000000" w:rsidR="00000000" w:rsidRPr="00000000">
        <w:rPr>
          <w:i w:val="1"/>
          <w:sz w:val="20"/>
          <w:szCs w:val="20"/>
          <w:rtl w:val="0"/>
        </w:rPr>
        <w:t xml:space="preserve">Health Affairs, 21</w:t>
      </w:r>
      <w:r w:rsidDel="00000000" w:rsidR="00000000" w:rsidRPr="00000000">
        <w:rPr>
          <w:sz w:val="20"/>
          <w:szCs w:val="20"/>
          <w:rtl w:val="0"/>
        </w:rPr>
        <w:t xml:space="preserve">(2), 31–46.</w:t>
      </w:r>
      <w:hyperlink r:id="rId15">
        <w:r w:rsidDel="00000000" w:rsidR="00000000" w:rsidRPr="00000000">
          <w:rPr>
            <w:sz w:val="20"/>
            <w:szCs w:val="20"/>
            <w:rtl w:val="0"/>
          </w:rPr>
          <w:t xml:space="preserve"> </w:t>
        </w:r>
      </w:hyperlink>
      <w:hyperlink r:id="rId16">
        <w:r w:rsidDel="00000000" w:rsidR="00000000" w:rsidRPr="00000000">
          <w:rPr>
            <w:color w:val="1155cc"/>
            <w:sz w:val="20"/>
            <w:szCs w:val="20"/>
            <w:u w:val="single"/>
            <w:rtl w:val="0"/>
          </w:rPr>
          <w:t xml:space="preserve">https://doi.org/10.1377/hlthaff.21.2.31</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otnotes.xml.rels><?xml version="1.0" encoding="UTF-8" standalone="yes"?><Relationships xmlns="http://schemas.openxmlformats.org/package/2006/relationships"><Relationship Id="rId11" Type="http://schemas.openxmlformats.org/officeDocument/2006/relationships/hyperlink" Target="https://doi.org/10.1093/epirev/mxm001" TargetMode="External"/><Relationship Id="rId10" Type="http://schemas.openxmlformats.org/officeDocument/2006/relationships/hyperlink" Target="https://doi.org/10.1016/S1353-8292(01)00028-4" TargetMode="External"/><Relationship Id="rId13" Type="http://schemas.openxmlformats.org/officeDocument/2006/relationships/hyperlink" Target="https://doi.org/10.1037/0033-2909.105.2.260" TargetMode="External"/><Relationship Id="rId12" Type="http://schemas.openxmlformats.org/officeDocument/2006/relationships/hyperlink" Target="https://doi.org/10.1093/epirev/mxm001" TargetMode="External"/><Relationship Id="rId1" Type="http://schemas.openxmlformats.org/officeDocument/2006/relationships/hyperlink" Target="https://doi.org/10.1377/hlthaff.21.2.31" TargetMode="External"/><Relationship Id="rId2" Type="http://schemas.openxmlformats.org/officeDocument/2006/relationships/hyperlink" Target="https://doi.org/10.1377/hlthaff.21.2.31" TargetMode="External"/><Relationship Id="rId3" Type="http://schemas.openxmlformats.org/officeDocument/2006/relationships/hyperlink" Target="https://doi.org/10.1016/j.jand.2012.06.011" TargetMode="External"/><Relationship Id="rId4" Type="http://schemas.openxmlformats.org/officeDocument/2006/relationships/hyperlink" Target="https://doi.org/10.1016/j.jand.2012.06.011" TargetMode="External"/><Relationship Id="rId9" Type="http://schemas.openxmlformats.org/officeDocument/2006/relationships/hyperlink" Target="https://doi.org/10.1016/S1353-8292(01)00028-4" TargetMode="External"/><Relationship Id="rId15" Type="http://schemas.openxmlformats.org/officeDocument/2006/relationships/hyperlink" Target="https://doi.org/10.1377/hlthaff.21.2.31" TargetMode="External"/><Relationship Id="rId14" Type="http://schemas.openxmlformats.org/officeDocument/2006/relationships/hyperlink" Target="https://doi.org/10.1037/0033-2909.105.2.260" TargetMode="External"/><Relationship Id="rId16" Type="http://schemas.openxmlformats.org/officeDocument/2006/relationships/hyperlink" Target="https://doi.org/10.1377/hlthaff.21.2.31" TargetMode="External"/><Relationship Id="rId5" Type="http://schemas.openxmlformats.org/officeDocument/2006/relationships/hyperlink" Target="https://proof.utoronto.ca/resource/household-food-insecurity-in-canada-2022/" TargetMode="External"/><Relationship Id="rId6" Type="http://schemas.openxmlformats.org/officeDocument/2006/relationships/hyperlink" Target="https://proof.utoronto.ca/resource/household-food-insecurity-in-canada-2022/" TargetMode="External"/><Relationship Id="rId7" Type="http://schemas.openxmlformats.org/officeDocument/2006/relationships/hyperlink" Target="https://www.ers.usda.gov/" TargetMode="External"/><Relationship Id="rId8" Type="http://schemas.openxmlformats.org/officeDocument/2006/relationships/hyperlink" Target="https://www.er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