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Agentic Sales Orchestrator - Pending Commercial Action Programmatic Extension</w:t>
      </w:r>
    </w:p>
    <w:p>
      <w:pPr>
        <w:jc w:val="center"/>
      </w:pPr>
      <w:r>
        <w:rPr>
          <w:rFonts w:ascii="Arial" w:hAnsi="Arial"/>
          <w:sz w:val="24"/>
        </w:rPr>
        <w:t>Customer-ready runbook with true line-by-line script explanation</w:t>
      </w:r>
    </w:p>
    <w:p/>
    <w:p>
      <w:pPr>
        <w:pStyle w:val="Heading1"/>
      </w:pPr>
      <w:r>
        <w:t>Agentic Sales Orchestrator - Pending Commercial Action Programmatic Extension Runbook</w:t>
      </w:r>
    </w:p>
    <w:p>
      <w:r>
        <w:rPr>
          <w:rFonts w:ascii="Arial" w:hAnsi="Arial"/>
          <w:sz w:val="18"/>
        </w:rPr>
        <w:t>Customer-ready implementation guide with line-by-line script explanation</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Item</w:t>
            </w:r>
          </w:p>
        </w:tc>
        <w:tc>
          <w:tcPr>
            <w:tcW w:type="dxa" w:w="7769"/>
            <w:shd w:fill="D9EAF7"/>
          </w:tcPr>
          <w:p>
            <w:r/>
            <w:r>
              <w:rPr>
                <w:rFonts w:ascii="Arial" w:hAnsi="Arial"/>
                <w:b/>
                <w:sz w:val="14"/>
              </w:rPr>
              <w:t>Value</w:t>
            </w:r>
          </w:p>
        </w:tc>
      </w:tr>
      <w:tr>
        <w:tc>
          <w:tcPr>
            <w:tcW w:type="dxa" w:w="7769"/>
            <w:vAlign w:val="top"/>
          </w:tcPr>
          <w:p>
            <w:r/>
            <w:r>
              <w:rPr>
                <w:rFonts w:ascii="Arial" w:hAnsi="Arial"/>
                <w:b w:val="0"/>
                <w:sz w:val="14"/>
              </w:rPr>
              <w:t>Environment</w:t>
            </w:r>
          </w:p>
        </w:tc>
        <w:tc>
          <w:tcPr>
            <w:tcW w:type="dxa" w:w="7769"/>
            <w:vAlign w:val="top"/>
          </w:tcPr>
          <w:p>
            <w:r/>
            <w:r>
              <w:rPr>
                <w:rFonts w:ascii="Arial" w:hAnsi="Arial"/>
                <w:b w:val="0"/>
                <w:sz w:val="14"/>
              </w:rPr>
              <w:t>Phoenicarix-CI</w:t>
            </w:r>
          </w:p>
        </w:tc>
      </w:tr>
      <w:tr>
        <w:tc>
          <w:tcPr>
            <w:tcW w:type="dxa" w:w="7769"/>
            <w:vAlign w:val="top"/>
          </w:tcPr>
          <w:p>
            <w:r/>
            <w:r>
              <w:rPr>
                <w:rFonts w:ascii="Arial" w:hAnsi="Arial"/>
                <w:b w:val="0"/>
                <w:sz w:val="14"/>
              </w:rPr>
              <w:t>Dataverse URL</w:t>
            </w:r>
          </w:p>
        </w:tc>
        <w:tc>
          <w:tcPr>
            <w:tcW w:type="dxa" w:w="7769"/>
            <w:vAlign w:val="top"/>
          </w:tcPr>
          <w:p>
            <w:r/>
            <w:r>
              <w:rPr>
                <w:rFonts w:ascii="Arial" w:hAnsi="Arial"/>
                <w:b w:val="0"/>
                <w:sz w:val="14"/>
              </w:rPr>
              <w:t>https://phoenicarix-ci.crm4.dynamics.com</w:t>
            </w:r>
          </w:p>
        </w:tc>
      </w:tr>
      <w:tr>
        <w:tc>
          <w:tcPr>
            <w:tcW w:type="dxa" w:w="7769"/>
            <w:vAlign w:val="top"/>
          </w:tcPr>
          <w:p>
            <w:r/>
            <w:r>
              <w:rPr>
                <w:rFonts w:ascii="Arial" w:hAnsi="Arial"/>
                <w:b w:val="0"/>
                <w:sz w:val="14"/>
              </w:rPr>
              <w:t>Solution</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Solution unique name</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Custom table</w:t>
            </w:r>
          </w:p>
        </w:tc>
        <w:tc>
          <w:tcPr>
            <w:tcW w:type="dxa" w:w="7769"/>
            <w:vAlign w:val="top"/>
          </w:tcPr>
          <w:p>
            <w:r/>
            <w:r>
              <w:rPr>
                <w:rFonts w:ascii="Arial" w:hAnsi="Arial"/>
                <w:b w:val="0"/>
                <w:sz w:val="14"/>
              </w:rPr>
              <w:t>Pending Commercial Action</w:t>
            </w:r>
          </w:p>
        </w:tc>
      </w:tr>
      <w:tr>
        <w:tc>
          <w:tcPr>
            <w:tcW w:type="dxa" w:w="7769"/>
            <w:vAlign w:val="top"/>
          </w:tcPr>
          <w:p>
            <w:r/>
            <w:r>
              <w:rPr>
                <w:rFonts w:ascii="Arial" w:hAnsi="Arial"/>
                <w:b w:val="0"/>
                <w:sz w:val="14"/>
              </w:rPr>
              <w:t>Table logical name</w:t>
            </w:r>
          </w:p>
        </w:tc>
        <w:tc>
          <w:tcPr>
            <w:tcW w:type="dxa" w:w="7769"/>
            <w:vAlign w:val="top"/>
          </w:tcPr>
          <w:p>
            <w:r/>
            <w:r>
              <w:rPr>
                <w:rFonts w:ascii="Arial" w:hAnsi="Arial"/>
                <w:b w:val="0"/>
                <w:sz w:val="14"/>
              </w:rPr>
              <w:t>aso_pendingcommercialaction</w:t>
            </w:r>
          </w:p>
        </w:tc>
      </w:tr>
      <w:tr>
        <w:tc>
          <w:tcPr>
            <w:tcW w:type="dxa" w:w="7769"/>
            <w:vAlign w:val="top"/>
          </w:tcPr>
          <w:p>
            <w:r/>
            <w:r>
              <w:rPr>
                <w:rFonts w:ascii="Arial" w:hAnsi="Arial"/>
                <w:b w:val="0"/>
                <w:sz w:val="14"/>
              </w:rPr>
              <w:t>Script purpose</w:t>
            </w:r>
          </w:p>
        </w:tc>
        <w:tc>
          <w:tcPr>
            <w:tcW w:type="dxa" w:w="7769"/>
            <w:vAlign w:val="top"/>
          </w:tcPr>
          <w:p>
            <w:r/>
            <w:r>
              <w:rPr>
                <w:rFonts w:ascii="Arial" w:hAnsi="Arial"/>
                <w:b w:val="0"/>
                <w:sz w:val="14"/>
              </w:rPr>
              <w:t>Create the table, create business columns, attempt the Opportunity lookup relationship, publish customizations</w:t>
            </w:r>
          </w:p>
        </w:tc>
      </w:tr>
      <w:tr>
        <w:tc>
          <w:tcPr>
            <w:tcW w:type="dxa" w:w="7769"/>
            <w:vAlign w:val="top"/>
          </w:tcPr>
          <w:p>
            <w:r/>
            <w:r>
              <w:rPr>
                <w:rFonts w:ascii="Arial" w:hAnsi="Arial"/>
                <w:b w:val="0"/>
                <w:sz w:val="14"/>
              </w:rPr>
              <w:t>Version</w:t>
            </w:r>
          </w:p>
        </w:tc>
        <w:tc>
          <w:tcPr>
            <w:tcW w:type="dxa" w:w="7769"/>
            <w:vAlign w:val="top"/>
          </w:tcPr>
          <w:p>
            <w:r/>
            <w:r>
              <w:rPr>
                <w:rFonts w:ascii="Arial" w:hAnsi="Arial"/>
                <w:b w:val="0"/>
                <w:sz w:val="14"/>
              </w:rPr>
              <w:t>v1.0</w:t>
            </w:r>
          </w:p>
        </w:tc>
      </w:tr>
      <w:tr>
        <w:tc>
          <w:tcPr>
            <w:tcW w:type="dxa" w:w="7769"/>
            <w:vAlign w:val="top"/>
          </w:tcPr>
          <w:p>
            <w:r/>
            <w:r>
              <w:rPr>
                <w:rFonts w:ascii="Arial" w:hAnsi="Arial"/>
                <w:b w:val="0"/>
                <w:sz w:val="14"/>
              </w:rPr>
              <w:t>Date</w:t>
            </w:r>
          </w:p>
        </w:tc>
        <w:tc>
          <w:tcPr>
            <w:tcW w:type="dxa" w:w="7769"/>
            <w:vAlign w:val="top"/>
          </w:tcPr>
          <w:p>
            <w:r/>
            <w:r>
              <w:rPr>
                <w:rFonts w:ascii="Arial" w:hAnsi="Arial"/>
                <w:b w:val="0"/>
                <w:sz w:val="14"/>
              </w:rPr>
              <w:t>2026-05-24</w:t>
            </w:r>
          </w:p>
        </w:tc>
      </w:tr>
    </w:tbl>
    <w:p/>
    <w:p>
      <w:pPr>
        <w:pStyle w:val="Heading2"/>
      </w:pPr>
      <w:r>
        <w:t>Executive summary</w:t>
      </w:r>
    </w:p>
    <w:p>
      <w:r>
        <w:rPr>
          <w:rFonts w:ascii="Arial" w:hAnsi="Arial"/>
          <w:sz w:val="18"/>
        </w:rPr>
        <w:t>We created the Pending Commercial Action custom Dataverse table programmatically in the Phoenicarix-CI environment and inside the ASO.Core solution. This table stages sensitive commercial actions before they are submitted to SAP or treated as commercially final. In plain language: it is a controlled waiting room where an order-related or pricing-related action can be prepared, reviewed, approved, submitted, and audited.</w:t>
      </w:r>
    </w:p>
    <w:p>
      <w:r>
        <w:rPr>
          <w:rFonts w:ascii="Arial" w:hAnsi="Arial"/>
          <w:sz w:val="18"/>
        </w:rPr>
        <w:t>The first script successfully created the table and the main fields. It also attempted to create the missing Opportunity lookup relationship. That lookup attempt failed because the script used language code 1033, while the organization rejected that language for the relationship label operation. The fix was handled with a second focused script documented separately.</w:t>
      </w:r>
    </w:p>
    <w:p>
      <w:pPr>
        <w:pStyle w:val="Heading2"/>
      </w:pPr>
      <w:r>
        <w:t>Business objective</w:t>
      </w:r>
    </w:p>
    <w:p>
      <w:r>
        <w:rPr>
          <w:rFonts w:ascii="Arial" w:hAnsi="Arial"/>
          <w:sz w:val="18"/>
        </w:rPr>
        <w:t>The business objective was to protect the commercial/SAP boundary. Agentic Sales Orchestrator should not let AI, automation, or a seller workflow submit commercial actions directly to SAP without a controlled staging and approval pattern. The table therefore gives the project a structured place to store proposed commercial actions such as CreateOrder, UpdateCommercialReference, and ReviewPricingContext.</w:t>
      </w:r>
    </w:p>
    <w:p>
      <w:pPr>
        <w:pStyle w:val="Heading2"/>
      </w:pPr>
      <w:r>
        <w:t>Technical objective</w:t>
      </w:r>
    </w:p>
    <w:p>
      <w:r>
        <w:rPr>
          <w:rFonts w:ascii="Arial" w:hAnsi="Arial"/>
          <w:sz w:val="18"/>
        </w:rPr>
        <w:t>The technical objective was to create the custom Dataverse table aso_pendingcommercialaction and its columns in a repeatable, solution-aware way using a .NET 8 console script and the Dataverse SDK. The script targeted ASOCore so the created components belong to the correct unmanaged solution layer.</w:t>
      </w:r>
    </w:p>
    <w:p>
      <w:pPr>
        <w:pStyle w:val="Heading2"/>
      </w:pPr>
      <w:r>
        <w:t>Scope</w:t>
      </w:r>
    </w:p>
    <w:p>
      <w:r>
        <w:rPr>
          <w:rFonts w:ascii="Arial" w:hAnsi="Arial"/>
          <w:sz w:val="18"/>
        </w:rPr>
        <w:t>In scope:</w:t>
      </w:r>
    </w:p>
    <w:p>
      <w:pPr>
        <w:pStyle w:val="ListBullet"/>
      </w:pPr>
      <w:r>
        <w:rPr>
          <w:rFonts w:ascii="Arial" w:hAnsi="Arial"/>
          <w:sz w:val="18"/>
        </w:rPr>
        <w:t>Create custom table `aso_pendingcommercialaction`.</w:t>
      </w:r>
    </w:p>
    <w:p>
      <w:pPr>
        <w:pStyle w:val="ListBullet"/>
      </w:pPr>
      <w:r>
        <w:rPr>
          <w:rFonts w:ascii="Arial" w:hAnsi="Arial"/>
          <w:sz w:val="18"/>
        </w:rPr>
        <w:t>Create primary name column `aso_name`.</w:t>
      </w:r>
    </w:p>
    <w:p>
      <w:pPr>
        <w:pStyle w:val="ListBullet"/>
      </w:pPr>
      <w:r>
        <w:rPr>
          <w:rFonts w:ascii="Arial" w:hAnsi="Arial"/>
          <w:sz w:val="18"/>
        </w:rPr>
        <w:t>Create table as user-owned.</w:t>
      </w:r>
    </w:p>
    <w:p>
      <w:pPr>
        <w:pStyle w:val="ListBullet"/>
      </w:pPr>
      <w:r>
        <w:rPr>
          <w:rFonts w:ascii="Arial" w:hAnsi="Arial"/>
          <w:sz w:val="18"/>
        </w:rPr>
        <w:t>Create Action Type, Payload, Status, SAP Document ID, Error Message, Approval ID, Idempotency Key, and Submitted On columns.</w:t>
      </w:r>
    </w:p>
    <w:p>
      <w:pPr>
        <w:pStyle w:val="ListBullet"/>
      </w:pPr>
      <w:r>
        <w:rPr>
          <w:rFonts w:ascii="Arial" w:hAnsi="Arial"/>
          <w:sz w:val="18"/>
        </w:rPr>
        <w:t>Attempt to create Opportunity lookup `aso_opportunityid`.</w:t>
      </w:r>
    </w:p>
    <w:p>
      <w:pPr>
        <w:pStyle w:val="ListBullet"/>
      </w:pPr>
      <w:r>
        <w:rPr>
          <w:rFonts w:ascii="Arial" w:hAnsi="Arial"/>
          <w:sz w:val="18"/>
        </w:rPr>
        <w:t>Publish Pending Commercial Action and Opportunity metadata.</w:t>
      </w:r>
    </w:p>
    <w:p>
      <w:pPr>
        <w:pStyle w:val="ListBullet"/>
      </w:pPr>
      <w:r>
        <w:rPr>
          <w:rFonts w:ascii="Arial" w:hAnsi="Arial"/>
          <w:sz w:val="18"/>
        </w:rPr>
        <w:t>Validate results in Power Apps.</w:t>
      </w:r>
    </w:p>
    <w:p>
      <w:r>
        <w:rPr>
          <w:rFonts w:ascii="Arial" w:hAnsi="Arial"/>
          <w:sz w:val="18"/>
        </w:rPr>
        <w:t>Out of scope:</w:t>
      </w:r>
    </w:p>
    <w:p>
      <w:pPr>
        <w:pStyle w:val="ListBullet"/>
      </w:pPr>
      <w:r>
        <w:rPr>
          <w:rFonts w:ascii="Arial" w:hAnsi="Arial"/>
          <w:sz w:val="18"/>
        </w:rPr>
        <w:t>No SAP API call.</w:t>
      </w:r>
    </w:p>
    <w:p>
      <w:pPr>
        <w:pStyle w:val="ListBullet"/>
      </w:pPr>
      <w:r>
        <w:rPr>
          <w:rFonts w:ascii="Arial" w:hAnsi="Arial"/>
          <w:sz w:val="18"/>
        </w:rPr>
        <w:t>No Power Automate approval flow.</w:t>
      </w:r>
    </w:p>
    <w:p>
      <w:pPr>
        <w:pStyle w:val="ListBullet"/>
      </w:pPr>
      <w:r>
        <w:rPr>
          <w:rFonts w:ascii="Arial" w:hAnsi="Arial"/>
          <w:sz w:val="18"/>
        </w:rPr>
        <w:t>No Customer Insights journey.</w:t>
      </w:r>
    </w:p>
    <w:p>
      <w:pPr>
        <w:pStyle w:val="ListBullet"/>
      </w:pPr>
      <w:r>
        <w:rPr>
          <w:rFonts w:ascii="Arial" w:hAnsi="Arial"/>
          <w:sz w:val="18"/>
        </w:rPr>
        <w:t>No Foundry orchestration call.</w:t>
      </w:r>
    </w:p>
    <w:p>
      <w:pPr>
        <w:pStyle w:val="ListBullet"/>
      </w:pPr>
      <w:r>
        <w:rPr>
          <w:rFonts w:ascii="Arial" w:hAnsi="Arial"/>
          <w:sz w:val="18"/>
        </w:rPr>
        <w:t>No form customization beyond validating columns and relationship.</w:t>
      </w:r>
    </w:p>
    <w:p>
      <w:pPr>
        <w:pStyle w:val="ListBullet"/>
      </w:pPr>
      <w:r>
        <w:rPr>
          <w:rFonts w:ascii="Arial" w:hAnsi="Arial"/>
          <w:sz w:val="18"/>
        </w:rPr>
        <w:t>No real commercial submission.</w:t>
      </w:r>
    </w:p>
    <w:p>
      <w:pPr>
        <w:pStyle w:val="Heading2"/>
      </w:pPr>
      <w:r>
        <w:t>Architecture/context</w:t>
      </w:r>
    </w:p>
    <w:p>
      <w:r>
        <w:rPr>
          <w:rFonts w:ascii="Arial" w:hAnsi="Arial"/>
          <w:sz w:val="18"/>
        </w:rPr>
        <w:t>The table sits between Dynamics 365 Sales/Opportunity logic and the future governed SAP integration layer. It is not an integration itself. It is a staging table that future deterministic automation can use before calling APIM/Azure Functions/SAP.</w:t>
      </w:r>
    </w:p>
    <w:p>
      <w:pPr>
        <w:pStyle w:val="NoSpacing"/>
      </w:pPr>
      <w:r>
        <w:rPr>
          <w:rFonts w:ascii="Courier New" w:hAnsi="Courier New"/>
          <w:sz w:val="12"/>
        </w:rPr>
        <w:t>Opportunity</w:t>
      </w:r>
    </w:p>
    <w:p>
      <w:pPr>
        <w:pStyle w:val="NoSpacing"/>
      </w:pPr>
      <w:r>
        <w:rPr>
          <w:rFonts w:ascii="Courier New" w:hAnsi="Courier New"/>
          <w:sz w:val="12"/>
        </w:rPr>
        <w:t xml:space="preserve">  -&gt; Pending Commercial Action</w:t>
      </w:r>
    </w:p>
    <w:p>
      <w:pPr>
        <w:pStyle w:val="NoSpacing"/>
      </w:pPr>
      <w:r>
        <w:rPr>
          <w:rFonts w:ascii="Courier New" w:hAnsi="Courier New"/>
          <w:sz w:val="12"/>
        </w:rPr>
        <w:t xml:space="preserve">      -&gt; Approval / review</w:t>
      </w:r>
    </w:p>
    <w:p>
      <w:pPr>
        <w:pStyle w:val="NoSpacing"/>
      </w:pPr>
      <w:r>
        <w:rPr>
          <w:rFonts w:ascii="Courier New" w:hAnsi="Courier New"/>
          <w:sz w:val="12"/>
        </w:rPr>
        <w:t xml:space="preserve">          -&gt; Governed SAP submit through APIM + Azure Functions</w:t>
      </w:r>
    </w:p>
    <w:p>
      <w:pPr>
        <w:pStyle w:val="NoSpacing"/>
      </w:pPr>
      <w:r>
        <w:rPr>
          <w:rFonts w:ascii="Courier New" w:hAnsi="Courier New"/>
          <w:sz w:val="12"/>
        </w:rPr>
        <w:t xml:space="preserve">              -&gt; SAP document/reference writeback</w:t>
      </w:r>
    </w:p>
    <w:p>
      <w:pPr>
        <w:pStyle w:val="Heading2"/>
      </w:pPr>
      <w:r>
        <w:t>Why we used a programmatic approach instead of only the UI</w:t>
      </w:r>
    </w:p>
    <w:p>
      <w:r>
        <w:rPr>
          <w:rFonts w:ascii="Arial" w:hAnsi="Arial"/>
          <w:sz w:val="18"/>
        </w:rPr>
        <w:t>Manual UI creation is possible, but this table includes multiple fields, choice values, metadata descriptions, solution-layering requirements, and a relationship to Opportunity. A script is faster, repeatable, auditable, and safer after validation. It also creates a reusable implementation pattern for the remaining custom ASO operational tables.</w:t>
      </w:r>
    </w:p>
    <w:p>
      <w:pPr>
        <w:pStyle w:val="Heading2"/>
      </w:pPr>
      <w:r>
        <w:t>Environment and solution context</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Area</w:t>
            </w:r>
          </w:p>
        </w:tc>
        <w:tc>
          <w:tcPr>
            <w:tcW w:type="dxa" w:w="7769"/>
            <w:shd w:fill="D9EAF7"/>
          </w:tcPr>
          <w:p>
            <w:r/>
            <w:r>
              <w:rPr>
                <w:rFonts w:ascii="Arial" w:hAnsi="Arial"/>
                <w:b/>
                <w:sz w:val="14"/>
              </w:rPr>
              <w:t>Value</w:t>
            </w:r>
          </w:p>
        </w:tc>
      </w:tr>
      <w:tr>
        <w:tc>
          <w:tcPr>
            <w:tcW w:type="dxa" w:w="7769"/>
            <w:vAlign w:val="top"/>
          </w:tcPr>
          <w:p>
            <w:r/>
            <w:r>
              <w:rPr>
                <w:rFonts w:ascii="Arial" w:hAnsi="Arial"/>
                <w:b w:val="0"/>
                <w:sz w:val="14"/>
              </w:rPr>
              <w:t>Environment</w:t>
            </w:r>
          </w:p>
        </w:tc>
        <w:tc>
          <w:tcPr>
            <w:tcW w:type="dxa" w:w="7769"/>
            <w:vAlign w:val="top"/>
          </w:tcPr>
          <w:p>
            <w:r/>
            <w:r>
              <w:rPr>
                <w:rFonts w:ascii="Arial" w:hAnsi="Arial"/>
                <w:b w:val="0"/>
                <w:sz w:val="14"/>
              </w:rPr>
              <w:t>Phoenicarix-CI</w:t>
            </w:r>
          </w:p>
        </w:tc>
      </w:tr>
      <w:tr>
        <w:tc>
          <w:tcPr>
            <w:tcW w:type="dxa" w:w="7769"/>
            <w:vAlign w:val="top"/>
          </w:tcPr>
          <w:p>
            <w:r/>
            <w:r>
              <w:rPr>
                <w:rFonts w:ascii="Arial" w:hAnsi="Arial"/>
                <w:b w:val="0"/>
                <w:sz w:val="14"/>
              </w:rPr>
              <w:t>URL</w:t>
            </w:r>
          </w:p>
        </w:tc>
        <w:tc>
          <w:tcPr>
            <w:tcW w:type="dxa" w:w="7769"/>
            <w:vAlign w:val="top"/>
          </w:tcPr>
          <w:p>
            <w:r/>
            <w:r>
              <w:rPr>
                <w:rFonts w:ascii="Arial" w:hAnsi="Arial"/>
                <w:b w:val="0"/>
                <w:sz w:val="14"/>
              </w:rPr>
              <w:t>https://phoenicarix-ci.crm4.dynamics.com</w:t>
            </w:r>
          </w:p>
        </w:tc>
      </w:tr>
      <w:tr>
        <w:tc>
          <w:tcPr>
            <w:tcW w:type="dxa" w:w="7769"/>
            <w:vAlign w:val="top"/>
          </w:tcPr>
          <w:p>
            <w:r/>
            <w:r>
              <w:rPr>
                <w:rFonts w:ascii="Arial" w:hAnsi="Arial"/>
                <w:b w:val="0"/>
                <w:sz w:val="14"/>
              </w:rPr>
              <w:t>Solution display name</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Solution unique name</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Publisher prefix</w:t>
            </w:r>
          </w:p>
        </w:tc>
        <w:tc>
          <w:tcPr>
            <w:tcW w:type="dxa" w:w="7769"/>
            <w:vAlign w:val="top"/>
          </w:tcPr>
          <w:p>
            <w:r/>
            <w:r>
              <w:rPr>
                <w:rFonts w:ascii="Arial" w:hAnsi="Arial"/>
                <w:b w:val="0"/>
                <w:sz w:val="14"/>
              </w:rPr>
              <w:t>aso</w:t>
            </w:r>
          </w:p>
        </w:tc>
      </w:tr>
      <w:tr>
        <w:tc>
          <w:tcPr>
            <w:tcW w:type="dxa" w:w="7769"/>
            <w:vAlign w:val="top"/>
          </w:tcPr>
          <w:p>
            <w:r/>
            <w:r>
              <w:rPr>
                <w:rFonts w:ascii="Arial" w:hAnsi="Arial"/>
                <w:b w:val="0"/>
                <w:sz w:val="14"/>
              </w:rPr>
              <w:t>Local script folder</w:t>
            </w:r>
          </w:p>
        </w:tc>
        <w:tc>
          <w:tcPr>
            <w:tcW w:type="dxa" w:w="7769"/>
            <w:vAlign w:val="top"/>
          </w:tcPr>
          <w:p>
            <w:r/>
            <w:r>
              <w:rPr>
                <w:rFonts w:ascii="Arial" w:hAnsi="Arial"/>
                <w:b w:val="0"/>
                <w:sz w:val="14"/>
              </w:rPr>
              <w:t>~/aso-dataverse-tools/pending-commercial-action</w:t>
            </w:r>
          </w:p>
        </w:tc>
      </w:tr>
    </w:tbl>
    <w:p/>
    <w:p>
      <w:pPr>
        <w:pStyle w:val="Heading2"/>
      </w:pPr>
      <w:r>
        <w:t>Prerequisites</w:t>
      </w:r>
    </w:p>
    <w:p>
      <w:pPr>
        <w:pStyle w:val="ListBullet"/>
      </w:pPr>
      <w:r>
        <w:rPr>
          <w:rFonts w:ascii="Arial" w:hAnsi="Arial"/>
          <w:sz w:val="18"/>
        </w:rPr>
        <w:t>.NET 8 installed on the Mac.</w:t>
      </w:r>
    </w:p>
    <w:p>
      <w:pPr>
        <w:pStyle w:val="ListBullet"/>
      </w:pPr>
      <w:r>
        <w:rPr>
          <w:rFonts w:ascii="Arial" w:hAnsi="Arial"/>
          <w:sz w:val="18"/>
        </w:rPr>
        <w:t>Dataverse SDK package `Microsoft.PowerPlatform.Dataverse.Client` added to the project.</w:t>
      </w:r>
    </w:p>
    <w:p>
      <w:pPr>
        <w:pStyle w:val="ListBullet"/>
      </w:pPr>
      <w:r>
        <w:rPr>
          <w:rFonts w:ascii="Arial" w:hAnsi="Arial"/>
          <w:sz w:val="18"/>
        </w:rPr>
        <w:t>Maker/admin account can authenticate to Phoenicarix-CI.</w:t>
      </w:r>
    </w:p>
    <w:p>
      <w:pPr>
        <w:pStyle w:val="ListBullet"/>
      </w:pPr>
      <w:r>
        <w:rPr>
          <w:rFonts w:ascii="Arial" w:hAnsi="Arial"/>
          <w:sz w:val="18"/>
        </w:rPr>
        <w:t>User has privileges to create tables, columns, and relationships. Usually System Administrator or System Customizer is required in the trial/MVP environment.</w:t>
      </w:r>
    </w:p>
    <w:p>
      <w:pPr>
        <w:pStyle w:val="ListBullet"/>
      </w:pPr>
      <w:r>
        <w:rPr>
          <w:rFonts w:ascii="Arial" w:hAnsi="Arial"/>
          <w:sz w:val="18"/>
        </w:rPr>
        <w:t>`ASO.Core` exists and has unique name `ASOCore`.</w:t>
      </w:r>
    </w:p>
    <w:p>
      <w:pPr>
        <w:pStyle w:val="ListBullet"/>
      </w:pPr>
      <w:r>
        <w:rPr>
          <w:rFonts w:ascii="Arial" w:hAnsi="Arial"/>
          <w:sz w:val="18"/>
        </w:rPr>
        <w:t>Managed and unmanaged backups of ASO.Core exist before schema changes.</w:t>
      </w:r>
    </w:p>
    <w:p>
      <w:pPr>
        <w:pStyle w:val="Heading2"/>
      </w:pPr>
      <w:r>
        <w:t>Why managed and unmanaged backups matter</w:t>
      </w:r>
    </w:p>
    <w:p>
      <w:r>
        <w:rPr>
          <w:rFonts w:ascii="Arial" w:hAnsi="Arial"/>
          <w:sz w:val="18"/>
        </w:rPr>
        <w:t>Before schema changes, we exported both unmanaged and managed ASO.Core packages. The unmanaged backup is useful for maker/developer recovery and inspection. The managed backup is useful to prove an exportable delivery package exists and to test downstream deployment behavior. Schema changes are not always simple to reverse, especially after dependencies, data, or relationships exist; backups give the team a recovery checkpoint.</w:t>
      </w:r>
    </w:p>
    <w:p>
      <w:r>
        <w:rPr>
          <w:rFonts w:ascii="Arial" w:hAnsi="Arial"/>
          <w:sz w:val="18"/>
        </w:rPr>
        <w:t>Recommended backup names after this step:</w:t>
      </w:r>
    </w:p>
    <w:p>
      <w:pPr>
        <w:pStyle w:val="NoSpacing"/>
      </w:pPr>
      <w:r>
        <w:rPr>
          <w:rFonts w:ascii="Courier New" w:hAnsi="Courier New"/>
          <w:sz w:val="12"/>
        </w:rPr>
        <w:t>ASO.Core_Phase2_CI_PendingCommercialActionCreated_unmanaged_v1_0_20260524.zip</w:t>
      </w:r>
    </w:p>
    <w:p>
      <w:pPr>
        <w:pStyle w:val="NoSpacing"/>
      </w:pPr>
      <w:r>
        <w:rPr>
          <w:rFonts w:ascii="Courier New" w:hAnsi="Courier New"/>
          <w:sz w:val="12"/>
        </w:rPr>
        <w:t>ASO.Core_Phase2_CI_PendingCommercialActionCreated_managed_v1_0_20260524.zip</w:t>
      </w:r>
    </w:p>
    <w:p>
      <w:pPr>
        <w:pStyle w:val="Heading2"/>
      </w:pPr>
      <w:r>
        <w:t>Field inventory created</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3108"/>
            <w:shd w:fill="D9EAF7"/>
          </w:tcPr>
          <w:p>
            <w:r/>
            <w:r>
              <w:rPr>
                <w:rFonts w:ascii="Arial" w:hAnsi="Arial"/>
                <w:b/>
                <w:sz w:val="12"/>
              </w:rPr>
              <w:t>Display name</w:t>
            </w:r>
          </w:p>
        </w:tc>
        <w:tc>
          <w:tcPr>
            <w:tcW w:type="dxa" w:w="3108"/>
            <w:shd w:fill="D9EAF7"/>
          </w:tcPr>
          <w:p>
            <w:r/>
            <w:r>
              <w:rPr>
                <w:rFonts w:ascii="Arial" w:hAnsi="Arial"/>
                <w:b/>
                <w:sz w:val="12"/>
              </w:rPr>
              <w:t>Schema/logical name</w:t>
            </w:r>
          </w:p>
        </w:tc>
        <w:tc>
          <w:tcPr>
            <w:tcW w:type="dxa" w:w="3108"/>
            <w:shd w:fill="D9EAF7"/>
          </w:tcPr>
          <w:p>
            <w:r/>
            <w:r>
              <w:rPr>
                <w:rFonts w:ascii="Arial" w:hAnsi="Arial"/>
                <w:b/>
                <w:sz w:val="12"/>
              </w:rPr>
              <w:t>Type</w:t>
            </w:r>
          </w:p>
        </w:tc>
        <w:tc>
          <w:tcPr>
            <w:tcW w:type="dxa" w:w="3108"/>
            <w:shd w:fill="D9EAF7"/>
          </w:tcPr>
          <w:p>
            <w:r/>
            <w:r>
              <w:rPr>
                <w:rFonts w:ascii="Arial" w:hAnsi="Arial"/>
                <w:b/>
                <w:sz w:val="12"/>
              </w:rPr>
              <w:t>Values/size</w:t>
            </w:r>
          </w:p>
        </w:tc>
        <w:tc>
          <w:tcPr>
            <w:tcW w:type="dxa" w:w="3108"/>
            <w:shd w:fill="D9EAF7"/>
          </w:tcPr>
          <w:p>
            <w:r/>
            <w:r>
              <w:rPr>
                <w:rFonts w:ascii="Arial" w:hAnsi="Arial"/>
                <w:b/>
                <w:sz w:val="12"/>
              </w:rPr>
              <w:t>Business purpose</w:t>
            </w:r>
          </w:p>
        </w:tc>
      </w:tr>
      <w:tr>
        <w:tc>
          <w:tcPr>
            <w:tcW w:type="dxa" w:w="3108"/>
            <w:vAlign w:val="top"/>
          </w:tcPr>
          <w:p>
            <w:r/>
            <w:r>
              <w:rPr>
                <w:rFonts w:ascii="Arial" w:hAnsi="Arial"/>
                <w:b w:val="0"/>
                <w:sz w:val="12"/>
              </w:rPr>
              <w:t>Opportunity</w:t>
            </w:r>
          </w:p>
        </w:tc>
        <w:tc>
          <w:tcPr>
            <w:tcW w:type="dxa" w:w="3108"/>
            <w:vAlign w:val="top"/>
          </w:tcPr>
          <w:p>
            <w:r/>
            <w:r>
              <w:rPr>
                <w:rFonts w:ascii="Arial" w:hAnsi="Arial"/>
                <w:b w:val="0"/>
                <w:sz w:val="12"/>
              </w:rPr>
              <w:t>aso_opportunityid</w:t>
            </w:r>
          </w:p>
        </w:tc>
        <w:tc>
          <w:tcPr>
            <w:tcW w:type="dxa" w:w="3108"/>
            <w:vAlign w:val="top"/>
          </w:tcPr>
          <w:p>
            <w:r/>
            <w:r>
              <w:rPr>
                <w:rFonts w:ascii="Arial" w:hAnsi="Arial"/>
                <w:b w:val="0"/>
                <w:sz w:val="12"/>
              </w:rPr>
              <w:t>Lookup</w:t>
            </w:r>
          </w:p>
        </w:tc>
        <w:tc>
          <w:tcPr>
            <w:tcW w:type="dxa" w:w="3108"/>
            <w:vAlign w:val="top"/>
          </w:tcPr>
          <w:p>
            <w:r/>
            <w:r>
              <w:rPr>
                <w:rFonts w:ascii="Arial" w:hAnsi="Arial"/>
                <w:b w:val="0"/>
                <w:sz w:val="12"/>
              </w:rPr>
              <w:t>Created by fix script</w:t>
            </w:r>
          </w:p>
        </w:tc>
        <w:tc>
          <w:tcPr>
            <w:tcW w:type="dxa" w:w="3108"/>
            <w:vAlign w:val="top"/>
          </w:tcPr>
          <w:p>
            <w:r/>
            <w:r>
              <w:rPr>
                <w:rFonts w:ascii="Arial" w:hAnsi="Arial"/>
                <w:b w:val="0"/>
                <w:sz w:val="12"/>
              </w:rPr>
              <w:t>Links each pending commercial action to the Opportunity that originated or owns it.</w:t>
            </w:r>
          </w:p>
        </w:tc>
      </w:tr>
      <w:tr>
        <w:tc>
          <w:tcPr>
            <w:tcW w:type="dxa" w:w="3108"/>
            <w:vAlign w:val="top"/>
          </w:tcPr>
          <w:p>
            <w:r/>
            <w:r>
              <w:rPr>
                <w:rFonts w:ascii="Arial" w:hAnsi="Arial"/>
                <w:b w:val="0"/>
                <w:sz w:val="12"/>
              </w:rPr>
              <w:t>Action Type</w:t>
            </w:r>
          </w:p>
        </w:tc>
        <w:tc>
          <w:tcPr>
            <w:tcW w:type="dxa" w:w="3108"/>
            <w:vAlign w:val="top"/>
          </w:tcPr>
          <w:p>
            <w:r/>
            <w:r>
              <w:rPr>
                <w:rFonts w:ascii="Arial" w:hAnsi="Arial"/>
                <w:b w:val="0"/>
                <w:sz w:val="12"/>
              </w:rPr>
              <w:t>aso_actiontype</w:t>
            </w:r>
          </w:p>
        </w:tc>
        <w:tc>
          <w:tcPr>
            <w:tcW w:type="dxa" w:w="3108"/>
            <w:vAlign w:val="top"/>
          </w:tcPr>
          <w:p>
            <w:r/>
            <w:r>
              <w:rPr>
                <w:rFonts w:ascii="Arial" w:hAnsi="Arial"/>
                <w:b w:val="0"/>
                <w:sz w:val="12"/>
              </w:rPr>
              <w:t>Local choice</w:t>
            </w:r>
          </w:p>
        </w:tc>
        <w:tc>
          <w:tcPr>
            <w:tcW w:type="dxa" w:w="3108"/>
            <w:vAlign w:val="top"/>
          </w:tcPr>
          <w:p>
            <w:r/>
            <w:r>
              <w:rPr>
                <w:rFonts w:ascii="Arial" w:hAnsi="Arial"/>
                <w:b w:val="0"/>
                <w:sz w:val="12"/>
              </w:rPr>
              <w:t>CreateOrder; UpdateCommercialReference; ReviewPricingContext</w:t>
            </w:r>
          </w:p>
        </w:tc>
        <w:tc>
          <w:tcPr>
            <w:tcW w:type="dxa" w:w="3108"/>
            <w:vAlign w:val="top"/>
          </w:tcPr>
          <w:p>
            <w:r/>
            <w:r>
              <w:rPr>
                <w:rFonts w:ascii="Arial" w:hAnsi="Arial"/>
                <w:b w:val="0"/>
                <w:sz w:val="12"/>
              </w:rPr>
              <w:t>Classifies the commercial action before approval and potential SAP submission.</w:t>
            </w:r>
          </w:p>
        </w:tc>
      </w:tr>
      <w:tr>
        <w:tc>
          <w:tcPr>
            <w:tcW w:type="dxa" w:w="3108"/>
            <w:vAlign w:val="top"/>
          </w:tcPr>
          <w:p>
            <w:r/>
            <w:r>
              <w:rPr>
                <w:rFonts w:ascii="Arial" w:hAnsi="Arial"/>
                <w:b w:val="0"/>
                <w:sz w:val="12"/>
              </w:rPr>
              <w:t>Payload</w:t>
            </w:r>
          </w:p>
        </w:tc>
        <w:tc>
          <w:tcPr>
            <w:tcW w:type="dxa" w:w="3108"/>
            <w:vAlign w:val="top"/>
          </w:tcPr>
          <w:p>
            <w:r/>
            <w:r>
              <w:rPr>
                <w:rFonts w:ascii="Arial" w:hAnsi="Arial"/>
                <w:b w:val="0"/>
                <w:sz w:val="12"/>
              </w:rPr>
              <w:t>aso_payload</w:t>
            </w:r>
          </w:p>
        </w:tc>
        <w:tc>
          <w:tcPr>
            <w:tcW w:type="dxa" w:w="3108"/>
            <w:vAlign w:val="top"/>
          </w:tcPr>
          <w:p>
            <w:r/>
            <w:r>
              <w:rPr>
                <w:rFonts w:ascii="Arial" w:hAnsi="Arial"/>
                <w:b w:val="0"/>
                <w:sz w:val="12"/>
              </w:rPr>
              <w:t>Multiline text</w:t>
            </w:r>
          </w:p>
        </w:tc>
        <w:tc>
          <w:tcPr>
            <w:tcW w:type="dxa" w:w="3108"/>
            <w:vAlign w:val="top"/>
          </w:tcPr>
          <w:p>
            <w:r/>
            <w:r>
              <w:rPr>
                <w:rFonts w:ascii="Arial" w:hAnsi="Arial"/>
                <w:b w:val="0"/>
                <w:sz w:val="12"/>
              </w:rPr>
              <w:t>4000</w:t>
            </w:r>
          </w:p>
        </w:tc>
        <w:tc>
          <w:tcPr>
            <w:tcW w:type="dxa" w:w="3108"/>
            <w:vAlign w:val="top"/>
          </w:tcPr>
          <w:p>
            <w:r/>
            <w:r>
              <w:rPr>
                <w:rFonts w:ascii="Arial" w:hAnsi="Arial"/>
                <w:b w:val="0"/>
                <w:sz w:val="12"/>
              </w:rPr>
              <w:t>Stores the staged commercial payload; useful for approvals and audit.</w:t>
            </w:r>
          </w:p>
        </w:tc>
      </w:tr>
      <w:tr>
        <w:tc>
          <w:tcPr>
            <w:tcW w:type="dxa" w:w="3108"/>
            <w:vAlign w:val="top"/>
          </w:tcPr>
          <w:p>
            <w:r/>
            <w:r>
              <w:rPr>
                <w:rFonts w:ascii="Arial" w:hAnsi="Arial"/>
                <w:b w:val="0"/>
                <w:sz w:val="12"/>
              </w:rPr>
              <w:t>Status</w:t>
            </w:r>
          </w:p>
        </w:tc>
        <w:tc>
          <w:tcPr>
            <w:tcW w:type="dxa" w:w="3108"/>
            <w:vAlign w:val="top"/>
          </w:tcPr>
          <w:p>
            <w:r/>
            <w:r>
              <w:rPr>
                <w:rFonts w:ascii="Arial" w:hAnsi="Arial"/>
                <w:b w:val="0"/>
                <w:sz w:val="12"/>
              </w:rPr>
              <w:t>aso_status</w:t>
            </w:r>
          </w:p>
        </w:tc>
        <w:tc>
          <w:tcPr>
            <w:tcW w:type="dxa" w:w="3108"/>
            <w:vAlign w:val="top"/>
          </w:tcPr>
          <w:p>
            <w:r/>
            <w:r>
              <w:rPr>
                <w:rFonts w:ascii="Arial" w:hAnsi="Arial"/>
                <w:b w:val="0"/>
                <w:sz w:val="12"/>
              </w:rPr>
              <w:t>Local choice</w:t>
            </w:r>
          </w:p>
        </w:tc>
        <w:tc>
          <w:tcPr>
            <w:tcW w:type="dxa" w:w="3108"/>
            <w:vAlign w:val="top"/>
          </w:tcPr>
          <w:p>
            <w:r/>
            <w:r>
              <w:rPr>
                <w:rFonts w:ascii="Arial" w:hAnsi="Arial"/>
                <w:b w:val="0"/>
                <w:sz w:val="12"/>
              </w:rPr>
              <w:t>Draft; AwaitingApproval; Approved; Submitted; Failed; Cancelled</w:t>
            </w:r>
          </w:p>
        </w:tc>
        <w:tc>
          <w:tcPr>
            <w:tcW w:type="dxa" w:w="3108"/>
            <w:vAlign w:val="top"/>
          </w:tcPr>
          <w:p>
            <w:r/>
            <w:r>
              <w:rPr>
                <w:rFonts w:ascii="Arial" w:hAnsi="Arial"/>
                <w:b w:val="0"/>
                <w:sz w:val="12"/>
              </w:rPr>
              <w:t>Tracks the approval/submission lifecycle of the action.</w:t>
            </w:r>
          </w:p>
        </w:tc>
      </w:tr>
      <w:tr>
        <w:tc>
          <w:tcPr>
            <w:tcW w:type="dxa" w:w="3108"/>
            <w:vAlign w:val="top"/>
          </w:tcPr>
          <w:p>
            <w:r/>
            <w:r>
              <w:rPr>
                <w:rFonts w:ascii="Arial" w:hAnsi="Arial"/>
                <w:b w:val="0"/>
                <w:sz w:val="12"/>
              </w:rPr>
              <w:t>SAP Document ID</w:t>
            </w:r>
          </w:p>
        </w:tc>
        <w:tc>
          <w:tcPr>
            <w:tcW w:type="dxa" w:w="3108"/>
            <w:vAlign w:val="top"/>
          </w:tcPr>
          <w:p>
            <w:r/>
            <w:r>
              <w:rPr>
                <w:rFonts w:ascii="Arial" w:hAnsi="Arial"/>
                <w:b w:val="0"/>
                <w:sz w:val="12"/>
              </w:rPr>
              <w:t>aso_sapdocumentid</w:t>
            </w:r>
          </w:p>
        </w:tc>
        <w:tc>
          <w:tcPr>
            <w:tcW w:type="dxa" w:w="3108"/>
            <w:vAlign w:val="top"/>
          </w:tcPr>
          <w:p>
            <w:r/>
            <w:r>
              <w:rPr>
                <w:rFonts w:ascii="Arial" w:hAnsi="Arial"/>
                <w:b w:val="0"/>
                <w:sz w:val="12"/>
              </w:rPr>
              <w:t>Text</w:t>
            </w:r>
          </w:p>
        </w:tc>
        <w:tc>
          <w:tcPr>
            <w:tcW w:type="dxa" w:w="3108"/>
            <w:vAlign w:val="top"/>
          </w:tcPr>
          <w:p>
            <w:r/>
            <w:r>
              <w:rPr>
                <w:rFonts w:ascii="Arial" w:hAnsi="Arial"/>
                <w:b w:val="0"/>
                <w:sz w:val="12"/>
              </w:rPr>
              <w:t>100</w:t>
            </w:r>
          </w:p>
        </w:tc>
        <w:tc>
          <w:tcPr>
            <w:tcW w:type="dxa" w:w="3108"/>
            <w:vAlign w:val="top"/>
          </w:tcPr>
          <w:p>
            <w:r/>
            <w:r>
              <w:rPr>
                <w:rFonts w:ascii="Arial" w:hAnsi="Arial"/>
                <w:b w:val="0"/>
                <w:sz w:val="12"/>
              </w:rPr>
              <w:t>Stores the SAP document/reference returned after governed submission.</w:t>
            </w:r>
          </w:p>
        </w:tc>
      </w:tr>
      <w:tr>
        <w:tc>
          <w:tcPr>
            <w:tcW w:type="dxa" w:w="3108"/>
            <w:vAlign w:val="top"/>
          </w:tcPr>
          <w:p>
            <w:r/>
            <w:r>
              <w:rPr>
                <w:rFonts w:ascii="Arial" w:hAnsi="Arial"/>
                <w:b w:val="0"/>
                <w:sz w:val="12"/>
              </w:rPr>
              <w:t>Error Message</w:t>
            </w:r>
          </w:p>
        </w:tc>
        <w:tc>
          <w:tcPr>
            <w:tcW w:type="dxa" w:w="3108"/>
            <w:vAlign w:val="top"/>
          </w:tcPr>
          <w:p>
            <w:r/>
            <w:r>
              <w:rPr>
                <w:rFonts w:ascii="Arial" w:hAnsi="Arial"/>
                <w:b w:val="0"/>
                <w:sz w:val="12"/>
              </w:rPr>
              <w:t>aso_errormessage</w:t>
            </w:r>
          </w:p>
        </w:tc>
        <w:tc>
          <w:tcPr>
            <w:tcW w:type="dxa" w:w="3108"/>
            <w:vAlign w:val="top"/>
          </w:tcPr>
          <w:p>
            <w:r/>
            <w:r>
              <w:rPr>
                <w:rFonts w:ascii="Arial" w:hAnsi="Arial"/>
                <w:b w:val="0"/>
                <w:sz w:val="12"/>
              </w:rPr>
              <w:t>Multiline text</w:t>
            </w:r>
          </w:p>
        </w:tc>
        <w:tc>
          <w:tcPr>
            <w:tcW w:type="dxa" w:w="3108"/>
            <w:vAlign w:val="top"/>
          </w:tcPr>
          <w:p>
            <w:r/>
            <w:r>
              <w:rPr>
                <w:rFonts w:ascii="Arial" w:hAnsi="Arial"/>
                <w:b w:val="0"/>
                <w:sz w:val="12"/>
              </w:rPr>
              <w:t>4000</w:t>
            </w:r>
          </w:p>
        </w:tc>
        <w:tc>
          <w:tcPr>
            <w:tcW w:type="dxa" w:w="3108"/>
            <w:vAlign w:val="top"/>
          </w:tcPr>
          <w:p>
            <w:r/>
            <w:r>
              <w:rPr>
                <w:rFonts w:ascii="Arial" w:hAnsi="Arial"/>
                <w:b w:val="0"/>
                <w:sz w:val="12"/>
              </w:rPr>
              <w:t>Captures failure details from approval/SAP submission processing.</w:t>
            </w:r>
          </w:p>
        </w:tc>
      </w:tr>
      <w:tr>
        <w:tc>
          <w:tcPr>
            <w:tcW w:type="dxa" w:w="3108"/>
            <w:vAlign w:val="top"/>
          </w:tcPr>
          <w:p>
            <w:r/>
            <w:r>
              <w:rPr>
                <w:rFonts w:ascii="Arial" w:hAnsi="Arial"/>
                <w:b w:val="0"/>
                <w:sz w:val="12"/>
              </w:rPr>
              <w:t>Approval ID</w:t>
            </w:r>
          </w:p>
        </w:tc>
        <w:tc>
          <w:tcPr>
            <w:tcW w:type="dxa" w:w="3108"/>
            <w:vAlign w:val="top"/>
          </w:tcPr>
          <w:p>
            <w:r/>
            <w:r>
              <w:rPr>
                <w:rFonts w:ascii="Arial" w:hAnsi="Arial"/>
                <w:b w:val="0"/>
                <w:sz w:val="12"/>
              </w:rPr>
              <w:t>aso_approvalid</w:t>
            </w:r>
          </w:p>
        </w:tc>
        <w:tc>
          <w:tcPr>
            <w:tcW w:type="dxa" w:w="3108"/>
            <w:vAlign w:val="top"/>
          </w:tcPr>
          <w:p>
            <w:r/>
            <w:r>
              <w:rPr>
                <w:rFonts w:ascii="Arial" w:hAnsi="Arial"/>
                <w:b w:val="0"/>
                <w:sz w:val="12"/>
              </w:rPr>
              <w:t>Text</w:t>
            </w:r>
          </w:p>
        </w:tc>
        <w:tc>
          <w:tcPr>
            <w:tcW w:type="dxa" w:w="3108"/>
            <w:vAlign w:val="top"/>
          </w:tcPr>
          <w:p>
            <w:r/>
            <w:r>
              <w:rPr>
                <w:rFonts w:ascii="Arial" w:hAnsi="Arial"/>
                <w:b w:val="0"/>
                <w:sz w:val="12"/>
              </w:rPr>
              <w:t>100</w:t>
            </w:r>
          </w:p>
        </w:tc>
        <w:tc>
          <w:tcPr>
            <w:tcW w:type="dxa" w:w="3108"/>
            <w:vAlign w:val="top"/>
          </w:tcPr>
          <w:p>
            <w:r/>
            <w:r>
              <w:rPr>
                <w:rFonts w:ascii="Arial" w:hAnsi="Arial"/>
                <w:b w:val="0"/>
                <w:sz w:val="12"/>
              </w:rPr>
              <w:t>Stores the approval process identifier.</w:t>
            </w:r>
          </w:p>
        </w:tc>
      </w:tr>
      <w:tr>
        <w:tc>
          <w:tcPr>
            <w:tcW w:type="dxa" w:w="3108"/>
            <w:vAlign w:val="top"/>
          </w:tcPr>
          <w:p>
            <w:r/>
            <w:r>
              <w:rPr>
                <w:rFonts w:ascii="Arial" w:hAnsi="Arial"/>
                <w:b w:val="0"/>
                <w:sz w:val="12"/>
              </w:rPr>
              <w:t>Idempotency Key</w:t>
            </w:r>
          </w:p>
        </w:tc>
        <w:tc>
          <w:tcPr>
            <w:tcW w:type="dxa" w:w="3108"/>
            <w:vAlign w:val="top"/>
          </w:tcPr>
          <w:p>
            <w:r/>
            <w:r>
              <w:rPr>
                <w:rFonts w:ascii="Arial" w:hAnsi="Arial"/>
                <w:b w:val="0"/>
                <w:sz w:val="12"/>
              </w:rPr>
              <w:t>aso_idempotencykey</w:t>
            </w:r>
          </w:p>
        </w:tc>
        <w:tc>
          <w:tcPr>
            <w:tcW w:type="dxa" w:w="3108"/>
            <w:vAlign w:val="top"/>
          </w:tcPr>
          <w:p>
            <w:r/>
            <w:r>
              <w:rPr>
                <w:rFonts w:ascii="Arial" w:hAnsi="Arial"/>
                <w:b w:val="0"/>
                <w:sz w:val="12"/>
              </w:rPr>
              <w:t>Text</w:t>
            </w:r>
          </w:p>
        </w:tc>
        <w:tc>
          <w:tcPr>
            <w:tcW w:type="dxa" w:w="3108"/>
            <w:vAlign w:val="top"/>
          </w:tcPr>
          <w:p>
            <w:r/>
            <w:r>
              <w:rPr>
                <w:rFonts w:ascii="Arial" w:hAnsi="Arial"/>
                <w:b w:val="0"/>
                <w:sz w:val="12"/>
              </w:rPr>
              <w:t>200</w:t>
            </w:r>
          </w:p>
        </w:tc>
        <w:tc>
          <w:tcPr>
            <w:tcW w:type="dxa" w:w="3108"/>
            <w:vAlign w:val="top"/>
          </w:tcPr>
          <w:p>
            <w:r/>
            <w:r>
              <w:rPr>
                <w:rFonts w:ascii="Arial" w:hAnsi="Arial"/>
                <w:b w:val="0"/>
                <w:sz w:val="12"/>
              </w:rPr>
              <w:t>Prevents duplicate submission of the same commercial action.</w:t>
            </w:r>
          </w:p>
        </w:tc>
      </w:tr>
      <w:tr>
        <w:tc>
          <w:tcPr>
            <w:tcW w:type="dxa" w:w="3108"/>
            <w:vAlign w:val="top"/>
          </w:tcPr>
          <w:p>
            <w:r/>
            <w:r>
              <w:rPr>
                <w:rFonts w:ascii="Arial" w:hAnsi="Arial"/>
                <w:b w:val="0"/>
                <w:sz w:val="12"/>
              </w:rPr>
              <w:t>Submitted On</w:t>
            </w:r>
          </w:p>
        </w:tc>
        <w:tc>
          <w:tcPr>
            <w:tcW w:type="dxa" w:w="3108"/>
            <w:vAlign w:val="top"/>
          </w:tcPr>
          <w:p>
            <w:r/>
            <w:r>
              <w:rPr>
                <w:rFonts w:ascii="Arial" w:hAnsi="Arial"/>
                <w:b w:val="0"/>
                <w:sz w:val="12"/>
              </w:rPr>
              <w:t>aso_submittedon</w:t>
            </w:r>
          </w:p>
        </w:tc>
        <w:tc>
          <w:tcPr>
            <w:tcW w:type="dxa" w:w="3108"/>
            <w:vAlign w:val="top"/>
          </w:tcPr>
          <w:p>
            <w:r/>
            <w:r>
              <w:rPr>
                <w:rFonts w:ascii="Arial" w:hAnsi="Arial"/>
                <w:b w:val="0"/>
                <w:sz w:val="12"/>
              </w:rPr>
              <w:t>Date and time</w:t>
            </w:r>
          </w:p>
        </w:tc>
        <w:tc>
          <w:tcPr>
            <w:tcW w:type="dxa" w:w="3108"/>
            <w:vAlign w:val="top"/>
          </w:tcPr>
          <w:p>
            <w:r/>
            <w:r>
              <w:rPr>
                <w:rFonts w:ascii="Arial" w:hAnsi="Arial"/>
                <w:b w:val="0"/>
                <w:sz w:val="12"/>
              </w:rPr>
              <w:t>User local</w:t>
            </w:r>
          </w:p>
        </w:tc>
        <w:tc>
          <w:tcPr>
            <w:tcW w:type="dxa" w:w="3108"/>
            <w:vAlign w:val="top"/>
          </w:tcPr>
          <w:p>
            <w:r/>
            <w:r>
              <w:rPr>
                <w:rFonts w:ascii="Arial" w:hAnsi="Arial"/>
                <w:b w:val="0"/>
                <w:sz w:val="12"/>
              </w:rPr>
              <w:t>Timestamp of submission.</w:t>
            </w:r>
          </w:p>
        </w:tc>
      </w:tr>
    </w:tbl>
    <w:p/>
    <w:p>
      <w:pPr>
        <w:pStyle w:val="Heading2"/>
      </w:pPr>
      <w:r>
        <w:t>What happened during execution</w:t>
      </w:r>
    </w:p>
    <w:p>
      <w:r>
        <w:rPr>
          <w:rFonts w:ascii="Arial" w:hAnsi="Arial"/>
          <w:sz w:val="18"/>
        </w:rPr>
        <w:t>The script created the table and the main fields successfully. During the Opportunity lookup creation, the terminal showed this error:</w:t>
      </w:r>
    </w:p>
    <w:p>
      <w:pPr>
        <w:pStyle w:val="NoSpacing"/>
      </w:pPr>
      <w:r>
        <w:rPr>
          <w:rFonts w:ascii="Courier New" w:hAnsi="Courier New"/>
          <w:sz w:val="12"/>
        </w:rPr>
        <w:t>FAILED LOOKUP: aso_opportunityid</w:t>
      </w:r>
    </w:p>
    <w:p>
      <w:pPr>
        <w:pStyle w:val="NoSpacing"/>
      </w:pPr>
      <w:r>
        <w:rPr>
          <w:rFonts w:ascii="Courier New" w:hAnsi="Courier New"/>
          <w:sz w:val="12"/>
        </w:rPr>
        <w:t>The language code 1033 is not a valid language for this organization</w:t>
      </w:r>
    </w:p>
    <w:p>
      <w:r>
        <w:rPr>
          <w:rFonts w:ascii="Arial" w:hAnsi="Arial"/>
          <w:sz w:val="18"/>
        </w:rPr>
        <w:t>This means the relationship/lookup did not get created in the first script run. The table and its non-lookup fields were still created. We did not delete anything. Instead, we used a focused fix script to create only the missing Opportunity relationship with language code 1031.</w:t>
      </w:r>
    </w:p>
    <w:p>
      <w:pPr>
        <w:pStyle w:val="Heading2"/>
      </w:pPr>
      <w:r>
        <w:t>Validation checklist</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Check</w:t>
            </w:r>
          </w:p>
        </w:tc>
        <w:tc>
          <w:tcPr>
            <w:tcW w:type="dxa" w:w="7769"/>
            <w:shd w:fill="D9EAF7"/>
          </w:tcPr>
          <w:p>
            <w:r/>
            <w:r>
              <w:rPr>
                <w:rFonts w:ascii="Arial" w:hAnsi="Arial"/>
                <w:b/>
                <w:sz w:val="14"/>
              </w:rPr>
              <w:t>Expected result</w:t>
            </w:r>
          </w:p>
        </w:tc>
      </w:tr>
      <w:tr>
        <w:tc>
          <w:tcPr>
            <w:tcW w:type="dxa" w:w="7769"/>
            <w:vAlign w:val="top"/>
          </w:tcPr>
          <w:p>
            <w:r/>
            <w:r>
              <w:rPr>
                <w:rFonts w:ascii="Arial" w:hAnsi="Arial"/>
                <w:b w:val="0"/>
                <w:sz w:val="14"/>
              </w:rPr>
              <w:t>Table exists</w:t>
            </w:r>
          </w:p>
        </w:tc>
        <w:tc>
          <w:tcPr>
            <w:tcW w:type="dxa" w:w="7769"/>
            <w:vAlign w:val="top"/>
          </w:tcPr>
          <w:p>
            <w:r/>
            <w:r>
              <w:rPr>
                <w:rFonts w:ascii="Arial" w:hAnsi="Arial"/>
                <w:b w:val="0"/>
                <w:sz w:val="14"/>
              </w:rPr>
              <w:t>ASO.Core -&gt; Tables -&gt; Pending Commercial Action is visible</w:t>
            </w:r>
          </w:p>
        </w:tc>
      </w:tr>
      <w:tr>
        <w:tc>
          <w:tcPr>
            <w:tcW w:type="dxa" w:w="7769"/>
            <w:vAlign w:val="top"/>
          </w:tcPr>
          <w:p>
            <w:r/>
            <w:r>
              <w:rPr>
                <w:rFonts w:ascii="Arial" w:hAnsi="Arial"/>
                <w:b w:val="0"/>
                <w:sz w:val="14"/>
              </w:rPr>
              <w:t>Columns exist</w:t>
            </w:r>
          </w:p>
        </w:tc>
        <w:tc>
          <w:tcPr>
            <w:tcW w:type="dxa" w:w="7769"/>
            <w:vAlign w:val="top"/>
          </w:tcPr>
          <w:p>
            <w:r/>
            <w:r>
              <w:rPr>
                <w:rFonts w:ascii="Arial" w:hAnsi="Arial"/>
                <w:b w:val="0"/>
                <w:sz w:val="14"/>
              </w:rPr>
              <w:t>Action Type, Payload, Status, SAP Document ID, Error Message, Approval ID, Idempotency Key, Submitted On</w:t>
            </w:r>
          </w:p>
        </w:tc>
      </w:tr>
      <w:tr>
        <w:tc>
          <w:tcPr>
            <w:tcW w:type="dxa" w:w="7769"/>
            <w:vAlign w:val="top"/>
          </w:tcPr>
          <w:p>
            <w:r/>
            <w:r>
              <w:rPr>
                <w:rFonts w:ascii="Arial" w:hAnsi="Arial"/>
                <w:b w:val="0"/>
                <w:sz w:val="14"/>
              </w:rPr>
              <w:t>Relationship after fix</w:t>
            </w:r>
          </w:p>
        </w:tc>
        <w:tc>
          <w:tcPr>
            <w:tcW w:type="dxa" w:w="7769"/>
            <w:vAlign w:val="top"/>
          </w:tcPr>
          <w:p>
            <w:r/>
            <w:r>
              <w:rPr>
                <w:rFonts w:ascii="Arial" w:hAnsi="Arial"/>
                <w:b w:val="0"/>
                <w:sz w:val="14"/>
              </w:rPr>
              <w:t>Relationship aso_opportunity_aso_pendingcommercialaction exists</w:t>
            </w:r>
          </w:p>
        </w:tc>
      </w:tr>
      <w:tr>
        <w:tc>
          <w:tcPr>
            <w:tcW w:type="dxa" w:w="7769"/>
            <w:vAlign w:val="top"/>
          </w:tcPr>
          <w:p>
            <w:r/>
            <w:r>
              <w:rPr>
                <w:rFonts w:ascii="Arial" w:hAnsi="Arial"/>
                <w:b w:val="0"/>
                <w:sz w:val="14"/>
              </w:rPr>
              <w:t>Lookup after fix</w:t>
            </w:r>
          </w:p>
        </w:tc>
        <w:tc>
          <w:tcPr>
            <w:tcW w:type="dxa" w:w="7769"/>
            <w:vAlign w:val="top"/>
          </w:tcPr>
          <w:p>
            <w:r/>
            <w:r>
              <w:rPr>
                <w:rFonts w:ascii="Arial" w:hAnsi="Arial"/>
                <w:b w:val="0"/>
                <w:sz w:val="14"/>
              </w:rPr>
              <w:t>Column aso_opportunityid / Opportunity exists</w:t>
            </w:r>
          </w:p>
        </w:tc>
      </w:tr>
      <w:tr>
        <w:tc>
          <w:tcPr>
            <w:tcW w:type="dxa" w:w="7769"/>
            <w:vAlign w:val="top"/>
          </w:tcPr>
          <w:p>
            <w:r/>
            <w:r>
              <w:rPr>
                <w:rFonts w:ascii="Arial" w:hAnsi="Arial"/>
                <w:b w:val="0"/>
                <w:sz w:val="14"/>
              </w:rPr>
              <w:t>Publishing</w:t>
            </w:r>
          </w:p>
        </w:tc>
        <w:tc>
          <w:tcPr>
            <w:tcW w:type="dxa" w:w="7769"/>
            <w:vAlign w:val="top"/>
          </w:tcPr>
          <w:p>
            <w:r/>
            <w:r>
              <w:rPr>
                <w:rFonts w:ascii="Arial" w:hAnsi="Arial"/>
                <w:b w:val="0"/>
                <w:sz w:val="14"/>
              </w:rPr>
              <w:t>Table and relationship are visible after refresh</w:t>
            </w:r>
          </w:p>
        </w:tc>
      </w:tr>
      <w:tr>
        <w:tc>
          <w:tcPr>
            <w:tcW w:type="dxa" w:w="7769"/>
            <w:vAlign w:val="top"/>
          </w:tcPr>
          <w:p>
            <w:r/>
            <w:r>
              <w:rPr>
                <w:rFonts w:ascii="Arial" w:hAnsi="Arial"/>
                <w:b w:val="0"/>
                <w:sz w:val="14"/>
              </w:rPr>
              <w:t>Solution context</w:t>
            </w:r>
          </w:p>
        </w:tc>
        <w:tc>
          <w:tcPr>
            <w:tcW w:type="dxa" w:w="7769"/>
            <w:vAlign w:val="top"/>
          </w:tcPr>
          <w:p>
            <w:r/>
            <w:r>
              <w:rPr>
                <w:rFonts w:ascii="Arial" w:hAnsi="Arial"/>
                <w:b w:val="0"/>
                <w:sz w:val="14"/>
              </w:rPr>
              <w:t>Components are inside ASO.Core</w:t>
            </w:r>
          </w:p>
        </w:tc>
      </w:tr>
    </w:tbl>
    <w:p/>
    <w:p>
      <w:pPr>
        <w:pStyle w:val="Heading2"/>
      </w:pPr>
      <w:r>
        <w:t>Troubleshooting guide</w:t>
      </w:r>
    </w:p>
    <w:tbl>
      <w:tblPr>
        <w:tblStyle w:val="TableGrid"/>
        <w:tblW w:type="auto" w:w="0"/>
        <w:jc w:val="center"/>
        <w:tblLook w:firstColumn="1" w:firstRow="1" w:lastColumn="0" w:lastRow="0" w:noHBand="0" w:noVBand="1" w:val="04A0"/>
      </w:tblPr>
      <w:tblGrid>
        <w:gridCol w:w="5179"/>
        <w:gridCol w:w="5179"/>
        <w:gridCol w:w="5179"/>
      </w:tblGrid>
      <w:tr>
        <w:tc>
          <w:tcPr>
            <w:tcW w:type="dxa" w:w="5179"/>
            <w:shd w:fill="D9EAF7"/>
          </w:tcPr>
          <w:p>
            <w:r/>
            <w:r>
              <w:rPr>
                <w:rFonts w:ascii="Arial" w:hAnsi="Arial"/>
                <w:b/>
                <w:sz w:val="14"/>
              </w:rPr>
              <w:t>Symptom</w:t>
            </w:r>
          </w:p>
        </w:tc>
        <w:tc>
          <w:tcPr>
            <w:tcW w:type="dxa" w:w="5179"/>
            <w:shd w:fill="D9EAF7"/>
          </w:tcPr>
          <w:p>
            <w:r/>
            <w:r>
              <w:rPr>
                <w:rFonts w:ascii="Arial" w:hAnsi="Arial"/>
                <w:b/>
                <w:sz w:val="14"/>
              </w:rPr>
              <w:t>Likely cause</w:t>
            </w:r>
          </w:p>
        </w:tc>
        <w:tc>
          <w:tcPr>
            <w:tcW w:type="dxa" w:w="5179"/>
            <w:shd w:fill="D9EAF7"/>
          </w:tcPr>
          <w:p>
            <w:r/>
            <w:r>
              <w:rPr>
                <w:rFonts w:ascii="Arial" w:hAnsi="Arial"/>
                <w:b/>
                <w:sz w:val="14"/>
              </w:rPr>
              <w:t>Recommended action</w:t>
            </w:r>
          </w:p>
        </w:tc>
      </w:tr>
      <w:tr>
        <w:tc>
          <w:tcPr>
            <w:tcW w:type="dxa" w:w="5179"/>
            <w:vAlign w:val="top"/>
          </w:tcPr>
          <w:p>
            <w:r/>
            <w:r>
              <w:rPr>
                <w:rFonts w:ascii="Arial" w:hAnsi="Arial"/>
                <w:b w:val="0"/>
                <w:sz w:val="14"/>
              </w:rPr>
              <w:t>Connection failed</w:t>
            </w:r>
          </w:p>
        </w:tc>
        <w:tc>
          <w:tcPr>
            <w:tcW w:type="dxa" w:w="5179"/>
            <w:vAlign w:val="top"/>
          </w:tcPr>
          <w:p>
            <w:r/>
            <w:r>
              <w:rPr>
                <w:rFonts w:ascii="Arial" w:hAnsi="Arial"/>
                <w:b w:val="0"/>
                <w:sz w:val="14"/>
              </w:rPr>
              <w:t>Wrong URL, expired login, missing permission</w:t>
            </w:r>
          </w:p>
        </w:tc>
        <w:tc>
          <w:tcPr>
            <w:tcW w:type="dxa" w:w="5179"/>
            <w:vAlign w:val="top"/>
          </w:tcPr>
          <w:p>
            <w:r/>
            <w:r>
              <w:rPr>
                <w:rFonts w:ascii="Arial" w:hAnsi="Arial"/>
                <w:b w:val="0"/>
                <w:sz w:val="14"/>
              </w:rPr>
              <w:t>Authenticate again and verify Phoenicarix-CI URL</w:t>
            </w:r>
          </w:p>
        </w:tc>
      </w:tr>
      <w:tr>
        <w:tc>
          <w:tcPr>
            <w:tcW w:type="dxa" w:w="5179"/>
            <w:vAlign w:val="top"/>
          </w:tcPr>
          <w:p>
            <w:r/>
            <w:r>
              <w:rPr>
                <w:rFonts w:ascii="Arial" w:hAnsi="Arial"/>
                <w:b w:val="0"/>
                <w:sz w:val="14"/>
              </w:rPr>
              <w:t>Table already exists</w:t>
            </w:r>
          </w:p>
        </w:tc>
        <w:tc>
          <w:tcPr>
            <w:tcW w:type="dxa" w:w="5179"/>
            <w:vAlign w:val="top"/>
          </w:tcPr>
          <w:p>
            <w:r/>
            <w:r>
              <w:rPr>
                <w:rFonts w:ascii="Arial" w:hAnsi="Arial"/>
                <w:b w:val="0"/>
                <w:sz w:val="14"/>
              </w:rPr>
              <w:t>Script was rerun</w:t>
            </w:r>
          </w:p>
        </w:tc>
        <w:tc>
          <w:tcPr>
            <w:tcW w:type="dxa" w:w="5179"/>
            <w:vAlign w:val="top"/>
          </w:tcPr>
          <w:p>
            <w:r/>
            <w:r>
              <w:rPr>
                <w:rFonts w:ascii="Arial" w:hAnsi="Arial"/>
                <w:b w:val="0"/>
                <w:sz w:val="14"/>
              </w:rPr>
              <w:t>Safe; script skips existing table</w:t>
            </w:r>
          </w:p>
        </w:tc>
      </w:tr>
      <w:tr>
        <w:tc>
          <w:tcPr>
            <w:tcW w:type="dxa" w:w="5179"/>
            <w:vAlign w:val="top"/>
          </w:tcPr>
          <w:p>
            <w:r/>
            <w:r>
              <w:rPr>
                <w:rFonts w:ascii="Arial" w:hAnsi="Arial"/>
                <w:b w:val="0"/>
                <w:sz w:val="14"/>
              </w:rPr>
              <w:t>Column already exists</w:t>
            </w:r>
          </w:p>
        </w:tc>
        <w:tc>
          <w:tcPr>
            <w:tcW w:type="dxa" w:w="5179"/>
            <w:vAlign w:val="top"/>
          </w:tcPr>
          <w:p>
            <w:r/>
            <w:r>
              <w:rPr>
                <w:rFonts w:ascii="Arial" w:hAnsi="Arial"/>
                <w:b w:val="0"/>
                <w:sz w:val="14"/>
              </w:rPr>
              <w:t>Partial or repeated execution</w:t>
            </w:r>
          </w:p>
        </w:tc>
        <w:tc>
          <w:tcPr>
            <w:tcW w:type="dxa" w:w="5179"/>
            <w:vAlign w:val="top"/>
          </w:tcPr>
          <w:p>
            <w:r/>
            <w:r>
              <w:rPr>
                <w:rFonts w:ascii="Arial" w:hAnsi="Arial"/>
                <w:b w:val="0"/>
                <w:sz w:val="14"/>
              </w:rPr>
              <w:t>Safe; script skips existing columns</w:t>
            </w:r>
          </w:p>
        </w:tc>
      </w:tr>
      <w:tr>
        <w:tc>
          <w:tcPr>
            <w:tcW w:type="dxa" w:w="5179"/>
            <w:vAlign w:val="top"/>
          </w:tcPr>
          <w:p>
            <w:r/>
            <w:r>
              <w:rPr>
                <w:rFonts w:ascii="Arial" w:hAnsi="Arial"/>
                <w:b w:val="0"/>
                <w:sz w:val="14"/>
              </w:rPr>
              <w:t>Lookup fails with language code error</w:t>
            </w:r>
          </w:p>
        </w:tc>
        <w:tc>
          <w:tcPr>
            <w:tcW w:type="dxa" w:w="5179"/>
            <w:vAlign w:val="top"/>
          </w:tcPr>
          <w:p>
            <w:r/>
            <w:r>
              <w:rPr>
                <w:rFonts w:ascii="Arial" w:hAnsi="Arial"/>
                <w:b w:val="0"/>
                <w:sz w:val="14"/>
              </w:rPr>
              <w:t>Label language not enabled for org</w:t>
            </w:r>
          </w:p>
        </w:tc>
        <w:tc>
          <w:tcPr>
            <w:tcW w:type="dxa" w:w="5179"/>
            <w:vAlign w:val="top"/>
          </w:tcPr>
          <w:p>
            <w:r/>
            <w:r>
              <w:rPr>
                <w:rFonts w:ascii="Arial" w:hAnsi="Arial"/>
                <w:b w:val="0"/>
                <w:sz w:val="14"/>
              </w:rPr>
              <w:t>Use fix script with LanguageCode = 1031</w:t>
            </w:r>
          </w:p>
        </w:tc>
      </w:tr>
      <w:tr>
        <w:tc>
          <w:tcPr>
            <w:tcW w:type="dxa" w:w="5179"/>
            <w:vAlign w:val="top"/>
          </w:tcPr>
          <w:p>
            <w:r/>
            <w:r>
              <w:rPr>
                <w:rFonts w:ascii="Arial" w:hAnsi="Arial"/>
                <w:b w:val="0"/>
                <w:sz w:val="14"/>
              </w:rPr>
              <w:t>Fields not in ASO.Core</w:t>
            </w:r>
          </w:p>
        </w:tc>
        <w:tc>
          <w:tcPr>
            <w:tcW w:type="dxa" w:w="5179"/>
            <w:vAlign w:val="top"/>
          </w:tcPr>
          <w:p>
            <w:r/>
            <w:r>
              <w:rPr>
                <w:rFonts w:ascii="Arial" w:hAnsi="Arial"/>
                <w:b w:val="0"/>
                <w:sz w:val="14"/>
              </w:rPr>
              <w:t>Wrong SolutionUniqueName</w:t>
            </w:r>
          </w:p>
        </w:tc>
        <w:tc>
          <w:tcPr>
            <w:tcW w:type="dxa" w:w="5179"/>
            <w:vAlign w:val="top"/>
          </w:tcPr>
          <w:p>
            <w:r/>
            <w:r>
              <w:rPr>
                <w:rFonts w:ascii="Arial" w:hAnsi="Arial"/>
                <w:b w:val="0"/>
                <w:sz w:val="14"/>
              </w:rPr>
              <w:t>Verify unique name with pac solution list</w:t>
            </w:r>
          </w:p>
        </w:tc>
      </w:tr>
      <w:tr>
        <w:tc>
          <w:tcPr>
            <w:tcW w:type="dxa" w:w="5179"/>
            <w:vAlign w:val="top"/>
          </w:tcPr>
          <w:p>
            <w:r/>
            <w:r>
              <w:rPr>
                <w:rFonts w:ascii="Arial" w:hAnsi="Arial"/>
                <w:b w:val="0"/>
                <w:sz w:val="14"/>
              </w:rPr>
              <w:t>Build error/no entry point</w:t>
            </w:r>
          </w:p>
        </w:tc>
        <w:tc>
          <w:tcPr>
            <w:tcW w:type="dxa" w:w="5179"/>
            <w:vAlign w:val="top"/>
          </w:tcPr>
          <w:p>
            <w:r/>
            <w:r>
              <w:rPr>
                <w:rFonts w:ascii="Arial" w:hAnsi="Arial"/>
                <w:b w:val="0"/>
                <w:sz w:val="14"/>
              </w:rPr>
              <w:t>Program.cs not fully pasted</w:t>
            </w:r>
          </w:p>
        </w:tc>
        <w:tc>
          <w:tcPr>
            <w:tcW w:type="dxa" w:w="5179"/>
            <w:vAlign w:val="top"/>
          </w:tcPr>
          <w:p>
            <w:r/>
            <w:r>
              <w:rPr>
                <w:rFonts w:ascii="Arial" w:hAnsi="Arial"/>
                <w:b w:val="0"/>
                <w:sz w:val="14"/>
              </w:rPr>
              <w:t>Replace Program.cs with full script and save</w:t>
            </w:r>
          </w:p>
        </w:tc>
      </w:tr>
    </w:tbl>
    <w:p/>
    <w:p>
      <w:pPr>
        <w:pStyle w:val="Heading2"/>
      </w:pPr>
      <w:r>
        <w:t>Rollback/recovery approach</w:t>
      </w:r>
    </w:p>
    <w:p>
      <w:pPr>
        <w:pStyle w:val="ListBullet"/>
      </w:pPr>
      <w:r>
        <w:rPr>
          <w:rFonts w:ascii="Arial" w:hAnsi="Arial"/>
          <w:sz w:val="18"/>
        </w:rPr>
        <w:t>If only the relationship failed: do not delete the table. Run the focused relationship fix script.</w:t>
      </w:r>
    </w:p>
    <w:p>
      <w:pPr>
        <w:pStyle w:val="ListBullet"/>
      </w:pPr>
      <w:r>
        <w:rPr>
          <w:rFonts w:ascii="Arial" w:hAnsi="Arial"/>
          <w:sz w:val="18"/>
        </w:rPr>
        <w:t>If a non-production trial mistake is discovered immediately: delete the custom table only if there are no dependencies and no needed data.</w:t>
      </w:r>
    </w:p>
    <w:p>
      <w:pPr>
        <w:pStyle w:val="ListBullet"/>
      </w:pPr>
      <w:r>
        <w:rPr>
          <w:rFonts w:ascii="Arial" w:hAnsi="Arial"/>
          <w:sz w:val="18"/>
        </w:rPr>
        <w:t>If dependencies already exist: remove dependent components first, then remove the table/columns.</w:t>
      </w:r>
    </w:p>
    <w:p>
      <w:pPr>
        <w:pStyle w:val="ListBullet"/>
      </w:pPr>
      <w:r>
        <w:rPr>
          <w:rFonts w:ascii="Arial" w:hAnsi="Arial"/>
          <w:sz w:val="18"/>
        </w:rPr>
        <w:t>Use the latest unmanaged/managed solution backup as a checkpoint for comparison and recovery planning.</w:t>
      </w:r>
    </w:p>
    <w:p>
      <w:pPr>
        <w:pStyle w:val="ListBullet"/>
      </w:pPr>
      <w:r>
        <w:rPr>
          <w:rFonts w:ascii="Arial" w:hAnsi="Arial"/>
          <w:sz w:val="18"/>
        </w:rPr>
        <w:t>In a real production ALM pipeline, rollback should be done through managed solution versioning and environment restore policies, not ad-hoc manual deletion.</w:t>
      </w:r>
    </w:p>
    <w:p>
      <w:pPr>
        <w:pStyle w:val="Heading2"/>
      </w:pPr>
      <w:r>
        <w:t>What each audience should understand</w:t>
      </w:r>
    </w:p>
    <w:p>
      <w:pPr>
        <w:pStyle w:val="Heading3"/>
      </w:pPr>
      <w:r>
        <w:t>Non-technical person</w:t>
      </w:r>
    </w:p>
    <w:p>
      <w:r>
        <w:rPr>
          <w:rFonts w:ascii="Arial" w:hAnsi="Arial"/>
          <w:sz w:val="18"/>
        </w:rPr>
        <w:t>We created a safe waiting room for sensitive commercial actions. It does not send anything to SAP. It only stores the action so a person or process can review it first.</w:t>
      </w:r>
    </w:p>
    <w:p>
      <w:pPr>
        <w:pStyle w:val="Heading3"/>
      </w:pPr>
      <w:r>
        <w:t>Product Owner</w:t>
      </w:r>
    </w:p>
    <w:p>
      <w:r>
        <w:rPr>
          <w:rFonts w:ascii="Arial" w:hAnsi="Arial"/>
          <w:sz w:val="18"/>
        </w:rPr>
        <w:t>This table enables approval-gated commercial orchestration. It supports future SAP-safe order/reference handling without making AI or automation directly responsible for commercial submission.</w:t>
      </w:r>
    </w:p>
    <w:p>
      <w:pPr>
        <w:pStyle w:val="Heading3"/>
      </w:pPr>
      <w:r>
        <w:t>Developer / technical consultant</w:t>
      </w:r>
    </w:p>
    <w:p>
      <w:r>
        <w:rPr>
          <w:rFonts w:ascii="Arial" w:hAnsi="Arial"/>
          <w:sz w:val="18"/>
        </w:rPr>
        <w:t>This is Dataverse metadata automation. The script creates a user-owned custom table, string/memo/date/choice columns, and attempted a one-to-many Opportunity relationship through the SDK. The initial relationship operation failed because of the organization label language. A second script created the lookup with language code 1031.</w:t>
      </w:r>
    </w:p>
    <w:p>
      <w:pPr>
        <w:pStyle w:val="Heading1"/>
      </w:pPr>
      <w:r>
        <w:t>Part 2 - Full script documentation with line-by-line explanation</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2590"/>
            <w:shd w:fill="D9EAF7"/>
          </w:tcPr>
          <w:p>
            <w:r/>
            <w:r>
              <w:rPr>
                <w:rFonts w:ascii="Arial" w:hAnsi="Arial"/>
                <w:b/>
                <w:sz w:val="12"/>
              </w:rPr>
              <w:t>Line</w:t>
            </w:r>
          </w:p>
        </w:tc>
        <w:tc>
          <w:tcPr>
            <w:tcW w:type="dxa" w:w="2590"/>
            <w:shd w:fill="D9EAF7"/>
          </w:tcPr>
          <w:p>
            <w:r/>
            <w:r>
              <w:rPr>
                <w:rFonts w:ascii="Arial" w:hAnsi="Arial"/>
                <w:b/>
                <w:sz w:val="12"/>
              </w:rPr>
              <w:t>Code</w:t>
            </w:r>
          </w:p>
        </w:tc>
        <w:tc>
          <w:tcPr>
            <w:tcW w:type="dxa" w:w="2590"/>
            <w:shd w:fill="D9EAF7"/>
          </w:tcPr>
          <w:p>
            <w:r/>
            <w:r>
              <w:rPr>
                <w:rFonts w:ascii="Arial" w:hAnsi="Arial"/>
                <w:b/>
                <w:sz w:val="12"/>
              </w:rPr>
              <w:t>Explanation in simple language</w:t>
            </w:r>
          </w:p>
        </w:tc>
        <w:tc>
          <w:tcPr>
            <w:tcW w:type="dxa" w:w="2590"/>
            <w:shd w:fill="D9EAF7"/>
          </w:tcPr>
          <w:p>
            <w:r/>
            <w:r>
              <w:rPr>
                <w:rFonts w:ascii="Arial" w:hAnsi="Arial"/>
                <w:b/>
                <w:sz w:val="12"/>
              </w:rPr>
              <w:t>Technical explanation</w:t>
            </w:r>
          </w:p>
        </w:tc>
        <w:tc>
          <w:tcPr>
            <w:tcW w:type="dxa" w:w="2590"/>
            <w:shd w:fill="D9EAF7"/>
          </w:tcPr>
          <w:p>
            <w:r/>
            <w:r>
              <w:rPr>
                <w:rFonts w:ascii="Arial" w:hAnsi="Arial"/>
                <w:b/>
                <w:sz w:val="12"/>
              </w:rPr>
              <w:t>Why it matters</w:t>
            </w:r>
          </w:p>
        </w:tc>
        <w:tc>
          <w:tcPr>
            <w:tcW w:type="dxa" w:w="2590"/>
            <w:shd w:fill="D9EAF7"/>
          </w:tcPr>
          <w:p>
            <w:r/>
            <w:r>
              <w:rPr>
                <w:rFonts w:ascii="Arial" w:hAnsi="Arial"/>
                <w:b/>
                <w:sz w:val="12"/>
              </w:rPr>
              <w:t>Common mistake / warning</w:t>
            </w:r>
          </w:p>
        </w:tc>
      </w:tr>
      <w:tr>
        <w:tc>
          <w:tcPr>
            <w:tcW w:type="dxa" w:w="2590"/>
            <w:vAlign w:val="top"/>
          </w:tcPr>
          <w:p>
            <w:r/>
            <w:r>
              <w:rPr>
                <w:rFonts w:ascii="Arial" w:hAnsi="Arial"/>
                <w:b w:val="0"/>
                <w:sz w:val="12"/>
              </w:rPr>
              <w:t>1</w:t>
            </w:r>
          </w:p>
        </w:tc>
        <w:tc>
          <w:tcPr>
            <w:tcW w:type="dxa" w:w="2590"/>
            <w:vAlign w:val="top"/>
          </w:tcPr>
          <w:p>
            <w:r/>
            <w:r>
              <w:rPr>
                <w:rFonts w:ascii="Arial" w:hAnsi="Arial"/>
                <w:b w:val="0"/>
                <w:sz w:val="12"/>
              </w:rPr>
              <w:t>using Microsoft.Crm.Sdk.Messages;</w:t>
            </w:r>
          </w:p>
        </w:tc>
        <w:tc>
          <w:tcPr>
            <w:tcW w:type="dxa" w:w="2590"/>
            <w:vAlign w:val="top"/>
          </w:tcPr>
          <w:p>
            <w:r/>
            <w:r>
              <w:rPr>
                <w:rFonts w:ascii="Arial" w:hAnsi="Arial"/>
                <w:b w:val="0"/>
                <w:sz w:val="12"/>
              </w:rPr>
              <w:t>Imports the Microsoft.Crm.Sdk.Messages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2</w:t>
            </w:r>
          </w:p>
        </w:tc>
        <w:tc>
          <w:tcPr>
            <w:tcW w:type="dxa" w:w="2590"/>
            <w:vAlign w:val="top"/>
          </w:tcPr>
          <w:p>
            <w:r/>
            <w:r>
              <w:rPr>
                <w:rFonts w:ascii="Arial" w:hAnsi="Arial"/>
                <w:b w:val="0"/>
                <w:sz w:val="12"/>
              </w:rPr>
              <w:t>using Microsoft.PowerPlatform.Dataverse.Client;</w:t>
            </w:r>
          </w:p>
        </w:tc>
        <w:tc>
          <w:tcPr>
            <w:tcW w:type="dxa" w:w="2590"/>
            <w:vAlign w:val="top"/>
          </w:tcPr>
          <w:p>
            <w:r/>
            <w:r>
              <w:rPr>
                <w:rFonts w:ascii="Arial" w:hAnsi="Arial"/>
                <w:b w:val="0"/>
                <w:sz w:val="12"/>
              </w:rPr>
              <w:t>Imports the Microsoft.PowerPlatform.Dataverse.Client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3</w:t>
            </w:r>
          </w:p>
        </w:tc>
        <w:tc>
          <w:tcPr>
            <w:tcW w:type="dxa" w:w="2590"/>
            <w:vAlign w:val="top"/>
          </w:tcPr>
          <w:p>
            <w:r/>
            <w:r>
              <w:rPr>
                <w:rFonts w:ascii="Arial" w:hAnsi="Arial"/>
                <w:b w:val="0"/>
                <w:sz w:val="12"/>
              </w:rPr>
              <w:t>using Microsoft.Xrm.Sdk;</w:t>
            </w:r>
          </w:p>
        </w:tc>
        <w:tc>
          <w:tcPr>
            <w:tcW w:type="dxa" w:w="2590"/>
            <w:vAlign w:val="top"/>
          </w:tcPr>
          <w:p>
            <w:r/>
            <w:r>
              <w:rPr>
                <w:rFonts w:ascii="Arial" w:hAnsi="Arial"/>
                <w:b w:val="0"/>
                <w:sz w:val="12"/>
              </w:rPr>
              <w:t>Imports the Microsoft.Xrm.Sdk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4</w:t>
            </w:r>
          </w:p>
        </w:tc>
        <w:tc>
          <w:tcPr>
            <w:tcW w:type="dxa" w:w="2590"/>
            <w:vAlign w:val="top"/>
          </w:tcPr>
          <w:p>
            <w:r/>
            <w:r>
              <w:rPr>
                <w:rFonts w:ascii="Arial" w:hAnsi="Arial"/>
                <w:b w:val="0"/>
                <w:sz w:val="12"/>
              </w:rPr>
              <w:t>using Microsoft.Xrm.Sdk.Messages;</w:t>
            </w:r>
          </w:p>
        </w:tc>
        <w:tc>
          <w:tcPr>
            <w:tcW w:type="dxa" w:w="2590"/>
            <w:vAlign w:val="top"/>
          </w:tcPr>
          <w:p>
            <w:r/>
            <w:r>
              <w:rPr>
                <w:rFonts w:ascii="Arial" w:hAnsi="Arial"/>
                <w:b w:val="0"/>
                <w:sz w:val="12"/>
              </w:rPr>
              <w:t>Imports the Microsoft.Xrm.Sdk.Messages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5</w:t>
            </w:r>
          </w:p>
        </w:tc>
        <w:tc>
          <w:tcPr>
            <w:tcW w:type="dxa" w:w="2590"/>
            <w:vAlign w:val="top"/>
          </w:tcPr>
          <w:p>
            <w:r/>
            <w:r>
              <w:rPr>
                <w:rFonts w:ascii="Arial" w:hAnsi="Arial"/>
                <w:b w:val="0"/>
                <w:sz w:val="12"/>
              </w:rPr>
              <w:t>using Microsoft.Xrm.Sdk.Metadata;</w:t>
            </w:r>
          </w:p>
        </w:tc>
        <w:tc>
          <w:tcPr>
            <w:tcW w:type="dxa" w:w="2590"/>
            <w:vAlign w:val="top"/>
          </w:tcPr>
          <w:p>
            <w:r/>
            <w:r>
              <w:rPr>
                <w:rFonts w:ascii="Arial" w:hAnsi="Arial"/>
                <w:b w:val="0"/>
                <w:sz w:val="12"/>
              </w:rPr>
              <w:t>Imports the Microsoft.Xrm.Sdk.Metadata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6</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w:t>
            </w:r>
          </w:p>
        </w:tc>
        <w:tc>
          <w:tcPr>
            <w:tcW w:type="dxa" w:w="2590"/>
            <w:vAlign w:val="top"/>
          </w:tcPr>
          <w:p>
            <w:r/>
            <w:r>
              <w:rPr>
                <w:rFonts w:ascii="Arial" w:hAnsi="Arial"/>
                <w:b w:val="0"/>
                <w:sz w:val="12"/>
              </w:rPr>
              <w:t>const string DataverseUrl = "https://phoenicarix-ci.crm4.dynamics.com";</w:t>
            </w:r>
          </w:p>
        </w:tc>
        <w:tc>
          <w:tcPr>
            <w:tcW w:type="dxa" w:w="2590"/>
            <w:vAlign w:val="top"/>
          </w:tcPr>
          <w:p>
            <w:r/>
            <w:r>
              <w:rPr>
                <w:rFonts w:ascii="Arial" w:hAnsi="Arial"/>
                <w:b w:val="0"/>
                <w:sz w:val="12"/>
              </w:rPr>
              <w:t>Defines the target Dataverse environment URL.</w:t>
            </w:r>
          </w:p>
        </w:tc>
        <w:tc>
          <w:tcPr>
            <w:tcW w:type="dxa" w:w="2590"/>
            <w:vAlign w:val="top"/>
          </w:tcPr>
          <w:p>
            <w:r/>
            <w:r>
              <w:rPr>
                <w:rFonts w:ascii="Arial" w:hAnsi="Arial"/>
                <w:b w:val="0"/>
                <w:sz w:val="12"/>
              </w:rPr>
              <w:t>ServiceClient uses this URL to connect to Phoenicarix-CI.</w:t>
            </w:r>
          </w:p>
        </w:tc>
        <w:tc>
          <w:tcPr>
            <w:tcW w:type="dxa" w:w="2590"/>
            <w:vAlign w:val="top"/>
          </w:tcPr>
          <w:p>
            <w:r/>
            <w:r>
              <w:rPr>
                <w:rFonts w:ascii="Arial" w:hAnsi="Arial"/>
                <w:b w:val="0"/>
                <w:sz w:val="12"/>
              </w:rPr>
              <w:t>Prevents accidental schema creation in the wrong tenant/environment.</w:t>
            </w:r>
          </w:p>
        </w:tc>
        <w:tc>
          <w:tcPr>
            <w:tcW w:type="dxa" w:w="2590"/>
            <w:vAlign w:val="top"/>
          </w:tcPr>
          <w:p>
            <w:r/>
            <w:r>
              <w:rPr>
                <w:rFonts w:ascii="Arial" w:hAnsi="Arial"/>
                <w:b w:val="0"/>
                <w:sz w:val="12"/>
              </w:rPr>
              <w:t>Wrong URL creates components in the wrong environment or fails authentication.</w:t>
            </w:r>
          </w:p>
        </w:tc>
      </w:tr>
      <w:tr>
        <w:tc>
          <w:tcPr>
            <w:tcW w:type="dxa" w:w="2590"/>
            <w:vAlign w:val="top"/>
          </w:tcPr>
          <w:p>
            <w:r/>
            <w:r>
              <w:rPr>
                <w:rFonts w:ascii="Arial" w:hAnsi="Arial"/>
                <w:b w:val="0"/>
                <w:sz w:val="12"/>
              </w:rPr>
              <w:t>8</w:t>
            </w:r>
          </w:p>
        </w:tc>
        <w:tc>
          <w:tcPr>
            <w:tcW w:type="dxa" w:w="2590"/>
            <w:vAlign w:val="top"/>
          </w:tcPr>
          <w:p>
            <w:r/>
            <w:r>
              <w:rPr>
                <w:rFonts w:ascii="Arial" w:hAnsi="Arial"/>
                <w:b w:val="0"/>
                <w:sz w:val="12"/>
              </w:rPr>
              <w:t>const string SolutionUniqueName = "ASOCore";</w:t>
            </w:r>
          </w:p>
        </w:tc>
        <w:tc>
          <w:tcPr>
            <w:tcW w:type="dxa" w:w="2590"/>
            <w:vAlign w:val="top"/>
          </w:tcPr>
          <w:p>
            <w:r/>
            <w:r>
              <w:rPr>
                <w:rFonts w:ascii="Arial" w:hAnsi="Arial"/>
                <w:b w:val="0"/>
                <w:sz w:val="12"/>
              </w:rPr>
              <w:t>Defines the technical solution unique name: ASOCore.</w:t>
            </w:r>
          </w:p>
        </w:tc>
        <w:tc>
          <w:tcPr>
            <w:tcW w:type="dxa" w:w="2590"/>
            <w:vAlign w:val="top"/>
          </w:tcPr>
          <w:p>
            <w:r/>
            <w:r>
              <w:rPr>
                <w:rFonts w:ascii="Arial" w:hAnsi="Arial"/>
                <w:b w:val="0"/>
                <w:sz w:val="12"/>
              </w:rPr>
              <w:t>CreateEntityRequest, CreateAttributeRequest, and CreateOneToManyRequest use this to associate metadata with ASO.Core.</w:t>
            </w:r>
          </w:p>
        </w:tc>
        <w:tc>
          <w:tcPr>
            <w:tcW w:type="dxa" w:w="2590"/>
            <w:vAlign w:val="top"/>
          </w:tcPr>
          <w:p>
            <w:r/>
            <w:r>
              <w:rPr>
                <w:rFonts w:ascii="Arial" w:hAnsi="Arial"/>
                <w:b w:val="0"/>
                <w:sz w:val="12"/>
              </w:rPr>
              <w:t>Keeps created components inside the project solution for ALM/export.</w:t>
            </w:r>
          </w:p>
        </w:tc>
        <w:tc>
          <w:tcPr>
            <w:tcW w:type="dxa" w:w="2590"/>
            <w:vAlign w:val="top"/>
          </w:tcPr>
          <w:p>
            <w:r/>
            <w:r>
              <w:rPr>
                <w:rFonts w:ascii="Arial" w:hAnsi="Arial"/>
                <w:b w:val="0"/>
                <w:sz w:val="12"/>
              </w:rPr>
              <w:t>Using display name instead of unique name can leave components outside the intended solution.</w:t>
            </w:r>
          </w:p>
        </w:tc>
      </w:tr>
      <w:tr>
        <w:tc>
          <w:tcPr>
            <w:tcW w:type="dxa" w:w="2590"/>
            <w:vAlign w:val="top"/>
          </w:tcPr>
          <w:p>
            <w:r/>
            <w:r>
              <w:rPr>
                <w:rFonts w:ascii="Arial" w:hAnsi="Arial"/>
                <w:b w:val="0"/>
                <w:sz w:val="12"/>
              </w:rPr>
              <w:t>9</w:t>
            </w:r>
          </w:p>
        </w:tc>
        <w:tc>
          <w:tcPr>
            <w:tcW w:type="dxa" w:w="2590"/>
            <w:vAlign w:val="top"/>
          </w:tcPr>
          <w:p>
            <w:r/>
            <w:r>
              <w:rPr>
                <w:rFonts w:ascii="Arial" w:hAnsi="Arial"/>
                <w:b w:val="0"/>
                <w:sz w:val="12"/>
              </w:rPr>
              <w:t>const string EntityLogicalName = "aso_pendingcommercialaction";</w:t>
            </w:r>
          </w:p>
        </w:tc>
        <w:tc>
          <w:tcPr>
            <w:tcW w:type="dxa" w:w="2590"/>
            <w:vAlign w:val="top"/>
          </w:tcPr>
          <w:p>
            <w:r/>
            <w:r>
              <w:rPr>
                <w:rFonts w:ascii="Arial" w:hAnsi="Arial"/>
                <w:b w:val="0"/>
                <w:sz w:val="12"/>
              </w:rPr>
              <w:t>Defines the target table logical name.</w:t>
            </w:r>
          </w:p>
        </w:tc>
        <w:tc>
          <w:tcPr>
            <w:tcW w:type="dxa" w:w="2590"/>
            <w:vAlign w:val="top"/>
          </w:tcPr>
          <w:p>
            <w:r/>
            <w:r>
              <w:rPr>
                <w:rFonts w:ascii="Arial" w:hAnsi="Arial"/>
                <w:b w:val="0"/>
                <w:sz w:val="12"/>
              </w:rPr>
              <w:t>The script uses aso_pendingcommercialaction as the Dataverse table logical name.</w:t>
            </w:r>
          </w:p>
        </w:tc>
        <w:tc>
          <w:tcPr>
            <w:tcW w:type="dxa" w:w="2590"/>
            <w:vAlign w:val="top"/>
          </w:tcPr>
          <w:p>
            <w:r/>
            <w:r>
              <w:rPr>
                <w:rFonts w:ascii="Arial" w:hAnsi="Arial"/>
                <w:b w:val="0"/>
                <w:sz w:val="12"/>
              </w:rPr>
              <w:t>Every table, column, relationship, and publish request depends on this value.</w:t>
            </w:r>
          </w:p>
        </w:tc>
        <w:tc>
          <w:tcPr>
            <w:tcW w:type="dxa" w:w="2590"/>
            <w:vAlign w:val="top"/>
          </w:tcPr>
          <w:p>
            <w:r/>
            <w:r>
              <w:rPr>
                <w:rFonts w:ascii="Arial" w:hAnsi="Arial"/>
                <w:b w:val="0"/>
                <w:sz w:val="12"/>
              </w:rPr>
              <w:t>Wrong logical name targets the wrong table or causes metadata request failures.</w:t>
            </w:r>
          </w:p>
        </w:tc>
      </w:tr>
      <w:tr>
        <w:tc>
          <w:tcPr>
            <w:tcW w:type="dxa" w:w="2590"/>
            <w:vAlign w:val="top"/>
          </w:tcPr>
          <w:p>
            <w:r/>
            <w:r>
              <w:rPr>
                <w:rFonts w:ascii="Arial" w:hAnsi="Arial"/>
                <w:b w:val="0"/>
                <w:sz w:val="12"/>
              </w:rPr>
              <w:t>10</w:t>
            </w:r>
          </w:p>
        </w:tc>
        <w:tc>
          <w:tcPr>
            <w:tcW w:type="dxa" w:w="2590"/>
            <w:vAlign w:val="top"/>
          </w:tcPr>
          <w:p>
            <w:r/>
            <w:r>
              <w:rPr>
                <w:rFonts w:ascii="Arial" w:hAnsi="Arial"/>
                <w:b w:val="0"/>
                <w:sz w:val="12"/>
              </w:rPr>
              <w:t>const int LanguageCode = 1033;</w:t>
            </w:r>
          </w:p>
        </w:tc>
        <w:tc>
          <w:tcPr>
            <w:tcW w:type="dxa" w:w="2590"/>
            <w:vAlign w:val="top"/>
          </w:tcPr>
          <w:p>
            <w:r/>
            <w:r>
              <w:rPr>
                <w:rFonts w:ascii="Arial" w:hAnsi="Arial"/>
                <w:b w:val="0"/>
                <w:sz w:val="12"/>
              </w:rPr>
              <w:t>Sets English language code 1033 for labels.</w:t>
            </w:r>
          </w:p>
        </w:tc>
        <w:tc>
          <w:tcPr>
            <w:tcW w:type="dxa" w:w="2590"/>
            <w:vAlign w:val="top"/>
          </w:tcPr>
          <w:p>
            <w:r/>
            <w:r>
              <w:rPr>
                <w:rFonts w:ascii="Arial" w:hAnsi="Arial"/>
                <w:b w:val="0"/>
                <w:sz w:val="12"/>
              </w:rPr>
              <w:t>Label(...) uses this language code for display names and descriptions.</w:t>
            </w:r>
          </w:p>
        </w:tc>
        <w:tc>
          <w:tcPr>
            <w:tcW w:type="dxa" w:w="2590"/>
            <w:vAlign w:val="top"/>
          </w:tcPr>
          <w:p>
            <w:r/>
            <w:r>
              <w:rPr>
                <w:rFonts w:ascii="Arial" w:hAnsi="Arial"/>
                <w:b w:val="0"/>
                <w:sz w:val="12"/>
              </w:rPr>
              <w:t>Worked for table/column labels, but failed for the relationship label in this organization.</w:t>
            </w:r>
          </w:p>
        </w:tc>
        <w:tc>
          <w:tcPr>
            <w:tcW w:type="dxa" w:w="2590"/>
            <w:vAlign w:val="top"/>
          </w:tcPr>
          <w:p>
            <w:r/>
            <w:r>
              <w:rPr>
                <w:rFonts w:ascii="Arial" w:hAnsi="Arial"/>
                <w:b w:val="0"/>
                <w:sz w:val="12"/>
              </w:rPr>
              <w:t>This was the source of the lookup error: '1033 is not a valid language for this organization'.</w:t>
            </w:r>
          </w:p>
        </w:tc>
      </w:tr>
      <w:tr>
        <w:tc>
          <w:tcPr>
            <w:tcW w:type="dxa" w:w="2590"/>
            <w:vAlign w:val="top"/>
          </w:tcPr>
          <w:p>
            <w:r/>
            <w:r>
              <w:rPr>
                <w:rFonts w:ascii="Arial" w:hAnsi="Arial"/>
                <w:b w:val="0"/>
                <w:sz w:val="12"/>
              </w:rPr>
              <w:t>11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12</w:t>
            </w:r>
          </w:p>
        </w:tc>
        <w:tc>
          <w:tcPr>
            <w:tcW w:type="dxa" w:w="2590"/>
            <w:vAlign w:val="top"/>
          </w:tcPr>
          <w:p>
            <w:r/>
            <w:r>
              <w:rPr>
                <w:rFonts w:ascii="Arial" w:hAnsi="Arial"/>
                <w:b w:val="0"/>
                <w:sz w:val="12"/>
              </w:rPr>
              <w:t>var connectionString =</w:t>
            </w:r>
          </w:p>
        </w:tc>
        <w:tc>
          <w:tcPr>
            <w:tcW w:type="dxa" w:w="2590"/>
            <w:vAlign w:val="top"/>
          </w:tcPr>
          <w:p>
            <w:r/>
            <w:r>
              <w:rPr>
                <w:rFonts w:ascii="Arial" w:hAnsi="Arial"/>
                <w:b w:val="0"/>
                <w:sz w:val="12"/>
              </w:rPr>
              <w:t>Starts the Dataverse connection string definition.</w:t>
            </w:r>
          </w:p>
        </w:tc>
        <w:tc>
          <w:tcPr>
            <w:tcW w:type="dxa" w:w="2590"/>
            <w:vAlign w:val="top"/>
          </w:tcPr>
          <w:p>
            <w:r/>
            <w:r>
              <w:rPr>
                <w:rFonts w:ascii="Arial" w:hAnsi="Arial"/>
                <w:b w:val="0"/>
                <w:sz w:val="12"/>
              </w:rPr>
              <w:t>The following lines define OAuth authentication, URL, login behavior, client ID, and redirect URI.</w:t>
            </w:r>
          </w:p>
        </w:tc>
        <w:tc>
          <w:tcPr>
            <w:tcW w:type="dxa" w:w="2590"/>
            <w:vAlign w:val="top"/>
          </w:tcPr>
          <w:p>
            <w:r/>
            <w:r>
              <w:rPr>
                <w:rFonts w:ascii="Arial" w:hAnsi="Arial"/>
                <w:b w:val="0"/>
                <w:sz w:val="12"/>
              </w:rPr>
              <w:t>The script needs an authenticated ServiceClient to execute metadata operations.</w:t>
            </w:r>
          </w:p>
        </w:tc>
        <w:tc>
          <w:tcPr>
            <w:tcW w:type="dxa" w:w="2590"/>
            <w:vAlign w:val="top"/>
          </w:tcPr>
          <w:p>
            <w:r/>
            <w:r>
              <w:rPr>
                <w:rFonts w:ascii="Arial" w:hAnsi="Arial"/>
                <w:b w:val="0"/>
                <w:sz w:val="12"/>
              </w:rPr>
              <w:t>Incomplete connection strings prevent login or service initialization.</w:t>
            </w:r>
          </w:p>
        </w:tc>
      </w:tr>
      <w:tr>
        <w:tc>
          <w:tcPr>
            <w:tcW w:type="dxa" w:w="2590"/>
            <w:vAlign w:val="top"/>
          </w:tcPr>
          <w:p>
            <w:r/>
            <w:r>
              <w:rPr>
                <w:rFonts w:ascii="Arial" w:hAnsi="Arial"/>
                <w:b w:val="0"/>
                <w:sz w:val="12"/>
              </w:rPr>
              <w:t>13</w:t>
            </w:r>
          </w:p>
        </w:tc>
        <w:tc>
          <w:tcPr>
            <w:tcW w:type="dxa" w:w="2590"/>
            <w:vAlign w:val="top"/>
          </w:tcPr>
          <w:p>
            <w:r/>
            <w:r>
              <w:rPr>
                <w:rFonts w:ascii="Arial" w:hAnsi="Arial"/>
                <w:b w:val="0"/>
                <w:sz w:val="12"/>
              </w:rPr>
              <w:t xml:space="preserve">    $@"AuthType=OAuth;</w:t>
            </w:r>
          </w:p>
        </w:tc>
        <w:tc>
          <w:tcPr>
            <w:tcW w:type="dxa" w:w="2590"/>
            <w:vAlign w:val="top"/>
          </w:tcPr>
          <w:p>
            <w:r/>
            <w:r>
              <w:rPr>
                <w:rFonts w:ascii="Arial" w:hAnsi="Arial"/>
                <w:b w:val="0"/>
                <w:sz w:val="12"/>
              </w:rPr>
              <w:t>Specifies OAuth authentication.</w:t>
            </w:r>
          </w:p>
        </w:tc>
        <w:tc>
          <w:tcPr>
            <w:tcW w:type="dxa" w:w="2590"/>
            <w:vAlign w:val="top"/>
          </w:tcPr>
          <w:p>
            <w:r/>
            <w:r>
              <w:rPr>
                <w:rFonts w:ascii="Arial" w:hAnsi="Arial"/>
                <w:b w:val="0"/>
                <w:sz w:val="12"/>
              </w:rPr>
              <w:t>OAuth is the interactive sign-in method for the local Dataverse SDK connection.</w:t>
            </w:r>
          </w:p>
        </w:tc>
        <w:tc>
          <w:tcPr>
            <w:tcW w:type="dxa" w:w="2590"/>
            <w:vAlign w:val="top"/>
          </w:tcPr>
          <w:p>
            <w:r/>
            <w:r>
              <w:rPr>
                <w:rFonts w:ascii="Arial" w:hAnsi="Arial"/>
                <w:b w:val="0"/>
                <w:sz w:val="12"/>
              </w:rPr>
              <w:t>Allows a maker/admin to sign in with their Power Platform account.</w:t>
            </w:r>
          </w:p>
        </w:tc>
        <w:tc>
          <w:tcPr>
            <w:tcW w:type="dxa" w:w="2590"/>
            <w:vAlign w:val="top"/>
          </w:tcPr>
          <w:p>
            <w:r/>
            <w:r>
              <w:rPr>
                <w:rFonts w:ascii="Arial" w:hAnsi="Arial"/>
                <w:b w:val="0"/>
                <w:sz w:val="12"/>
              </w:rPr>
              <w:t>Wrong auth type may require unavailable secrets or fail on Mac/local use.</w:t>
            </w:r>
          </w:p>
        </w:tc>
      </w:tr>
      <w:tr>
        <w:tc>
          <w:tcPr>
            <w:tcW w:type="dxa" w:w="2590"/>
            <w:vAlign w:val="top"/>
          </w:tcPr>
          <w:p>
            <w:r/>
            <w:r>
              <w:rPr>
                <w:rFonts w:ascii="Arial" w:hAnsi="Arial"/>
                <w:b w:val="0"/>
                <w:sz w:val="12"/>
              </w:rPr>
              <w:t>14</w:t>
            </w:r>
          </w:p>
        </w:tc>
        <w:tc>
          <w:tcPr>
            <w:tcW w:type="dxa" w:w="2590"/>
            <w:vAlign w:val="top"/>
          </w:tcPr>
          <w:p>
            <w:r/>
            <w:r>
              <w:rPr>
                <w:rFonts w:ascii="Arial" w:hAnsi="Arial"/>
                <w:b w:val="0"/>
                <w:sz w:val="12"/>
              </w:rPr>
              <w:t xml:space="preserve">       Url={DataverseUrl};</w:t>
            </w:r>
          </w:p>
        </w:tc>
        <w:tc>
          <w:tcPr>
            <w:tcW w:type="dxa" w:w="2590"/>
            <w:vAlign w:val="top"/>
          </w:tcPr>
          <w:p>
            <w:r/>
            <w:r>
              <w:rPr>
                <w:rFonts w:ascii="Arial" w:hAnsi="Arial"/>
                <w:b w:val="0"/>
                <w:sz w:val="12"/>
              </w:rPr>
              <w:t>Injects the configured Dataverse URL into the connection string.</w:t>
            </w:r>
          </w:p>
        </w:tc>
        <w:tc>
          <w:tcPr>
            <w:tcW w:type="dxa" w:w="2590"/>
            <w:vAlign w:val="top"/>
          </w:tcPr>
          <w:p>
            <w:r/>
            <w:r>
              <w:rPr>
                <w:rFonts w:ascii="Arial" w:hAnsi="Arial"/>
                <w:b w:val="0"/>
                <w:sz w:val="12"/>
              </w:rPr>
              <w:t>Uses the DataverseUrl constant rather than hardcoding the URL multiple times.</w:t>
            </w:r>
          </w:p>
        </w:tc>
        <w:tc>
          <w:tcPr>
            <w:tcW w:type="dxa" w:w="2590"/>
            <w:vAlign w:val="top"/>
          </w:tcPr>
          <w:p>
            <w:r/>
            <w:r>
              <w:rPr>
                <w:rFonts w:ascii="Arial" w:hAnsi="Arial"/>
                <w:b w:val="0"/>
                <w:sz w:val="12"/>
              </w:rPr>
              <w:t>Makes environment targeting explicit and maintainable.</w:t>
            </w:r>
          </w:p>
        </w:tc>
        <w:tc>
          <w:tcPr>
            <w:tcW w:type="dxa" w:w="2590"/>
            <w:vAlign w:val="top"/>
          </w:tcPr>
          <w:p>
            <w:r/>
            <w:r>
              <w:rPr>
                <w:rFonts w:ascii="Arial" w:hAnsi="Arial"/>
                <w:b w:val="0"/>
                <w:sz w:val="12"/>
              </w:rPr>
              <w:t>If the URL is wrong, all metadata operations target the wrong environment.</w:t>
            </w:r>
          </w:p>
        </w:tc>
      </w:tr>
      <w:tr>
        <w:tc>
          <w:tcPr>
            <w:tcW w:type="dxa" w:w="2590"/>
            <w:vAlign w:val="top"/>
          </w:tcPr>
          <w:p>
            <w:r/>
            <w:r>
              <w:rPr>
                <w:rFonts w:ascii="Arial" w:hAnsi="Arial"/>
                <w:b w:val="0"/>
                <w:sz w:val="12"/>
              </w:rPr>
              <w:t>15</w:t>
            </w:r>
          </w:p>
        </w:tc>
        <w:tc>
          <w:tcPr>
            <w:tcW w:type="dxa" w:w="2590"/>
            <w:vAlign w:val="top"/>
          </w:tcPr>
          <w:p>
            <w:r/>
            <w:r>
              <w:rPr>
                <w:rFonts w:ascii="Arial" w:hAnsi="Arial"/>
                <w:b w:val="0"/>
                <w:sz w:val="12"/>
              </w:rPr>
              <w:t xml:space="preserve">       LoginPrompt=Auto;</w:t>
            </w:r>
          </w:p>
        </w:tc>
        <w:tc>
          <w:tcPr>
            <w:tcW w:type="dxa" w:w="2590"/>
            <w:vAlign w:val="top"/>
          </w:tcPr>
          <w:p>
            <w:r/>
            <w:r>
              <w:rPr>
                <w:rFonts w:ascii="Arial" w:hAnsi="Arial"/>
                <w:b w:val="0"/>
                <w:sz w:val="12"/>
              </w:rPr>
              <w:t>Allows interactive login when needed.</w:t>
            </w:r>
          </w:p>
        </w:tc>
        <w:tc>
          <w:tcPr>
            <w:tcW w:type="dxa" w:w="2590"/>
            <w:vAlign w:val="top"/>
          </w:tcPr>
          <w:p>
            <w:r/>
            <w:r>
              <w:rPr>
                <w:rFonts w:ascii="Arial" w:hAnsi="Arial"/>
                <w:b w:val="0"/>
                <w:sz w:val="12"/>
              </w:rPr>
              <w:t>ServiceClient can open a login flow if no valid token is cached.</w:t>
            </w:r>
          </w:p>
        </w:tc>
        <w:tc>
          <w:tcPr>
            <w:tcW w:type="dxa" w:w="2590"/>
            <w:vAlign w:val="top"/>
          </w:tcPr>
          <w:p>
            <w:r/>
            <w:r>
              <w:rPr>
                <w:rFonts w:ascii="Arial" w:hAnsi="Arial"/>
                <w:b w:val="0"/>
                <w:sz w:val="12"/>
              </w:rPr>
              <w:t>Practical for a Mac-based maker/developer working locally.</w:t>
            </w:r>
          </w:p>
        </w:tc>
        <w:tc>
          <w:tcPr>
            <w:tcW w:type="dxa" w:w="2590"/>
            <w:vAlign w:val="top"/>
          </w:tcPr>
          <w:p>
            <w:r/>
            <w:r>
              <w:rPr>
                <w:rFonts w:ascii="Arial" w:hAnsi="Arial"/>
                <w:b w:val="0"/>
                <w:sz w:val="12"/>
              </w:rPr>
              <w:t>Without a login prompt, the script may fail silently when no token is available.</w:t>
            </w:r>
          </w:p>
        </w:tc>
      </w:tr>
      <w:tr>
        <w:tc>
          <w:tcPr>
            <w:tcW w:type="dxa" w:w="2590"/>
            <w:vAlign w:val="top"/>
          </w:tcPr>
          <w:p>
            <w:r/>
            <w:r>
              <w:rPr>
                <w:rFonts w:ascii="Arial" w:hAnsi="Arial"/>
                <w:b w:val="0"/>
                <w:sz w:val="12"/>
              </w:rPr>
              <w:t>16</w:t>
            </w:r>
          </w:p>
        </w:tc>
        <w:tc>
          <w:tcPr>
            <w:tcW w:type="dxa" w:w="2590"/>
            <w:vAlign w:val="top"/>
          </w:tcPr>
          <w:p>
            <w:r/>
            <w:r>
              <w:rPr>
                <w:rFonts w:ascii="Arial" w:hAnsi="Arial"/>
                <w:b w:val="0"/>
                <w:sz w:val="12"/>
              </w:rPr>
              <w:t xml:space="preserve">       ClientId=51f81489-12ee-4a9e-aaae-a2591f45987d;</w:t>
            </w:r>
          </w:p>
        </w:tc>
        <w:tc>
          <w:tcPr>
            <w:tcW w:type="dxa" w:w="2590"/>
            <w:vAlign w:val="top"/>
          </w:tcPr>
          <w:p>
            <w:r/>
            <w:r>
              <w:rPr>
                <w:rFonts w:ascii="Arial" w:hAnsi="Arial"/>
                <w:b w:val="0"/>
                <w:sz w:val="12"/>
              </w:rPr>
              <w:t>Sets the Microsoft public client ID used by Dataverse tooling scenarios.</w:t>
            </w:r>
          </w:p>
        </w:tc>
        <w:tc>
          <w:tcPr>
            <w:tcW w:type="dxa" w:w="2590"/>
            <w:vAlign w:val="top"/>
          </w:tcPr>
          <w:p>
            <w:r/>
            <w:r>
              <w:rPr>
                <w:rFonts w:ascii="Arial" w:hAnsi="Arial"/>
                <w:b w:val="0"/>
                <w:sz w:val="12"/>
              </w:rPr>
              <w:t>ServiceClient uses it for the interactive OAuth flow.</w:t>
            </w:r>
          </w:p>
        </w:tc>
        <w:tc>
          <w:tcPr>
            <w:tcW w:type="dxa" w:w="2590"/>
            <w:vAlign w:val="top"/>
          </w:tcPr>
          <w:p>
            <w:r/>
            <w:r>
              <w:rPr>
                <w:rFonts w:ascii="Arial" w:hAnsi="Arial"/>
                <w:b w:val="0"/>
                <w:sz w:val="12"/>
              </w:rPr>
              <w:t>Avoids creating a custom app registration for this MVP metadata script.</w:t>
            </w:r>
          </w:p>
        </w:tc>
        <w:tc>
          <w:tcPr>
            <w:tcW w:type="dxa" w:w="2590"/>
            <w:vAlign w:val="top"/>
          </w:tcPr>
          <w:p>
            <w:r/>
            <w:r>
              <w:rPr>
                <w:rFonts w:ascii="Arial" w:hAnsi="Arial"/>
                <w:b w:val="0"/>
                <w:sz w:val="12"/>
              </w:rPr>
              <w:t>Changing it to an invalid client ID breaks authentication.</w:t>
            </w:r>
          </w:p>
        </w:tc>
      </w:tr>
      <w:tr>
        <w:tc>
          <w:tcPr>
            <w:tcW w:type="dxa" w:w="2590"/>
            <w:vAlign w:val="top"/>
          </w:tcPr>
          <w:p>
            <w:r/>
            <w:r>
              <w:rPr>
                <w:rFonts w:ascii="Arial" w:hAnsi="Arial"/>
                <w:b w:val="0"/>
                <w:sz w:val="12"/>
              </w:rPr>
              <w:t>17</w:t>
            </w:r>
          </w:p>
        </w:tc>
        <w:tc>
          <w:tcPr>
            <w:tcW w:type="dxa" w:w="2590"/>
            <w:vAlign w:val="top"/>
          </w:tcPr>
          <w:p>
            <w:r/>
            <w:r>
              <w:rPr>
                <w:rFonts w:ascii="Arial" w:hAnsi="Arial"/>
                <w:b w:val="0"/>
                <w:sz w:val="12"/>
              </w:rPr>
              <w:t xml:space="preserve">       RedirectUri=http://localhost";</w:t>
            </w:r>
          </w:p>
        </w:tc>
        <w:tc>
          <w:tcPr>
            <w:tcW w:type="dxa" w:w="2590"/>
            <w:vAlign w:val="top"/>
          </w:tcPr>
          <w:p>
            <w:r/>
            <w:r>
              <w:rPr>
                <w:rFonts w:ascii="Arial" w:hAnsi="Arial"/>
                <w:b w:val="0"/>
                <w:sz w:val="12"/>
              </w:rPr>
              <w:t>Defines the local redirect URI for interactive OAuth.</w:t>
            </w:r>
          </w:p>
        </w:tc>
        <w:tc>
          <w:tcPr>
            <w:tcW w:type="dxa" w:w="2590"/>
            <w:vAlign w:val="top"/>
          </w:tcPr>
          <w:p>
            <w:r/>
            <w:r>
              <w:rPr>
                <w:rFonts w:ascii="Arial" w:hAnsi="Arial"/>
                <w:b w:val="0"/>
                <w:sz w:val="12"/>
              </w:rPr>
              <w:t>After sign-in, authentication returns to localhost so the SDK can continue.</w:t>
            </w:r>
          </w:p>
        </w:tc>
        <w:tc>
          <w:tcPr>
            <w:tcW w:type="dxa" w:w="2590"/>
            <w:vAlign w:val="top"/>
          </w:tcPr>
          <w:p>
            <w:r/>
            <w:r>
              <w:rPr>
                <w:rFonts w:ascii="Arial" w:hAnsi="Arial"/>
                <w:b w:val="0"/>
                <w:sz w:val="12"/>
              </w:rPr>
              <w:t>Required by the OAuth flow used in this local script.</w:t>
            </w:r>
          </w:p>
        </w:tc>
        <w:tc>
          <w:tcPr>
            <w:tcW w:type="dxa" w:w="2590"/>
            <w:vAlign w:val="top"/>
          </w:tcPr>
          <w:p>
            <w:r/>
            <w:r>
              <w:rPr>
                <w:rFonts w:ascii="Arial" w:hAnsi="Arial"/>
                <w:b w:val="0"/>
                <w:sz w:val="12"/>
              </w:rPr>
              <w:t>Incorrect redirect URI can block authentication completion.</w:t>
            </w:r>
          </w:p>
        </w:tc>
      </w:tr>
      <w:tr>
        <w:tc>
          <w:tcPr>
            <w:tcW w:type="dxa" w:w="2590"/>
            <w:vAlign w:val="top"/>
          </w:tcPr>
          <w:p>
            <w:r/>
            <w:r>
              <w:rPr>
                <w:rFonts w:ascii="Arial" w:hAnsi="Arial"/>
                <w:b w:val="0"/>
                <w:sz w:val="12"/>
              </w:rPr>
              <w:t>18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19</w:t>
            </w:r>
          </w:p>
        </w:tc>
        <w:tc>
          <w:tcPr>
            <w:tcW w:type="dxa" w:w="2590"/>
            <w:vAlign w:val="top"/>
          </w:tcPr>
          <w:p>
            <w:r/>
            <w:r>
              <w:rPr>
                <w:rFonts w:ascii="Arial" w:hAnsi="Arial"/>
                <w:b w:val="0"/>
                <w:sz w:val="12"/>
              </w:rPr>
              <w:t>using var service = new ServiceClient(connectionString);</w:t>
            </w:r>
          </w:p>
        </w:tc>
        <w:tc>
          <w:tcPr>
            <w:tcW w:type="dxa" w:w="2590"/>
            <w:vAlign w:val="top"/>
          </w:tcPr>
          <w:p>
            <w:r/>
            <w:r>
              <w:rPr>
                <w:rFonts w:ascii="Arial" w:hAnsi="Arial"/>
                <w:b w:val="0"/>
                <w:sz w:val="12"/>
              </w:rPr>
              <w:t>Imports the var service = new ServiceClient(connectionString)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20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21</w:t>
            </w:r>
          </w:p>
        </w:tc>
        <w:tc>
          <w:tcPr>
            <w:tcW w:type="dxa" w:w="2590"/>
            <w:vAlign w:val="top"/>
          </w:tcPr>
          <w:p>
            <w:r/>
            <w:r>
              <w:rPr>
                <w:rFonts w:ascii="Arial" w:hAnsi="Arial"/>
                <w:b w:val="0"/>
                <w:sz w:val="12"/>
              </w:rPr>
              <w:t>if (!service.IsReady)</w:t>
            </w:r>
          </w:p>
        </w:tc>
        <w:tc>
          <w:tcPr>
            <w:tcW w:type="dxa" w:w="2590"/>
            <w:vAlign w:val="top"/>
          </w:tcPr>
          <w:p>
            <w:r/>
            <w:r>
              <w:rPr>
                <w:rFonts w:ascii="Arial" w:hAnsi="Arial"/>
                <w:b w:val="0"/>
                <w:sz w:val="12"/>
              </w:rPr>
              <w:t>Checks whether connection initialization succeeded.</w:t>
            </w:r>
          </w:p>
        </w:tc>
        <w:tc>
          <w:tcPr>
            <w:tcW w:type="dxa" w:w="2590"/>
            <w:vAlign w:val="top"/>
          </w:tcPr>
          <w:p>
            <w:r/>
            <w:r>
              <w:rPr>
                <w:rFonts w:ascii="Arial" w:hAnsi="Arial"/>
                <w:b w:val="0"/>
                <w:sz w:val="12"/>
              </w:rPr>
              <w:t>Prevents metadata operations when authentication or connectivity failed.</w:t>
            </w:r>
          </w:p>
        </w:tc>
        <w:tc>
          <w:tcPr>
            <w:tcW w:type="dxa" w:w="2590"/>
            <w:vAlign w:val="top"/>
          </w:tcPr>
          <w:p>
            <w:r/>
            <w:r>
              <w:rPr>
                <w:rFonts w:ascii="Arial" w:hAnsi="Arial"/>
                <w:b w:val="0"/>
                <w:sz w:val="12"/>
              </w:rPr>
              <w:t>Protects the environment from partial/undefined behavior.</w:t>
            </w:r>
          </w:p>
        </w:tc>
        <w:tc>
          <w:tcPr>
            <w:tcW w:type="dxa" w:w="2590"/>
            <w:vAlign w:val="top"/>
          </w:tcPr>
          <w:p>
            <w:r/>
            <w:r>
              <w:rPr>
                <w:rFonts w:ascii="Arial" w:hAnsi="Arial"/>
                <w:b w:val="0"/>
                <w:sz w:val="12"/>
              </w:rPr>
              <w:t>Skipping this check can lead to confusing failures later in the script.</w:t>
            </w:r>
          </w:p>
        </w:tc>
      </w:tr>
      <w:tr>
        <w:tc>
          <w:tcPr>
            <w:tcW w:type="dxa" w:w="2590"/>
            <w:vAlign w:val="top"/>
          </w:tcPr>
          <w:p>
            <w:r/>
            <w:r>
              <w:rPr>
                <w:rFonts w:ascii="Arial" w:hAnsi="Arial"/>
                <w:b w:val="0"/>
                <w:sz w:val="12"/>
              </w:rPr>
              <w:t>22</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w:t>
            </w:r>
          </w:p>
        </w:tc>
        <w:tc>
          <w:tcPr>
            <w:tcW w:type="dxa" w:w="2590"/>
            <w:vAlign w:val="top"/>
          </w:tcPr>
          <w:p>
            <w:r/>
            <w:r>
              <w:rPr>
                <w:rFonts w:ascii="Arial" w:hAnsi="Arial"/>
                <w:b w:val="0"/>
                <w:sz w:val="12"/>
              </w:rPr>
              <w:t xml:space="preserve">    Console.ForegroundColor = ConsoleColor.Red;</w:t>
            </w:r>
          </w:p>
        </w:tc>
        <w:tc>
          <w:tcPr>
            <w:tcW w:type="dxa" w:w="2590"/>
            <w:vAlign w:val="top"/>
          </w:tcPr>
          <w:p>
            <w:r/>
            <w:r>
              <w:rPr>
                <w:rFonts w:ascii="Arial" w:hAnsi="Arial"/>
                <w:b w:val="0"/>
                <w:sz w:val="12"/>
              </w:rPr>
              <w:t>Changes terminal output to red.</w:t>
            </w:r>
          </w:p>
        </w:tc>
        <w:tc>
          <w:tcPr>
            <w:tcW w:type="dxa" w:w="2590"/>
            <w:vAlign w:val="top"/>
          </w:tcPr>
          <w:p>
            <w:r/>
            <w:r>
              <w:rPr>
                <w:rFonts w:ascii="Arial" w:hAnsi="Arial"/>
                <w:b w:val="0"/>
                <w:sz w:val="12"/>
              </w:rPr>
              <w:t>Used for failure messages so operators can identify errors immediately.</w:t>
            </w:r>
          </w:p>
        </w:tc>
        <w:tc>
          <w:tcPr>
            <w:tcW w:type="dxa" w:w="2590"/>
            <w:vAlign w:val="top"/>
          </w:tcPr>
          <w:p>
            <w:r/>
            <w:r>
              <w:rPr>
                <w:rFonts w:ascii="Arial" w:hAnsi="Arial"/>
                <w:b w:val="0"/>
                <w:sz w:val="12"/>
              </w:rPr>
              <w:t>Improves operational readability.</w:t>
            </w:r>
          </w:p>
        </w:tc>
        <w:tc>
          <w:tcPr>
            <w:tcW w:type="dxa" w:w="2590"/>
            <w:vAlign w:val="top"/>
          </w:tcPr>
          <w:p>
            <w:r/>
            <w:r>
              <w:rPr>
                <w:rFonts w:ascii="Arial" w:hAnsi="Arial"/>
                <w:b w:val="0"/>
                <w:sz w:val="12"/>
              </w:rPr>
              <w:t>If colors are not reset, later messages can remain incorrectly colored.</w:t>
            </w:r>
          </w:p>
        </w:tc>
      </w:tr>
      <w:tr>
        <w:tc>
          <w:tcPr>
            <w:tcW w:type="dxa" w:w="2590"/>
            <w:vAlign w:val="top"/>
          </w:tcPr>
          <w:p>
            <w:r/>
            <w:r>
              <w:rPr>
                <w:rFonts w:ascii="Arial" w:hAnsi="Arial"/>
                <w:b w:val="0"/>
                <w:sz w:val="12"/>
              </w:rPr>
              <w:t>24</w:t>
            </w:r>
          </w:p>
        </w:tc>
        <w:tc>
          <w:tcPr>
            <w:tcW w:type="dxa" w:w="2590"/>
            <w:vAlign w:val="top"/>
          </w:tcPr>
          <w:p>
            <w:r/>
            <w:r>
              <w:rPr>
                <w:rFonts w:ascii="Arial" w:hAnsi="Arial"/>
                <w:b w:val="0"/>
                <w:sz w:val="12"/>
              </w:rPr>
              <w:t xml:space="preserve">    Console.WriteLine("Connection failed:");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25</w:t>
            </w:r>
          </w:p>
        </w:tc>
        <w:tc>
          <w:tcPr>
            <w:tcW w:type="dxa" w:w="2590"/>
            <w:vAlign w:val="top"/>
          </w:tcPr>
          <w:p>
            <w:r/>
            <w:r>
              <w:rPr>
                <w:rFonts w:ascii="Arial" w:hAnsi="Arial"/>
                <w:b w:val="0"/>
                <w:sz w:val="12"/>
              </w:rPr>
              <w:t xml:space="preserve">    Console.WriteLine(service.LastError);</w:t>
            </w:r>
          </w:p>
        </w:tc>
        <w:tc>
          <w:tcPr>
            <w:tcW w:type="dxa" w:w="2590"/>
            <w:vAlign w:val="top"/>
          </w:tcPr>
          <w:p>
            <w:r/>
            <w:r>
              <w:rPr>
                <w:rFonts w:ascii="Arial" w:hAnsi="Arial"/>
                <w:b w:val="0"/>
                <w:sz w:val="12"/>
              </w:rPr>
              <w:t>Prints the Dataverse connection error.</w:t>
            </w:r>
          </w:p>
        </w:tc>
        <w:tc>
          <w:tcPr>
            <w:tcW w:type="dxa" w:w="2590"/>
            <w:vAlign w:val="top"/>
          </w:tcPr>
          <w:p>
            <w:r/>
            <w:r>
              <w:rPr>
                <w:rFonts w:ascii="Arial" w:hAnsi="Arial"/>
                <w:b w:val="0"/>
                <w:sz w:val="12"/>
              </w:rPr>
              <w:t>ServiceClient.LastError provides diagnostic detail when connection fails.</w:t>
            </w:r>
          </w:p>
        </w:tc>
        <w:tc>
          <w:tcPr>
            <w:tcW w:type="dxa" w:w="2590"/>
            <w:vAlign w:val="top"/>
          </w:tcPr>
          <w:p>
            <w:r/>
            <w:r>
              <w:rPr>
                <w:rFonts w:ascii="Arial" w:hAnsi="Arial"/>
                <w:b w:val="0"/>
                <w:sz w:val="12"/>
              </w:rPr>
              <w:t>Needed for troubleshooting URL, login, permission, or token issues.</w:t>
            </w:r>
          </w:p>
        </w:tc>
        <w:tc>
          <w:tcPr>
            <w:tcW w:type="dxa" w:w="2590"/>
            <w:vAlign w:val="top"/>
          </w:tcPr>
          <w:p>
            <w:r/>
            <w:r>
              <w:rPr>
                <w:rFonts w:ascii="Arial" w:hAnsi="Arial"/>
                <w:b w:val="0"/>
                <w:sz w:val="12"/>
              </w:rPr>
              <w:t>Without it, the operator sees only a generic failure.</w:t>
            </w:r>
          </w:p>
        </w:tc>
      </w:tr>
      <w:tr>
        <w:tc>
          <w:tcPr>
            <w:tcW w:type="dxa" w:w="2590"/>
            <w:vAlign w:val="top"/>
          </w:tcPr>
          <w:p>
            <w:r/>
            <w:r>
              <w:rPr>
                <w:rFonts w:ascii="Arial" w:hAnsi="Arial"/>
                <w:b w:val="0"/>
                <w:sz w:val="12"/>
              </w:rPr>
              <w:t>26</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w:t>
            </w:r>
          </w:p>
        </w:tc>
        <w:tc>
          <w:tcPr>
            <w:tcW w:type="dxa" w:w="2590"/>
            <w:vAlign w:val="top"/>
          </w:tcPr>
          <w:p>
            <w:r/>
            <w:r>
              <w:rPr>
                <w:rFonts w:ascii="Arial" w:hAnsi="Arial"/>
                <w:b w:val="0"/>
                <w:sz w:val="12"/>
              </w:rPr>
              <w:t xml:space="preserve">    return;</w:t>
            </w:r>
          </w:p>
        </w:tc>
        <w:tc>
          <w:tcPr>
            <w:tcW w:type="dxa" w:w="2590"/>
            <w:vAlign w:val="top"/>
          </w:tcPr>
          <w:p>
            <w:r/>
            <w:r>
              <w:rPr>
                <w:rFonts w:ascii="Arial" w:hAnsi="Arial"/>
                <w:b w:val="0"/>
                <w:sz w:val="12"/>
              </w:rPr>
              <w:t>Stops script execution.</w:t>
            </w:r>
          </w:p>
        </w:tc>
        <w:tc>
          <w:tcPr>
            <w:tcW w:type="dxa" w:w="2590"/>
            <w:vAlign w:val="top"/>
          </w:tcPr>
          <w:p>
            <w:r/>
            <w:r>
              <w:rPr>
                <w:rFonts w:ascii="Arial" w:hAnsi="Arial"/>
                <w:b w:val="0"/>
                <w:sz w:val="12"/>
              </w:rPr>
              <w:t>Used after a connection failure or after skipping lookup creation.</w:t>
            </w:r>
          </w:p>
        </w:tc>
        <w:tc>
          <w:tcPr>
            <w:tcW w:type="dxa" w:w="2590"/>
            <w:vAlign w:val="top"/>
          </w:tcPr>
          <w:p>
            <w:r/>
            <w:r>
              <w:rPr>
                <w:rFonts w:ascii="Arial" w:hAnsi="Arial"/>
                <w:b w:val="0"/>
                <w:sz w:val="12"/>
              </w:rPr>
              <w:t>Prevents unsafe continuation or exits a helper method when work is unnecessary.</w:t>
            </w:r>
          </w:p>
        </w:tc>
        <w:tc>
          <w:tcPr>
            <w:tcW w:type="dxa" w:w="2590"/>
            <w:vAlign w:val="top"/>
          </w:tcPr>
          <w:p>
            <w:r/>
            <w:r>
              <w:rPr>
                <w:rFonts w:ascii="Arial" w:hAnsi="Arial"/>
                <w:b w:val="0"/>
                <w:sz w:val="12"/>
              </w:rPr>
              <w:t>Removing it can cause the script to run into invalid state.</w:t>
            </w:r>
          </w:p>
        </w:tc>
      </w:tr>
      <w:tr>
        <w:tc>
          <w:tcPr>
            <w:tcW w:type="dxa" w:w="2590"/>
            <w:vAlign w:val="top"/>
          </w:tcPr>
          <w:p>
            <w:r/>
            <w:r>
              <w:rPr>
                <w:rFonts w:ascii="Arial" w:hAnsi="Arial"/>
                <w:b w:val="0"/>
                <w:sz w:val="12"/>
              </w:rPr>
              <w:t>28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30</w:t>
            </w:r>
          </w:p>
        </w:tc>
        <w:tc>
          <w:tcPr>
            <w:tcW w:type="dxa" w:w="2590"/>
            <w:vAlign w:val="top"/>
          </w:tcPr>
          <w:p>
            <w:r/>
            <w:r>
              <w:rPr>
                <w:rFonts w:ascii="Arial" w:hAnsi="Arial"/>
                <w:b w:val="0"/>
                <w:sz w:val="12"/>
              </w:rPr>
              <w:t>Console.WriteLine($"Connected to: {DataverseUrl}");</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31</w:t>
            </w:r>
          </w:p>
        </w:tc>
        <w:tc>
          <w:tcPr>
            <w:tcW w:type="dxa" w:w="2590"/>
            <w:vAlign w:val="top"/>
          </w:tcPr>
          <w:p>
            <w:r/>
            <w:r>
              <w:rPr>
                <w:rFonts w:ascii="Arial" w:hAnsi="Arial"/>
                <w:b w:val="0"/>
                <w:sz w:val="12"/>
              </w:rPr>
              <w:t>Console.WriteLine($"Target solution: {SolutionUniqueName}");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32</w:t>
            </w:r>
          </w:p>
        </w:tc>
        <w:tc>
          <w:tcPr>
            <w:tcW w:type="dxa" w:w="2590"/>
            <w:vAlign w:val="top"/>
          </w:tcPr>
          <w:p>
            <w:r/>
            <w:r>
              <w:rPr>
                <w:rFonts w:ascii="Arial" w:hAnsi="Arial"/>
                <w:b w:val="0"/>
                <w:sz w:val="12"/>
              </w:rPr>
              <w:t>Console.WriteLine($"Target table: {EntityLogicalName}");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33</w:t>
            </w:r>
          </w:p>
        </w:tc>
        <w:tc>
          <w:tcPr>
            <w:tcW w:type="dxa" w:w="2590"/>
            <w:vAlign w:val="top"/>
          </w:tcPr>
          <w:p>
            <w:r/>
            <w:r>
              <w:rPr>
                <w:rFonts w:ascii="Arial" w:hAnsi="Arial"/>
                <w:b w:val="0"/>
                <w:sz w:val="12"/>
              </w:rPr>
              <w:t>Console.WriteLine();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35</w:t>
            </w:r>
          </w:p>
        </w:tc>
        <w:tc>
          <w:tcPr>
            <w:tcW w:type="dxa" w:w="2590"/>
            <w:vAlign w:val="top"/>
          </w:tcPr>
          <w:p>
            <w:r/>
            <w:r>
              <w:rPr>
                <w:rFonts w:ascii="Arial" w:hAnsi="Arial"/>
                <w:b w:val="0"/>
                <w:sz w:val="12"/>
              </w:rPr>
              <w:t>if (!EntityExists(service, EntityLogicalName))</w:t>
            </w:r>
          </w:p>
        </w:tc>
        <w:tc>
          <w:tcPr>
            <w:tcW w:type="dxa" w:w="2590"/>
            <w:vAlign w:val="top"/>
          </w:tcPr>
          <w:p>
            <w:r/>
            <w:r>
              <w:rPr>
                <w:rFonts w:ascii="Arial" w:hAnsi="Arial"/>
                <w:b w:val="0"/>
                <w:sz w:val="12"/>
              </w:rPr>
              <w:t>Checks whether the Pending Commercial Action table already exists.</w:t>
            </w:r>
          </w:p>
        </w:tc>
        <w:tc>
          <w:tcPr>
            <w:tcW w:type="dxa" w:w="2590"/>
            <w:vAlign w:val="top"/>
          </w:tcPr>
          <w:p>
            <w:r/>
            <w:r>
              <w:rPr>
                <w:rFonts w:ascii="Arial" w:hAnsi="Arial"/>
                <w:b w:val="0"/>
                <w:sz w:val="12"/>
              </w:rPr>
              <w:t>Uses a RetrieveEntityRequest helper; if the table is missing, the script creates it.</w:t>
            </w:r>
          </w:p>
        </w:tc>
        <w:tc>
          <w:tcPr>
            <w:tcW w:type="dxa" w:w="2590"/>
            <w:vAlign w:val="top"/>
          </w:tcPr>
          <w:p>
            <w:r/>
            <w:r>
              <w:rPr>
                <w:rFonts w:ascii="Arial" w:hAnsi="Arial"/>
                <w:b w:val="0"/>
                <w:sz w:val="12"/>
              </w:rPr>
              <w:t>Makes the script safer to run in a partially completed environment.</w:t>
            </w:r>
          </w:p>
        </w:tc>
        <w:tc>
          <w:tcPr>
            <w:tcW w:type="dxa" w:w="2590"/>
            <w:vAlign w:val="top"/>
          </w:tcPr>
          <w:p>
            <w:r/>
            <w:r>
              <w:rPr>
                <w:rFonts w:ascii="Arial" w:hAnsi="Arial"/>
                <w:b w:val="0"/>
                <w:sz w:val="12"/>
              </w:rPr>
              <w:t>Without this, rerunning the script could fail on duplicate table creation.</w:t>
            </w:r>
          </w:p>
        </w:tc>
      </w:tr>
      <w:tr>
        <w:tc>
          <w:tcPr>
            <w:tcW w:type="dxa" w:w="2590"/>
            <w:vAlign w:val="top"/>
          </w:tcPr>
          <w:p>
            <w:r/>
            <w:r>
              <w:rPr>
                <w:rFonts w:ascii="Arial" w:hAnsi="Arial"/>
                <w:b w:val="0"/>
                <w:sz w:val="12"/>
              </w:rPr>
              <w:t>36</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37</w:t>
            </w:r>
          </w:p>
        </w:tc>
        <w:tc>
          <w:tcPr>
            <w:tcW w:type="dxa" w:w="2590"/>
            <w:vAlign w:val="top"/>
          </w:tcPr>
          <w:p>
            <w:r/>
            <w:r>
              <w:rPr>
                <w:rFonts w:ascii="Arial" w:hAnsi="Arial"/>
                <w:b w:val="0"/>
                <w:sz w:val="12"/>
              </w:rPr>
              <w:t xml:space="preserve">    Console.WriteLine("Creating Pending Commercial Action table...");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39</w:t>
            </w:r>
          </w:p>
        </w:tc>
        <w:tc>
          <w:tcPr>
            <w:tcW w:type="dxa" w:w="2590"/>
            <w:vAlign w:val="top"/>
          </w:tcPr>
          <w:p>
            <w:r/>
            <w:r>
              <w:rPr>
                <w:rFonts w:ascii="Arial" w:hAnsi="Arial"/>
                <w:b w:val="0"/>
                <w:sz w:val="12"/>
              </w:rPr>
              <w:t xml:space="preserve">    var createEntityRequest = new CreateEntityRequest</w:t>
            </w:r>
          </w:p>
        </w:tc>
        <w:tc>
          <w:tcPr>
            <w:tcW w:type="dxa" w:w="2590"/>
            <w:vAlign w:val="top"/>
          </w:tcPr>
          <w:p>
            <w:r/>
            <w:r>
              <w:rPr>
                <w:rFonts w:ascii="Arial" w:hAnsi="Arial"/>
                <w:b w:val="0"/>
                <w:sz w:val="12"/>
              </w:rPr>
              <w:t>Creates a Dataverse table creation request.</w:t>
            </w:r>
          </w:p>
        </w:tc>
        <w:tc>
          <w:tcPr>
            <w:tcW w:type="dxa" w:w="2590"/>
            <w:vAlign w:val="top"/>
          </w:tcPr>
          <w:p>
            <w:r/>
            <w:r>
              <w:rPr>
                <w:rFonts w:ascii="Arial" w:hAnsi="Arial"/>
                <w:b w:val="0"/>
                <w:sz w:val="12"/>
              </w:rPr>
              <w:t>The request carries table metadata, primary attribute metadata, and the target solution unique name.</w:t>
            </w:r>
          </w:p>
        </w:tc>
        <w:tc>
          <w:tcPr>
            <w:tcW w:type="dxa" w:w="2590"/>
            <w:vAlign w:val="top"/>
          </w:tcPr>
          <w:p>
            <w:r/>
            <w:r>
              <w:rPr>
                <w:rFonts w:ascii="Arial" w:hAnsi="Arial"/>
                <w:b w:val="0"/>
                <w:sz w:val="12"/>
              </w:rPr>
              <w:t>This is the SDK mechanism that creates the custom table.</w:t>
            </w:r>
          </w:p>
        </w:tc>
        <w:tc>
          <w:tcPr>
            <w:tcW w:type="dxa" w:w="2590"/>
            <w:vAlign w:val="top"/>
          </w:tcPr>
          <w:p>
            <w:r/>
            <w:r>
              <w:rPr>
                <w:rFonts w:ascii="Arial" w:hAnsi="Arial"/>
                <w:b w:val="0"/>
                <w:sz w:val="12"/>
              </w:rPr>
              <w:t>Incorrect request configuration creates the wrong table shape or fails validation.</w:t>
            </w:r>
          </w:p>
        </w:tc>
      </w:tr>
      <w:tr>
        <w:tc>
          <w:tcPr>
            <w:tcW w:type="dxa" w:w="2590"/>
            <w:vAlign w:val="top"/>
          </w:tcPr>
          <w:p>
            <w:r/>
            <w:r>
              <w:rPr>
                <w:rFonts w:ascii="Arial" w:hAnsi="Arial"/>
                <w:b w:val="0"/>
                <w:sz w:val="12"/>
              </w:rPr>
              <w:t>40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41</w:t>
            </w:r>
          </w:p>
        </w:tc>
        <w:tc>
          <w:tcPr>
            <w:tcW w:type="dxa" w:w="2590"/>
            <w:vAlign w:val="top"/>
          </w:tcPr>
          <w:p>
            <w:r/>
            <w:r>
              <w:rPr>
                <w:rFonts w:ascii="Arial" w:hAnsi="Arial"/>
                <w:b w:val="0"/>
                <w:sz w:val="12"/>
              </w:rPr>
              <w:t xml:space="preserve">        Entity = new EntityMetadata</w:t>
            </w:r>
          </w:p>
        </w:tc>
        <w:tc>
          <w:tcPr>
            <w:tcW w:type="dxa" w:w="2590"/>
            <w:vAlign w:val="top"/>
          </w:tcPr>
          <w:p>
            <w:r/>
            <w:r>
              <w:rPr>
                <w:rFonts w:ascii="Arial" w:hAnsi="Arial"/>
                <w:b w:val="0"/>
                <w:sz w:val="12"/>
              </w:rPr>
              <w:t>Starts table metadata definition.</w:t>
            </w:r>
          </w:p>
        </w:tc>
        <w:tc>
          <w:tcPr>
            <w:tcW w:type="dxa" w:w="2590"/>
            <w:vAlign w:val="top"/>
          </w:tcPr>
          <w:p>
            <w:r/>
            <w:r>
              <w:rPr>
                <w:rFonts w:ascii="Arial" w:hAnsi="Arial"/>
                <w:b w:val="0"/>
                <w:sz w:val="12"/>
              </w:rPr>
              <w:t>EntityMetadata describes the custom table display names, schema name, description, and ownership model.</w:t>
            </w:r>
          </w:p>
        </w:tc>
        <w:tc>
          <w:tcPr>
            <w:tcW w:type="dxa" w:w="2590"/>
            <w:vAlign w:val="top"/>
          </w:tcPr>
          <w:p>
            <w:r/>
            <w:r>
              <w:rPr>
                <w:rFonts w:ascii="Arial" w:hAnsi="Arial"/>
                <w:b w:val="0"/>
                <w:sz w:val="12"/>
              </w:rPr>
              <w:t>Defines what Dataverse table is created.</w:t>
            </w:r>
          </w:p>
        </w:tc>
        <w:tc>
          <w:tcPr>
            <w:tcW w:type="dxa" w:w="2590"/>
            <w:vAlign w:val="top"/>
          </w:tcPr>
          <w:p>
            <w:r/>
            <w:r>
              <w:rPr>
                <w:rFonts w:ascii="Arial" w:hAnsi="Arial"/>
                <w:b w:val="0"/>
                <w:sz w:val="12"/>
              </w:rPr>
              <w:t>Wrong metadata can create an incorrectly named or incorrectly owned table.</w:t>
            </w:r>
          </w:p>
        </w:tc>
      </w:tr>
      <w:tr>
        <w:tc>
          <w:tcPr>
            <w:tcW w:type="dxa" w:w="2590"/>
            <w:vAlign w:val="top"/>
          </w:tcPr>
          <w:p>
            <w:r/>
            <w:r>
              <w:rPr>
                <w:rFonts w:ascii="Arial" w:hAnsi="Arial"/>
                <w:b w:val="0"/>
                <w:sz w:val="12"/>
              </w:rPr>
              <w:t>42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43</w:t>
            </w:r>
          </w:p>
        </w:tc>
        <w:tc>
          <w:tcPr>
            <w:tcW w:type="dxa" w:w="2590"/>
            <w:vAlign w:val="top"/>
          </w:tcPr>
          <w:p>
            <w:r/>
            <w:r>
              <w:rPr>
                <w:rFonts w:ascii="Arial" w:hAnsi="Arial"/>
                <w:b w:val="0"/>
                <w:sz w:val="12"/>
              </w:rPr>
              <w:t xml:space="preserve">            SchemaName = "aso_pendingcommercialaction",</w:t>
            </w:r>
          </w:p>
        </w:tc>
        <w:tc>
          <w:tcPr>
            <w:tcW w:type="dxa" w:w="2590"/>
            <w:vAlign w:val="top"/>
          </w:tcPr>
          <w:p>
            <w:r/>
            <w:r>
              <w:rPr>
                <w:rFonts w:ascii="Arial" w:hAnsi="Arial"/>
                <w:b w:val="0"/>
                <w:sz w:val="12"/>
              </w:rPr>
              <w:t>Sets the table schema name.</w:t>
            </w:r>
          </w:p>
        </w:tc>
        <w:tc>
          <w:tcPr>
            <w:tcW w:type="dxa" w:w="2590"/>
            <w:vAlign w:val="top"/>
          </w:tcPr>
          <w:p>
            <w:r/>
            <w:r>
              <w:rPr>
                <w:rFonts w:ascii="Arial" w:hAnsi="Arial"/>
                <w:b w:val="0"/>
                <w:sz w:val="12"/>
              </w:rPr>
              <w:t>Dataverse uses this as the technical name for the custom table.</w:t>
            </w:r>
          </w:p>
        </w:tc>
        <w:tc>
          <w:tcPr>
            <w:tcW w:type="dxa" w:w="2590"/>
            <w:vAlign w:val="top"/>
          </w:tcPr>
          <w:p>
            <w:r/>
            <w:r>
              <w:rPr>
                <w:rFonts w:ascii="Arial" w:hAnsi="Arial"/>
                <w:b w:val="0"/>
                <w:sz w:val="12"/>
              </w:rPr>
              <w:t>Ensures the table follows the ASO publisher prefix and Phase 2 model.</w:t>
            </w:r>
          </w:p>
        </w:tc>
        <w:tc>
          <w:tcPr>
            <w:tcW w:type="dxa" w:w="2590"/>
            <w:vAlign w:val="top"/>
          </w:tcPr>
          <w:p>
            <w:r/>
            <w:r>
              <w:rPr>
                <w:rFonts w:ascii="Arial" w:hAnsi="Arial"/>
                <w:b w:val="0"/>
                <w:sz w:val="12"/>
              </w:rPr>
              <w:t>Changing it creates a different table than the guide expects.</w:t>
            </w:r>
          </w:p>
        </w:tc>
      </w:tr>
      <w:tr>
        <w:tc>
          <w:tcPr>
            <w:tcW w:type="dxa" w:w="2590"/>
            <w:vAlign w:val="top"/>
          </w:tcPr>
          <w:p>
            <w:r/>
            <w:r>
              <w:rPr>
                <w:rFonts w:ascii="Arial" w:hAnsi="Arial"/>
                <w:b w:val="0"/>
                <w:sz w:val="12"/>
              </w:rPr>
              <w:t>44</w:t>
            </w:r>
          </w:p>
        </w:tc>
        <w:tc>
          <w:tcPr>
            <w:tcW w:type="dxa" w:w="2590"/>
            <w:vAlign w:val="top"/>
          </w:tcPr>
          <w:p>
            <w:r/>
            <w:r>
              <w:rPr>
                <w:rFonts w:ascii="Arial" w:hAnsi="Arial"/>
                <w:b w:val="0"/>
                <w:sz w:val="12"/>
              </w:rPr>
              <w:t xml:space="preserve">            DisplayName = Label("Pending Commercial Action"),</w:t>
            </w:r>
          </w:p>
        </w:tc>
        <w:tc>
          <w:tcPr>
            <w:tcW w:type="dxa" w:w="2590"/>
            <w:vAlign w:val="top"/>
          </w:tcPr>
          <w:p>
            <w:r/>
            <w:r>
              <w:rPr>
                <w:rFonts w:ascii="Arial" w:hAnsi="Arial"/>
                <w:b w:val="0"/>
                <w:sz w:val="12"/>
              </w:rPr>
              <w:t>Sets the singular display name.</w:t>
            </w:r>
          </w:p>
        </w:tc>
        <w:tc>
          <w:tcPr>
            <w:tcW w:type="dxa" w:w="2590"/>
            <w:vAlign w:val="top"/>
          </w:tcPr>
          <w:p>
            <w:r/>
            <w:r>
              <w:rPr>
                <w:rFonts w:ascii="Arial" w:hAnsi="Arial"/>
                <w:b w:val="0"/>
                <w:sz w:val="12"/>
              </w:rPr>
              <w:t>The Label helper creates a localized Dataverse label.</w:t>
            </w:r>
          </w:p>
        </w:tc>
        <w:tc>
          <w:tcPr>
            <w:tcW w:type="dxa" w:w="2590"/>
            <w:vAlign w:val="top"/>
          </w:tcPr>
          <w:p>
            <w:r/>
            <w:r>
              <w:rPr>
                <w:rFonts w:ascii="Arial" w:hAnsi="Arial"/>
                <w:b w:val="0"/>
                <w:sz w:val="12"/>
              </w:rPr>
              <w:t>Users see this name in the maker portal and model-driven apps.</w:t>
            </w:r>
          </w:p>
        </w:tc>
        <w:tc>
          <w:tcPr>
            <w:tcW w:type="dxa" w:w="2590"/>
            <w:vAlign w:val="top"/>
          </w:tcPr>
          <w:p>
            <w:r/>
            <w:r>
              <w:rPr>
                <w:rFonts w:ascii="Arial" w:hAnsi="Arial"/>
                <w:b w:val="0"/>
                <w:sz w:val="12"/>
              </w:rPr>
              <w:t>Unsupported language code can cause label creation failure.</w:t>
            </w:r>
          </w:p>
        </w:tc>
      </w:tr>
      <w:tr>
        <w:tc>
          <w:tcPr>
            <w:tcW w:type="dxa" w:w="2590"/>
            <w:vAlign w:val="top"/>
          </w:tcPr>
          <w:p>
            <w:r/>
            <w:r>
              <w:rPr>
                <w:rFonts w:ascii="Arial" w:hAnsi="Arial"/>
                <w:b w:val="0"/>
                <w:sz w:val="12"/>
              </w:rPr>
              <w:t>45</w:t>
            </w:r>
          </w:p>
        </w:tc>
        <w:tc>
          <w:tcPr>
            <w:tcW w:type="dxa" w:w="2590"/>
            <w:vAlign w:val="top"/>
          </w:tcPr>
          <w:p>
            <w:r/>
            <w:r>
              <w:rPr>
                <w:rFonts w:ascii="Arial" w:hAnsi="Arial"/>
                <w:b w:val="0"/>
                <w:sz w:val="12"/>
              </w:rPr>
              <w:t xml:space="preserve">            DisplayCollectionName = Label("Pending Commercial Actions"),</w:t>
            </w:r>
          </w:p>
        </w:tc>
        <w:tc>
          <w:tcPr>
            <w:tcW w:type="dxa" w:w="2590"/>
            <w:vAlign w:val="top"/>
          </w:tcPr>
          <w:p>
            <w:r/>
            <w:r>
              <w:rPr>
                <w:rFonts w:ascii="Arial" w:hAnsi="Arial"/>
                <w:b w:val="0"/>
                <w:sz w:val="12"/>
              </w:rPr>
              <w:t>Sets the plural display name.</w:t>
            </w:r>
          </w:p>
        </w:tc>
        <w:tc>
          <w:tcPr>
            <w:tcW w:type="dxa" w:w="2590"/>
            <w:vAlign w:val="top"/>
          </w:tcPr>
          <w:p>
            <w:r/>
            <w:r>
              <w:rPr>
                <w:rFonts w:ascii="Arial" w:hAnsi="Arial"/>
                <w:b w:val="0"/>
                <w:sz w:val="12"/>
              </w:rPr>
              <w:t>Used by Dataverse for table lists and navigation.</w:t>
            </w:r>
          </w:p>
        </w:tc>
        <w:tc>
          <w:tcPr>
            <w:tcW w:type="dxa" w:w="2590"/>
            <w:vAlign w:val="top"/>
          </w:tcPr>
          <w:p>
            <w:r/>
            <w:r>
              <w:rPr>
                <w:rFonts w:ascii="Arial" w:hAnsi="Arial"/>
                <w:b w:val="0"/>
                <w:sz w:val="12"/>
              </w:rPr>
              <w:t>Improves readability in the UI.</w:t>
            </w:r>
          </w:p>
        </w:tc>
        <w:tc>
          <w:tcPr>
            <w:tcW w:type="dxa" w:w="2590"/>
            <w:vAlign w:val="top"/>
          </w:tcPr>
          <w:p>
            <w:r/>
            <w:r>
              <w:rPr>
                <w:rFonts w:ascii="Arial" w:hAnsi="Arial"/>
                <w:b w:val="0"/>
                <w:sz w:val="12"/>
              </w:rPr>
              <w:t>A poor label confuses makers and admins.</w:t>
            </w:r>
          </w:p>
        </w:tc>
      </w:tr>
      <w:tr>
        <w:tc>
          <w:tcPr>
            <w:tcW w:type="dxa" w:w="2590"/>
            <w:vAlign w:val="top"/>
          </w:tcPr>
          <w:p>
            <w:r/>
            <w:r>
              <w:rPr>
                <w:rFonts w:ascii="Arial" w:hAnsi="Arial"/>
                <w:b w:val="0"/>
                <w:sz w:val="12"/>
              </w:rPr>
              <w:t>46</w:t>
            </w:r>
          </w:p>
        </w:tc>
        <w:tc>
          <w:tcPr>
            <w:tcW w:type="dxa" w:w="2590"/>
            <w:vAlign w:val="top"/>
          </w:tcPr>
          <w:p>
            <w:r/>
            <w:r>
              <w:rPr>
                <w:rFonts w:ascii="Arial" w:hAnsi="Arial"/>
                <w:b w:val="0"/>
                <w:sz w:val="12"/>
              </w:rPr>
              <w:t xml:space="preserve">            Description = Label("Approval-gated commercial action staging table before SAP submit."),</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47</w:t>
            </w:r>
          </w:p>
        </w:tc>
        <w:tc>
          <w:tcPr>
            <w:tcW w:type="dxa" w:w="2590"/>
            <w:vAlign w:val="top"/>
          </w:tcPr>
          <w:p>
            <w:r/>
            <w:r>
              <w:rPr>
                <w:rFonts w:ascii="Arial" w:hAnsi="Arial"/>
                <w:b w:val="0"/>
                <w:sz w:val="12"/>
              </w:rPr>
              <w:t xml:space="preserve">            OwnershipType = OwnershipTypes.UserOwned</w:t>
            </w:r>
          </w:p>
        </w:tc>
        <w:tc>
          <w:tcPr>
            <w:tcW w:type="dxa" w:w="2590"/>
            <w:vAlign w:val="top"/>
          </w:tcPr>
          <w:p>
            <w:r/>
            <w:r>
              <w:rPr>
                <w:rFonts w:ascii="Arial" w:hAnsi="Arial"/>
                <w:b w:val="0"/>
                <w:sz w:val="12"/>
              </w:rPr>
              <w:t>Sets the table as user/team-owned.</w:t>
            </w:r>
          </w:p>
        </w:tc>
        <w:tc>
          <w:tcPr>
            <w:tcW w:type="dxa" w:w="2590"/>
            <w:vAlign w:val="top"/>
          </w:tcPr>
          <w:p>
            <w:r/>
            <w:r>
              <w:rPr>
                <w:rFonts w:ascii="Arial" w:hAnsi="Arial"/>
                <w:b w:val="0"/>
                <w:sz w:val="12"/>
              </w:rPr>
              <w:t>Records have owners and can participate in security ownership behavior.</w:t>
            </w:r>
          </w:p>
        </w:tc>
        <w:tc>
          <w:tcPr>
            <w:tcW w:type="dxa" w:w="2590"/>
            <w:vAlign w:val="top"/>
          </w:tcPr>
          <w:p>
            <w:r/>
            <w:r>
              <w:rPr>
                <w:rFonts w:ascii="Arial" w:hAnsi="Arial"/>
                <w:b w:val="0"/>
                <w:sz w:val="12"/>
              </w:rPr>
              <w:t>Appropriate because pending commercial actions may be assigned/owned by users or teams.</w:t>
            </w:r>
          </w:p>
        </w:tc>
        <w:tc>
          <w:tcPr>
            <w:tcW w:type="dxa" w:w="2590"/>
            <w:vAlign w:val="top"/>
          </w:tcPr>
          <w:p>
            <w:r/>
            <w:r>
              <w:rPr>
                <w:rFonts w:ascii="Arial" w:hAnsi="Arial"/>
                <w:b w:val="0"/>
                <w:sz w:val="12"/>
              </w:rPr>
              <w:t>Wrong ownership changes security and assignment behavior.</w:t>
            </w:r>
          </w:p>
        </w:tc>
      </w:tr>
      <w:tr>
        <w:tc>
          <w:tcPr>
            <w:tcW w:type="dxa" w:w="2590"/>
            <w:vAlign w:val="top"/>
          </w:tcPr>
          <w:p>
            <w:r/>
            <w:r>
              <w:rPr>
                <w:rFonts w:ascii="Arial" w:hAnsi="Arial"/>
                <w:b w:val="0"/>
                <w:sz w:val="12"/>
              </w:rPr>
              <w:t>48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49</w:t>
            </w:r>
          </w:p>
        </w:tc>
        <w:tc>
          <w:tcPr>
            <w:tcW w:type="dxa" w:w="2590"/>
            <w:vAlign w:val="top"/>
          </w:tcPr>
          <w:p>
            <w:r/>
            <w:r>
              <w:rPr>
                <w:rFonts w:ascii="Arial" w:hAnsi="Arial"/>
                <w:b w:val="0"/>
                <w:sz w:val="12"/>
              </w:rPr>
              <w:t xml:space="preserve">        PrimaryAttribute = new StringAttributeMetadata</w:t>
            </w:r>
          </w:p>
        </w:tc>
        <w:tc>
          <w:tcPr>
            <w:tcW w:type="dxa" w:w="2590"/>
            <w:vAlign w:val="top"/>
          </w:tcPr>
          <w:p>
            <w:r/>
            <w:r>
              <w:rPr>
                <w:rFonts w:ascii="Arial" w:hAnsi="Arial"/>
                <w:b w:val="0"/>
                <w:sz w:val="12"/>
              </w:rPr>
              <w:t>Starts the primary name column definition.</w:t>
            </w:r>
          </w:p>
        </w:tc>
        <w:tc>
          <w:tcPr>
            <w:tcW w:type="dxa" w:w="2590"/>
            <w:vAlign w:val="top"/>
          </w:tcPr>
          <w:p>
            <w:r/>
            <w:r>
              <w:rPr>
                <w:rFonts w:ascii="Arial" w:hAnsi="Arial"/>
                <w:b w:val="0"/>
                <w:sz w:val="12"/>
              </w:rPr>
              <w:t>Every custom Dataverse table needs a primary name attribute.</w:t>
            </w:r>
          </w:p>
        </w:tc>
        <w:tc>
          <w:tcPr>
            <w:tcW w:type="dxa" w:w="2590"/>
            <w:vAlign w:val="top"/>
          </w:tcPr>
          <w:p>
            <w:r/>
            <w:r>
              <w:rPr>
                <w:rFonts w:ascii="Arial" w:hAnsi="Arial"/>
                <w:b w:val="0"/>
                <w:sz w:val="12"/>
              </w:rPr>
              <w:t>Provides the human-readable main column for the table.</w:t>
            </w:r>
          </w:p>
        </w:tc>
        <w:tc>
          <w:tcPr>
            <w:tcW w:type="dxa" w:w="2590"/>
            <w:vAlign w:val="top"/>
          </w:tcPr>
          <w:p>
            <w:r/>
            <w:r>
              <w:rPr>
                <w:rFonts w:ascii="Arial" w:hAnsi="Arial"/>
                <w:b w:val="0"/>
                <w:sz w:val="12"/>
              </w:rPr>
              <w:t>Missing or invalid primary attribute prevents table creation.</w:t>
            </w:r>
          </w:p>
        </w:tc>
      </w:tr>
      <w:tr>
        <w:tc>
          <w:tcPr>
            <w:tcW w:type="dxa" w:w="2590"/>
            <w:vAlign w:val="top"/>
          </w:tcPr>
          <w:p>
            <w:r/>
            <w:r>
              <w:rPr>
                <w:rFonts w:ascii="Arial" w:hAnsi="Arial"/>
                <w:b w:val="0"/>
                <w:sz w:val="12"/>
              </w:rPr>
              <w:t>50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51</w:t>
            </w:r>
          </w:p>
        </w:tc>
        <w:tc>
          <w:tcPr>
            <w:tcW w:type="dxa" w:w="2590"/>
            <w:vAlign w:val="top"/>
          </w:tcPr>
          <w:p>
            <w:r/>
            <w:r>
              <w:rPr>
                <w:rFonts w:ascii="Arial" w:hAnsi="Arial"/>
                <w:b w:val="0"/>
                <w:sz w:val="12"/>
              </w:rPr>
              <w:t xml:space="preserve">            SchemaName = "aso_name",</w:t>
            </w:r>
          </w:p>
        </w:tc>
        <w:tc>
          <w:tcPr>
            <w:tcW w:type="dxa" w:w="2590"/>
            <w:vAlign w:val="top"/>
          </w:tcPr>
          <w:p>
            <w:r/>
            <w:r>
              <w:rPr>
                <w:rFonts w:ascii="Arial" w:hAnsi="Arial"/>
                <w:b w:val="0"/>
                <w:sz w:val="12"/>
              </w:rPr>
              <w:t>Defines the primary name column schema.</w:t>
            </w:r>
          </w:p>
        </w:tc>
        <w:tc>
          <w:tcPr>
            <w:tcW w:type="dxa" w:w="2590"/>
            <w:vAlign w:val="top"/>
          </w:tcPr>
          <w:p>
            <w:r/>
            <w:r>
              <w:rPr>
                <w:rFonts w:ascii="Arial" w:hAnsi="Arial"/>
                <w:b w:val="0"/>
                <w:sz w:val="12"/>
              </w:rPr>
              <w:t>aso_name is the main name field for the custom table.</w:t>
            </w:r>
          </w:p>
        </w:tc>
        <w:tc>
          <w:tcPr>
            <w:tcW w:type="dxa" w:w="2590"/>
            <w:vAlign w:val="top"/>
          </w:tcPr>
          <w:p>
            <w:r/>
            <w:r>
              <w:rPr>
                <w:rFonts w:ascii="Arial" w:hAnsi="Arial"/>
                <w:b w:val="0"/>
                <w:sz w:val="12"/>
              </w:rPr>
              <w:t>Keeps the table aligned with ASO prefixing.</w:t>
            </w:r>
          </w:p>
        </w:tc>
        <w:tc>
          <w:tcPr>
            <w:tcW w:type="dxa" w:w="2590"/>
            <w:vAlign w:val="top"/>
          </w:tcPr>
          <w:p>
            <w:r/>
            <w:r>
              <w:rPr>
                <w:rFonts w:ascii="Arial" w:hAnsi="Arial"/>
                <w:b w:val="0"/>
                <w:sz w:val="12"/>
              </w:rPr>
              <w:t>Wrong primary schema creates inconsistent metadata.</w:t>
            </w:r>
          </w:p>
        </w:tc>
      </w:tr>
      <w:tr>
        <w:tc>
          <w:tcPr>
            <w:tcW w:type="dxa" w:w="2590"/>
            <w:vAlign w:val="top"/>
          </w:tcPr>
          <w:p>
            <w:r/>
            <w:r>
              <w:rPr>
                <w:rFonts w:ascii="Arial" w:hAnsi="Arial"/>
                <w:b w:val="0"/>
                <w:sz w:val="12"/>
              </w:rPr>
              <w:t>52</w:t>
            </w:r>
          </w:p>
        </w:tc>
        <w:tc>
          <w:tcPr>
            <w:tcW w:type="dxa" w:w="2590"/>
            <w:vAlign w:val="top"/>
          </w:tcPr>
          <w:p>
            <w:r/>
            <w:r>
              <w:rPr>
                <w:rFonts w:ascii="Arial" w:hAnsi="Arial"/>
                <w:b w:val="0"/>
                <w:sz w:val="12"/>
              </w:rPr>
              <w:t xml:space="preserve">            DisplayName = Label("Name"),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53</w:t>
            </w:r>
          </w:p>
        </w:tc>
        <w:tc>
          <w:tcPr>
            <w:tcW w:type="dxa" w:w="2590"/>
            <w:vAlign w:val="top"/>
          </w:tcPr>
          <w:p>
            <w:r/>
            <w:r>
              <w:rPr>
                <w:rFonts w:ascii="Arial" w:hAnsi="Arial"/>
                <w:b w:val="0"/>
                <w:sz w:val="12"/>
              </w:rPr>
              <w:t xml:space="preserve">            Description = Label("Primary name for the Pending Commercial Action record."),</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54</w:t>
            </w:r>
          </w:p>
        </w:tc>
        <w:tc>
          <w:tcPr>
            <w:tcW w:type="dxa" w:w="2590"/>
            <w:vAlign w:val="top"/>
          </w:tcPr>
          <w:p>
            <w:r/>
            <w:r>
              <w:rPr>
                <w:rFonts w:ascii="Arial" w:hAnsi="Arial"/>
                <w:b w:val="0"/>
                <w:sz w:val="12"/>
              </w:rPr>
              <w:t xml:space="preserve">            RequiredLevel = new AttributeRequiredLevelManagedProperty(AttributeRequiredLevel.ApplicationRequired),</w:t>
            </w:r>
          </w:p>
        </w:tc>
        <w:tc>
          <w:tcPr>
            <w:tcW w:type="dxa" w:w="2590"/>
            <w:vAlign w:val="top"/>
          </w:tcPr>
          <w:p>
            <w:r/>
            <w:r>
              <w:rPr>
                <w:rFonts w:ascii="Arial" w:hAnsi="Arial"/>
                <w:b w:val="0"/>
                <w:sz w:val="12"/>
              </w:rPr>
              <w:t>Makes the primary name application-required.</w:t>
            </w:r>
          </w:p>
        </w:tc>
        <w:tc>
          <w:tcPr>
            <w:tcW w:type="dxa" w:w="2590"/>
            <w:vAlign w:val="top"/>
          </w:tcPr>
          <w:p>
            <w:r/>
            <w:r>
              <w:rPr>
                <w:rFonts w:ascii="Arial" w:hAnsi="Arial"/>
                <w:b w:val="0"/>
                <w:sz w:val="12"/>
              </w:rPr>
              <w:t>Dataverse requires a primary name for reliable row identification.</w:t>
            </w:r>
          </w:p>
        </w:tc>
        <w:tc>
          <w:tcPr>
            <w:tcW w:type="dxa" w:w="2590"/>
            <w:vAlign w:val="top"/>
          </w:tcPr>
          <w:p>
            <w:r/>
            <w:r>
              <w:rPr>
                <w:rFonts w:ascii="Arial" w:hAnsi="Arial"/>
                <w:b w:val="0"/>
                <w:sz w:val="12"/>
              </w:rPr>
              <w:t>Ensures records have a readable identifier.</w:t>
            </w:r>
          </w:p>
        </w:tc>
        <w:tc>
          <w:tcPr>
            <w:tcW w:type="dxa" w:w="2590"/>
            <w:vAlign w:val="top"/>
          </w:tcPr>
          <w:p>
            <w:r/>
            <w:r>
              <w:rPr>
                <w:rFonts w:ascii="Arial" w:hAnsi="Arial"/>
                <w:b w:val="0"/>
                <w:sz w:val="12"/>
              </w:rPr>
              <w:t>Overly strict requirements on other fields could hurt automation, but primary name is appropriate.</w:t>
            </w:r>
          </w:p>
        </w:tc>
      </w:tr>
      <w:tr>
        <w:tc>
          <w:tcPr>
            <w:tcW w:type="dxa" w:w="2590"/>
            <w:vAlign w:val="top"/>
          </w:tcPr>
          <w:p>
            <w:r/>
            <w:r>
              <w:rPr>
                <w:rFonts w:ascii="Arial" w:hAnsi="Arial"/>
                <w:b w:val="0"/>
                <w:sz w:val="12"/>
              </w:rPr>
              <w:t>55</w:t>
            </w:r>
          </w:p>
        </w:tc>
        <w:tc>
          <w:tcPr>
            <w:tcW w:type="dxa" w:w="2590"/>
            <w:vAlign w:val="top"/>
          </w:tcPr>
          <w:p>
            <w:r/>
            <w:r>
              <w:rPr>
                <w:rFonts w:ascii="Arial" w:hAnsi="Arial"/>
                <w:b w:val="0"/>
                <w:sz w:val="12"/>
              </w:rPr>
              <w:t xml:space="preserve">            MaxLength = 200</w:t>
            </w:r>
          </w:p>
        </w:tc>
        <w:tc>
          <w:tcPr>
            <w:tcW w:type="dxa" w:w="2590"/>
            <w:vAlign w:val="top"/>
          </w:tcPr>
          <w:p>
            <w:r/>
            <w:r>
              <w:rPr>
                <w:rFonts w:ascii="Arial" w:hAnsi="Arial"/>
                <w:b w:val="0"/>
                <w:sz w:val="12"/>
              </w:rPr>
              <w:t>Sets the maximum text length.</w:t>
            </w:r>
          </w:p>
        </w:tc>
        <w:tc>
          <w:tcPr>
            <w:tcW w:type="dxa" w:w="2590"/>
            <w:vAlign w:val="top"/>
          </w:tcPr>
          <w:p>
            <w:r/>
            <w:r>
              <w:rPr>
                <w:rFonts w:ascii="Arial" w:hAnsi="Arial"/>
                <w:b w:val="0"/>
                <w:sz w:val="12"/>
              </w:rPr>
              <w:t>Dataverse validates text length at metadata and runtime levels.</w:t>
            </w:r>
          </w:p>
        </w:tc>
        <w:tc>
          <w:tcPr>
            <w:tcW w:type="dxa" w:w="2590"/>
            <w:vAlign w:val="top"/>
          </w:tcPr>
          <w:p>
            <w:r/>
            <w:r>
              <w:rPr>
                <w:rFonts w:ascii="Arial" w:hAnsi="Arial"/>
                <w:b w:val="0"/>
                <w:sz w:val="12"/>
              </w:rPr>
              <w:t>Prevents uncontrolled field sizes and follows the data model.</w:t>
            </w:r>
          </w:p>
        </w:tc>
        <w:tc>
          <w:tcPr>
            <w:tcW w:type="dxa" w:w="2590"/>
            <w:vAlign w:val="top"/>
          </w:tcPr>
          <w:p>
            <w:r/>
            <w:r>
              <w:rPr>
                <w:rFonts w:ascii="Arial" w:hAnsi="Arial"/>
                <w:b w:val="0"/>
                <w:sz w:val="12"/>
              </w:rPr>
              <w:t>Too small truncates useful data; too large may reduce data quality.</w:t>
            </w:r>
          </w:p>
        </w:tc>
      </w:tr>
      <w:tr>
        <w:tc>
          <w:tcPr>
            <w:tcW w:type="dxa" w:w="2590"/>
            <w:vAlign w:val="top"/>
          </w:tcPr>
          <w:p>
            <w:r/>
            <w:r>
              <w:rPr>
                <w:rFonts w:ascii="Arial" w:hAnsi="Arial"/>
                <w:b w:val="0"/>
                <w:sz w:val="12"/>
              </w:rPr>
              <w:t>56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57</w:t>
            </w:r>
          </w:p>
        </w:tc>
        <w:tc>
          <w:tcPr>
            <w:tcW w:type="dxa" w:w="2590"/>
            <w:vAlign w:val="top"/>
          </w:tcPr>
          <w:p>
            <w:r/>
            <w:r>
              <w:rPr>
                <w:rFonts w:ascii="Arial" w:hAnsi="Arial"/>
                <w:b w:val="0"/>
                <w:sz w:val="12"/>
              </w:rPr>
              <w:t xml:space="preserve">        SolutionUniqueName = SolutionUniqueName</w:t>
            </w:r>
          </w:p>
        </w:tc>
        <w:tc>
          <w:tcPr>
            <w:tcW w:type="dxa" w:w="2590"/>
            <w:vAlign w:val="top"/>
          </w:tcPr>
          <w:p>
            <w:r/>
            <w:r>
              <w:rPr>
                <w:rFonts w:ascii="Arial" w:hAnsi="Arial"/>
                <w:b w:val="0"/>
                <w:sz w:val="12"/>
              </w:rPr>
              <w:t>Associates the created component with ASO.Core.</w:t>
            </w:r>
          </w:p>
        </w:tc>
        <w:tc>
          <w:tcPr>
            <w:tcW w:type="dxa" w:w="2590"/>
            <w:vAlign w:val="top"/>
          </w:tcPr>
          <w:p>
            <w:r/>
            <w:r>
              <w:rPr>
                <w:rFonts w:ascii="Arial" w:hAnsi="Arial"/>
                <w:b w:val="0"/>
                <w:sz w:val="12"/>
              </w:rPr>
              <w:t>The SDK passes the solution unique name to the create request.</w:t>
            </w:r>
          </w:p>
        </w:tc>
        <w:tc>
          <w:tcPr>
            <w:tcW w:type="dxa" w:w="2590"/>
            <w:vAlign w:val="top"/>
          </w:tcPr>
          <w:p>
            <w:r/>
            <w:r>
              <w:rPr>
                <w:rFonts w:ascii="Arial" w:hAnsi="Arial"/>
                <w:b w:val="0"/>
                <w:sz w:val="12"/>
              </w:rPr>
              <w:t>Critical for export, ALM, and keeping changes out of accidental default-only context.</w:t>
            </w:r>
          </w:p>
        </w:tc>
        <w:tc>
          <w:tcPr>
            <w:tcW w:type="dxa" w:w="2590"/>
            <w:vAlign w:val="top"/>
          </w:tcPr>
          <w:p>
            <w:r/>
            <w:r>
              <w:rPr>
                <w:rFonts w:ascii="Arial" w:hAnsi="Arial"/>
                <w:b w:val="0"/>
                <w:sz w:val="12"/>
              </w:rPr>
              <w:t>Wrong solution unique name means components may not appear in ASO.Core.</w:t>
            </w:r>
          </w:p>
        </w:tc>
      </w:tr>
      <w:tr>
        <w:tc>
          <w:tcPr>
            <w:tcW w:type="dxa" w:w="2590"/>
            <w:vAlign w:val="top"/>
          </w:tcPr>
          <w:p>
            <w:r/>
            <w:r>
              <w:rPr>
                <w:rFonts w:ascii="Arial" w:hAnsi="Arial"/>
                <w:b w:val="0"/>
                <w:sz w:val="12"/>
              </w:rPr>
              <w:t>58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59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60</w:t>
            </w:r>
          </w:p>
        </w:tc>
        <w:tc>
          <w:tcPr>
            <w:tcW w:type="dxa" w:w="2590"/>
            <w:vAlign w:val="top"/>
          </w:tcPr>
          <w:p>
            <w:r/>
            <w:r>
              <w:rPr>
                <w:rFonts w:ascii="Arial" w:hAnsi="Arial"/>
                <w:b w:val="0"/>
                <w:sz w:val="12"/>
              </w:rPr>
              <w:t xml:space="preserve">    service.Execute(createEntityRequest);</w:t>
            </w:r>
          </w:p>
        </w:tc>
        <w:tc>
          <w:tcPr>
            <w:tcW w:type="dxa" w:w="2590"/>
            <w:vAlign w:val="top"/>
          </w:tcPr>
          <w:p>
            <w:r/>
            <w:r>
              <w:rPr>
                <w:rFonts w:ascii="Arial" w:hAnsi="Arial"/>
                <w:b w:val="0"/>
                <w:sz w:val="12"/>
              </w:rPr>
              <w:t>Executes the custom table creation request.</w:t>
            </w:r>
          </w:p>
        </w:tc>
        <w:tc>
          <w:tcPr>
            <w:tcW w:type="dxa" w:w="2590"/>
            <w:vAlign w:val="top"/>
          </w:tcPr>
          <w:p>
            <w:r/>
            <w:r>
              <w:rPr>
                <w:rFonts w:ascii="Arial" w:hAnsi="Arial"/>
                <w:b w:val="0"/>
                <w:sz w:val="12"/>
              </w:rPr>
              <w:t>Sends the metadata request to Dataverse.</w:t>
            </w:r>
          </w:p>
        </w:tc>
        <w:tc>
          <w:tcPr>
            <w:tcW w:type="dxa" w:w="2590"/>
            <w:vAlign w:val="top"/>
          </w:tcPr>
          <w:p>
            <w:r/>
            <w:r>
              <w:rPr>
                <w:rFonts w:ascii="Arial" w:hAnsi="Arial"/>
                <w:b w:val="0"/>
                <w:sz w:val="12"/>
              </w:rPr>
              <w:t>This is the line that actually creates the table.</w:t>
            </w:r>
          </w:p>
        </w:tc>
        <w:tc>
          <w:tcPr>
            <w:tcW w:type="dxa" w:w="2590"/>
            <w:vAlign w:val="top"/>
          </w:tcPr>
          <w:p>
            <w:r/>
            <w:r>
              <w:rPr>
                <w:rFonts w:ascii="Arial" w:hAnsi="Arial"/>
                <w:b w:val="0"/>
                <w:sz w:val="12"/>
              </w:rPr>
              <w:t>If permissions are missing, this line fails.</w:t>
            </w:r>
          </w:p>
        </w:tc>
      </w:tr>
      <w:tr>
        <w:tc>
          <w:tcPr>
            <w:tcW w:type="dxa" w:w="2590"/>
            <w:vAlign w:val="top"/>
          </w:tcPr>
          <w:p>
            <w:r/>
            <w:r>
              <w:rPr>
                <w:rFonts w:ascii="Arial" w:hAnsi="Arial"/>
                <w:b w:val="0"/>
                <w:sz w:val="12"/>
              </w:rPr>
              <w:t>61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62</w:t>
            </w:r>
          </w:p>
        </w:tc>
        <w:tc>
          <w:tcPr>
            <w:tcW w:type="dxa" w:w="2590"/>
            <w:vAlign w:val="top"/>
          </w:tcPr>
          <w:p>
            <w:r/>
            <w:r>
              <w:rPr>
                <w:rFonts w:ascii="Arial" w:hAnsi="Arial"/>
                <w:b w:val="0"/>
                <w:sz w:val="12"/>
              </w:rPr>
              <w:t xml:space="preserve">    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63</w:t>
            </w:r>
          </w:p>
        </w:tc>
        <w:tc>
          <w:tcPr>
            <w:tcW w:type="dxa" w:w="2590"/>
            <w:vAlign w:val="top"/>
          </w:tcPr>
          <w:p>
            <w:r/>
            <w:r>
              <w:rPr>
                <w:rFonts w:ascii="Arial" w:hAnsi="Arial"/>
                <w:b w:val="0"/>
                <w:sz w:val="12"/>
              </w:rPr>
              <w:t xml:space="preserve">    Console.WriteLine("CREATED TABLE: aso_pendingcommercialaction");</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64</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65</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66</w:t>
            </w:r>
          </w:p>
        </w:tc>
        <w:tc>
          <w:tcPr>
            <w:tcW w:type="dxa" w:w="2590"/>
            <w:vAlign w:val="top"/>
          </w:tcPr>
          <w:p>
            <w:r/>
            <w:r>
              <w:rPr>
                <w:rFonts w:ascii="Arial" w:hAnsi="Arial"/>
                <w:b w:val="0"/>
                <w:sz w:val="12"/>
              </w:rPr>
              <w:t>else</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67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68</w:t>
            </w:r>
          </w:p>
        </w:tc>
        <w:tc>
          <w:tcPr>
            <w:tcW w:type="dxa" w:w="2590"/>
            <w:vAlign w:val="top"/>
          </w:tcPr>
          <w:p>
            <w:r/>
            <w:r>
              <w:rPr>
                <w:rFonts w:ascii="Arial" w:hAnsi="Arial"/>
                <w:b w:val="0"/>
                <w:sz w:val="12"/>
              </w:rPr>
              <w:t xml:space="preserve">    Console.ForegroundColor = ConsoleColor.Yellow;</w:t>
            </w:r>
          </w:p>
        </w:tc>
        <w:tc>
          <w:tcPr>
            <w:tcW w:type="dxa" w:w="2590"/>
            <w:vAlign w:val="top"/>
          </w:tcPr>
          <w:p>
            <w:r/>
            <w:r>
              <w:rPr>
                <w:rFonts w:ascii="Arial" w:hAnsi="Arial"/>
                <w:b w:val="0"/>
                <w:sz w:val="12"/>
              </w:rPr>
              <w:t>Changes terminal output to yellow.</w:t>
            </w:r>
          </w:p>
        </w:tc>
        <w:tc>
          <w:tcPr>
            <w:tcW w:type="dxa" w:w="2590"/>
            <w:vAlign w:val="top"/>
          </w:tcPr>
          <w:p>
            <w:r/>
            <w:r>
              <w:rPr>
                <w:rFonts w:ascii="Arial" w:hAnsi="Arial"/>
                <w:b w:val="0"/>
                <w:sz w:val="12"/>
              </w:rPr>
              <w:t>Used for skip messages when a component already exists.</w:t>
            </w:r>
          </w:p>
        </w:tc>
        <w:tc>
          <w:tcPr>
            <w:tcW w:type="dxa" w:w="2590"/>
            <w:vAlign w:val="top"/>
          </w:tcPr>
          <w:p>
            <w:r/>
            <w:r>
              <w:rPr>
                <w:rFonts w:ascii="Arial" w:hAnsi="Arial"/>
                <w:b w:val="0"/>
                <w:sz w:val="12"/>
              </w:rPr>
              <w:t>Helps distinguish safe idempotent skips from failures.</w:t>
            </w:r>
          </w:p>
        </w:tc>
        <w:tc>
          <w:tcPr>
            <w:tcW w:type="dxa" w:w="2590"/>
            <w:vAlign w:val="top"/>
          </w:tcPr>
          <w:p>
            <w:r/>
            <w:r>
              <w:rPr>
                <w:rFonts w:ascii="Arial" w:hAnsi="Arial"/>
                <w:b w:val="0"/>
                <w:sz w:val="12"/>
              </w:rPr>
              <w:t>Purely cosmetic, but useful during reruns.</w:t>
            </w:r>
          </w:p>
        </w:tc>
      </w:tr>
      <w:tr>
        <w:tc>
          <w:tcPr>
            <w:tcW w:type="dxa" w:w="2590"/>
            <w:vAlign w:val="top"/>
          </w:tcPr>
          <w:p>
            <w:r/>
            <w:r>
              <w:rPr>
                <w:rFonts w:ascii="Arial" w:hAnsi="Arial"/>
                <w:b w:val="0"/>
                <w:sz w:val="12"/>
              </w:rPr>
              <w:t>69</w:t>
            </w:r>
          </w:p>
        </w:tc>
        <w:tc>
          <w:tcPr>
            <w:tcW w:type="dxa" w:w="2590"/>
            <w:vAlign w:val="top"/>
          </w:tcPr>
          <w:p>
            <w:r/>
            <w:r>
              <w:rPr>
                <w:rFonts w:ascii="Arial" w:hAnsi="Arial"/>
                <w:b w:val="0"/>
                <w:sz w:val="12"/>
              </w:rPr>
              <w:t xml:space="preserve">    Console.WriteLine("SKIP existing table: aso_pendingcommercialaction");</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70</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71</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72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73</w:t>
            </w:r>
          </w:p>
        </w:tc>
        <w:tc>
          <w:tcPr>
            <w:tcW w:type="dxa" w:w="2590"/>
            <w:vAlign w:val="top"/>
          </w:tcPr>
          <w:p>
            <w:r/>
            <w:r>
              <w:rPr>
                <w:rFonts w:ascii="Arial" w:hAnsi="Arial"/>
                <w:b w:val="0"/>
                <w:sz w:val="12"/>
              </w:rPr>
              <w:t>CreateOpportunityLookupIfMissing(service);</w:t>
            </w:r>
          </w:p>
        </w:tc>
        <w:tc>
          <w:tcPr>
            <w:tcW w:type="dxa" w:w="2590"/>
            <w:vAlign w:val="top"/>
          </w:tcPr>
          <w:p>
            <w:r/>
            <w:r>
              <w:rPr>
                <w:rFonts w:ascii="Arial" w:hAnsi="Arial"/>
                <w:b w:val="0"/>
                <w:sz w:val="12"/>
              </w:rPr>
              <w:t>Calls the helper that tries to create the Opportunity lookup.</w:t>
            </w:r>
          </w:p>
        </w:tc>
        <w:tc>
          <w:tcPr>
            <w:tcW w:type="dxa" w:w="2590"/>
            <w:vAlign w:val="top"/>
          </w:tcPr>
          <w:p>
            <w:r/>
            <w:r>
              <w:rPr>
                <w:rFonts w:ascii="Arial" w:hAnsi="Arial"/>
                <w:b w:val="0"/>
                <w:sz w:val="12"/>
              </w:rPr>
              <w:t>The helper checks for aso_opportunityid and creates a many-to-one relationship if missing.</w:t>
            </w:r>
          </w:p>
        </w:tc>
        <w:tc>
          <w:tcPr>
            <w:tcW w:type="dxa" w:w="2590"/>
            <w:vAlign w:val="top"/>
          </w:tcPr>
          <w:p>
            <w:r/>
            <w:r>
              <w:rPr>
                <w:rFonts w:ascii="Arial" w:hAnsi="Arial"/>
                <w:b w:val="0"/>
                <w:sz w:val="12"/>
              </w:rPr>
              <w:t>Links pending commercial actions to opportunities.</w:t>
            </w:r>
          </w:p>
        </w:tc>
        <w:tc>
          <w:tcPr>
            <w:tcW w:type="dxa" w:w="2590"/>
            <w:vAlign w:val="top"/>
          </w:tcPr>
          <w:p>
            <w:r/>
            <w:r>
              <w:rPr>
                <w:rFonts w:ascii="Arial" w:hAnsi="Arial"/>
                <w:b w:val="0"/>
                <w:sz w:val="12"/>
              </w:rPr>
              <w:t>This failed in the initial script due to unsupported language code 1033.</w:t>
            </w:r>
          </w:p>
        </w:tc>
      </w:tr>
      <w:tr>
        <w:tc>
          <w:tcPr>
            <w:tcW w:type="dxa" w:w="2590"/>
            <w:vAlign w:val="top"/>
          </w:tcPr>
          <w:p>
            <w:r/>
            <w:r>
              <w:rPr>
                <w:rFonts w:ascii="Arial" w:hAnsi="Arial"/>
                <w:b w:val="0"/>
                <w:sz w:val="12"/>
              </w:rPr>
              <w:t>74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75</w:t>
            </w:r>
          </w:p>
        </w:tc>
        <w:tc>
          <w:tcPr>
            <w:tcW w:type="dxa" w:w="2590"/>
            <w:vAlign w:val="top"/>
          </w:tcPr>
          <w:p>
            <w:r/>
            <w:r>
              <w:rPr>
                <w:rFonts w:ascii="Arial" w:hAnsi="Arial"/>
                <w:b w:val="0"/>
                <w:sz w:val="12"/>
              </w:rPr>
              <w:t>var existingAttributes = GetExistingAttributeLogicalNames(service, EntityLogicalName);</w:t>
            </w:r>
          </w:p>
        </w:tc>
        <w:tc>
          <w:tcPr>
            <w:tcW w:type="dxa" w:w="2590"/>
            <w:vAlign w:val="top"/>
          </w:tcPr>
          <w:p>
            <w:r/>
            <w:r>
              <w:rPr>
                <w:rFonts w:ascii="Arial" w:hAnsi="Arial"/>
                <w:b w:val="0"/>
                <w:sz w:val="12"/>
              </w:rPr>
              <w:t>Reads existing columns on the target table.</w:t>
            </w:r>
          </w:p>
        </w:tc>
        <w:tc>
          <w:tcPr>
            <w:tcW w:type="dxa" w:w="2590"/>
            <w:vAlign w:val="top"/>
          </w:tcPr>
          <w:p>
            <w:r/>
            <w:r>
              <w:rPr>
                <w:rFonts w:ascii="Arial" w:hAnsi="Arial"/>
                <w:b w:val="0"/>
                <w:sz w:val="12"/>
              </w:rPr>
              <w:t>The helper retrieves Attribute metadata and returns logical names.</w:t>
            </w:r>
          </w:p>
        </w:tc>
        <w:tc>
          <w:tcPr>
            <w:tcW w:type="dxa" w:w="2590"/>
            <w:vAlign w:val="top"/>
          </w:tcPr>
          <w:p>
            <w:r/>
            <w:r>
              <w:rPr>
                <w:rFonts w:ascii="Arial" w:hAnsi="Arial"/>
                <w:b w:val="0"/>
                <w:sz w:val="12"/>
              </w:rPr>
              <w:t>Enables idempotent reruns that skip already-created columns.</w:t>
            </w:r>
          </w:p>
        </w:tc>
        <w:tc>
          <w:tcPr>
            <w:tcW w:type="dxa" w:w="2590"/>
            <w:vAlign w:val="top"/>
          </w:tcPr>
          <w:p>
            <w:r/>
            <w:r>
              <w:rPr>
                <w:rFonts w:ascii="Arial" w:hAnsi="Arial"/>
                <w:b w:val="0"/>
                <w:sz w:val="12"/>
              </w:rPr>
              <w:t>Without this, reruns would fail on duplicate column names.</w:t>
            </w:r>
          </w:p>
        </w:tc>
      </w:tr>
      <w:tr>
        <w:tc>
          <w:tcPr>
            <w:tcW w:type="dxa" w:w="2590"/>
            <w:vAlign w:val="top"/>
          </w:tcPr>
          <w:p>
            <w:r/>
            <w:r>
              <w:rPr>
                <w:rFonts w:ascii="Arial" w:hAnsi="Arial"/>
                <w:b w:val="0"/>
                <w:sz w:val="12"/>
              </w:rPr>
              <w:t>76</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77</w:t>
            </w:r>
          </w:p>
        </w:tc>
        <w:tc>
          <w:tcPr>
            <w:tcW w:type="dxa" w:w="2590"/>
            <w:vAlign w:val="top"/>
          </w:tcPr>
          <w:p>
            <w:r/>
            <w:r>
              <w:rPr>
                <w:rFonts w:ascii="Arial" w:hAnsi="Arial"/>
                <w:b w:val="0"/>
                <w:sz w:val="12"/>
              </w:rPr>
              <w:t>var fields = new List&lt;AttributeMetadata&gt;</w:t>
            </w:r>
          </w:p>
        </w:tc>
        <w:tc>
          <w:tcPr>
            <w:tcW w:type="dxa" w:w="2590"/>
            <w:vAlign w:val="top"/>
          </w:tcPr>
          <w:p>
            <w:r/>
            <w:r>
              <w:rPr>
                <w:rFonts w:ascii="Arial" w:hAnsi="Arial"/>
                <w:b w:val="0"/>
                <w:sz w:val="12"/>
              </w:rPr>
              <w:t>Starts an in-memory list of columns to create.</w:t>
            </w:r>
          </w:p>
        </w:tc>
        <w:tc>
          <w:tcPr>
            <w:tcW w:type="dxa" w:w="2590"/>
            <w:vAlign w:val="top"/>
          </w:tcPr>
          <w:p>
            <w:r/>
            <w:r>
              <w:rPr>
                <w:rFonts w:ascii="Arial" w:hAnsi="Arial"/>
                <w:b w:val="0"/>
                <w:sz w:val="12"/>
              </w:rPr>
              <w:t>Each item is an AttributeMetadata object produced by helper functions.</w:t>
            </w:r>
          </w:p>
        </w:tc>
        <w:tc>
          <w:tcPr>
            <w:tcW w:type="dxa" w:w="2590"/>
            <w:vAlign w:val="top"/>
          </w:tcPr>
          <w:p>
            <w:r/>
            <w:r>
              <w:rPr>
                <w:rFonts w:ascii="Arial" w:hAnsi="Arial"/>
                <w:b w:val="0"/>
                <w:sz w:val="12"/>
              </w:rPr>
              <w:t>Keeps the field inventory declarative and reviewable.</w:t>
            </w:r>
          </w:p>
        </w:tc>
        <w:tc>
          <w:tcPr>
            <w:tcW w:type="dxa" w:w="2590"/>
            <w:vAlign w:val="top"/>
          </w:tcPr>
          <w:p>
            <w:r/>
            <w:r>
              <w:rPr>
                <w:rFonts w:ascii="Arial" w:hAnsi="Arial"/>
                <w:b w:val="0"/>
                <w:sz w:val="12"/>
              </w:rPr>
              <w:t>Bad entries here create wrong schema.</w:t>
            </w:r>
          </w:p>
        </w:tc>
      </w:tr>
      <w:tr>
        <w:tc>
          <w:tcPr>
            <w:tcW w:type="dxa" w:w="2590"/>
            <w:vAlign w:val="top"/>
          </w:tcPr>
          <w:p>
            <w:r/>
            <w:r>
              <w:rPr>
                <w:rFonts w:ascii="Arial" w:hAnsi="Arial"/>
                <w:b w:val="0"/>
                <w:sz w:val="12"/>
              </w:rPr>
              <w:t>78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79</w:t>
            </w:r>
          </w:p>
        </w:tc>
        <w:tc>
          <w:tcPr>
            <w:tcW w:type="dxa" w:w="2590"/>
            <w:vAlign w:val="top"/>
          </w:tcPr>
          <w:p>
            <w:r/>
            <w:r>
              <w:rPr>
                <w:rFonts w:ascii="Arial" w:hAnsi="Arial"/>
                <w:b w:val="0"/>
                <w:sz w:val="12"/>
              </w:rPr>
              <w:t xml:space="preserve">    LocalChoice("aso_actiontype", "Action Type",</w:t>
            </w:r>
          </w:p>
        </w:tc>
        <w:tc>
          <w:tcPr>
            <w:tcW w:type="dxa" w:w="2590"/>
            <w:vAlign w:val="top"/>
          </w:tcPr>
          <w:p>
            <w:r/>
            <w:r>
              <w:rPr>
                <w:rFonts w:ascii="Arial" w:hAnsi="Arial"/>
                <w:b w:val="0"/>
                <w:sz w:val="12"/>
              </w:rPr>
              <w:t>Defines a local choice column.</w:t>
            </w:r>
          </w:p>
        </w:tc>
        <w:tc>
          <w:tcPr>
            <w:tcW w:type="dxa" w:w="2590"/>
            <w:vAlign w:val="top"/>
          </w:tcPr>
          <w:p>
            <w:r/>
            <w:r>
              <w:rPr>
                <w:rFonts w:ascii="Arial" w:hAnsi="Arial"/>
                <w:b w:val="0"/>
                <w:sz w:val="12"/>
              </w:rPr>
              <w:t>Creates a PicklistAttributeMetadata object with values embedded in this one column.</w:t>
            </w:r>
          </w:p>
        </w:tc>
        <w:tc>
          <w:tcPr>
            <w:tcW w:type="dxa" w:w="2590"/>
            <w:vAlign w:val="top"/>
          </w:tcPr>
          <w:p>
            <w:r/>
            <w:r>
              <w:rPr>
                <w:rFonts w:ascii="Arial" w:hAnsi="Arial"/>
                <w:b w:val="0"/>
                <w:sz w:val="12"/>
              </w:rPr>
              <w:t>Used when the option set is specific to Pending Commercial Action.</w:t>
            </w:r>
          </w:p>
        </w:tc>
        <w:tc>
          <w:tcPr>
            <w:tcW w:type="dxa" w:w="2590"/>
            <w:vAlign w:val="top"/>
          </w:tcPr>
          <w:p>
            <w:r/>
            <w:r>
              <w:rPr>
                <w:rFonts w:ascii="Arial" w:hAnsi="Arial"/>
                <w:b w:val="0"/>
                <w:sz w:val="12"/>
              </w:rPr>
              <w:t>If values are wrong, automation status/action logic becomes inconsistent.</w:t>
            </w:r>
          </w:p>
        </w:tc>
      </w:tr>
      <w:tr>
        <w:tc>
          <w:tcPr>
            <w:tcW w:type="dxa" w:w="2590"/>
            <w:vAlign w:val="top"/>
          </w:tcPr>
          <w:p>
            <w:r/>
            <w:r>
              <w:rPr>
                <w:rFonts w:ascii="Arial" w:hAnsi="Arial"/>
                <w:b w:val="0"/>
                <w:sz w:val="12"/>
              </w:rPr>
              <w:t>80</w:t>
            </w:r>
          </w:p>
        </w:tc>
        <w:tc>
          <w:tcPr>
            <w:tcW w:type="dxa" w:w="2590"/>
            <w:vAlign w:val="top"/>
          </w:tcPr>
          <w:p>
            <w:r/>
            <w:r>
              <w:rPr>
                <w:rFonts w:ascii="Arial" w:hAnsi="Arial"/>
                <w:b w:val="0"/>
                <w:sz w:val="12"/>
              </w:rPr>
              <w:t xml:space="preserve">        new[] { "CreateOrder", "UpdateCommercialReference", "ReviewPricingContext" },</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81</w:t>
            </w:r>
          </w:p>
        </w:tc>
        <w:tc>
          <w:tcPr>
            <w:tcW w:type="dxa" w:w="2590"/>
            <w:vAlign w:val="top"/>
          </w:tcPr>
          <w:p>
            <w:r/>
            <w:r>
              <w:rPr>
                <w:rFonts w:ascii="Arial" w:hAnsi="Arial"/>
                <w:b w:val="0"/>
                <w:sz w:val="12"/>
              </w:rPr>
              <w:t xml:space="preserve">        "Commercial action type staged for approval before SAP submission."),</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82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83</w:t>
            </w:r>
          </w:p>
        </w:tc>
        <w:tc>
          <w:tcPr>
            <w:tcW w:type="dxa" w:w="2590"/>
            <w:vAlign w:val="top"/>
          </w:tcPr>
          <w:p>
            <w:r/>
            <w:r>
              <w:rPr>
                <w:rFonts w:ascii="Arial" w:hAnsi="Arial"/>
                <w:b w:val="0"/>
                <w:sz w:val="12"/>
              </w:rPr>
              <w:t xml:space="preserve">    Memo("aso_payload", "Payload", "Commercial action payload staged before approval and SAP submission."),</w:t>
            </w:r>
          </w:p>
        </w:tc>
        <w:tc>
          <w:tcPr>
            <w:tcW w:type="dxa" w:w="2590"/>
            <w:vAlign w:val="top"/>
          </w:tcPr>
          <w:p>
            <w:r/>
            <w:r>
              <w:rPr>
                <w:rFonts w:ascii="Arial" w:hAnsi="Arial"/>
                <w:b w:val="0"/>
                <w:sz w:val="12"/>
              </w:rPr>
              <w:t>Defines a multiline text column.</w:t>
            </w:r>
          </w:p>
        </w:tc>
        <w:tc>
          <w:tcPr>
            <w:tcW w:type="dxa" w:w="2590"/>
            <w:vAlign w:val="top"/>
          </w:tcPr>
          <w:p>
            <w:r/>
            <w:r>
              <w:rPr>
                <w:rFonts w:ascii="Arial" w:hAnsi="Arial"/>
                <w:b w:val="0"/>
                <w:sz w:val="12"/>
              </w:rPr>
              <w:t>Creates MemoAttributeMetadata with 4000-character capacity.</w:t>
            </w:r>
          </w:p>
        </w:tc>
        <w:tc>
          <w:tcPr>
            <w:tcW w:type="dxa" w:w="2590"/>
            <w:vAlign w:val="top"/>
          </w:tcPr>
          <w:p>
            <w:r/>
            <w:r>
              <w:rPr>
                <w:rFonts w:ascii="Arial" w:hAnsi="Arial"/>
                <w:b w:val="0"/>
                <w:sz w:val="12"/>
              </w:rPr>
              <w:t>Used for payloads and error text that may be longer than normal text.</w:t>
            </w:r>
          </w:p>
        </w:tc>
        <w:tc>
          <w:tcPr>
            <w:tcW w:type="dxa" w:w="2590"/>
            <w:vAlign w:val="top"/>
          </w:tcPr>
          <w:p>
            <w:r/>
            <w:r>
              <w:rPr>
                <w:rFonts w:ascii="Arial" w:hAnsi="Arial"/>
                <w:b w:val="0"/>
                <w:sz w:val="12"/>
              </w:rPr>
              <w:t>Using short text here could truncate important diagnostics or payload data.</w:t>
            </w:r>
          </w:p>
        </w:tc>
      </w:tr>
      <w:tr>
        <w:tc>
          <w:tcPr>
            <w:tcW w:type="dxa" w:w="2590"/>
            <w:vAlign w:val="top"/>
          </w:tcPr>
          <w:p>
            <w:r/>
            <w:r>
              <w:rPr>
                <w:rFonts w:ascii="Arial" w:hAnsi="Arial"/>
                <w:b w:val="0"/>
                <w:sz w:val="12"/>
              </w:rPr>
              <w:t>84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85</w:t>
            </w:r>
          </w:p>
        </w:tc>
        <w:tc>
          <w:tcPr>
            <w:tcW w:type="dxa" w:w="2590"/>
            <w:vAlign w:val="top"/>
          </w:tcPr>
          <w:p>
            <w:r/>
            <w:r>
              <w:rPr>
                <w:rFonts w:ascii="Arial" w:hAnsi="Arial"/>
                <w:b w:val="0"/>
                <w:sz w:val="12"/>
              </w:rPr>
              <w:t xml:space="preserve">    LocalChoice("aso_status", "Status",</w:t>
            </w:r>
          </w:p>
        </w:tc>
        <w:tc>
          <w:tcPr>
            <w:tcW w:type="dxa" w:w="2590"/>
            <w:vAlign w:val="top"/>
          </w:tcPr>
          <w:p>
            <w:r/>
            <w:r>
              <w:rPr>
                <w:rFonts w:ascii="Arial" w:hAnsi="Arial"/>
                <w:b w:val="0"/>
                <w:sz w:val="12"/>
              </w:rPr>
              <w:t>Defines a local choice column.</w:t>
            </w:r>
          </w:p>
        </w:tc>
        <w:tc>
          <w:tcPr>
            <w:tcW w:type="dxa" w:w="2590"/>
            <w:vAlign w:val="top"/>
          </w:tcPr>
          <w:p>
            <w:r/>
            <w:r>
              <w:rPr>
                <w:rFonts w:ascii="Arial" w:hAnsi="Arial"/>
                <w:b w:val="0"/>
                <w:sz w:val="12"/>
              </w:rPr>
              <w:t>Creates a PicklistAttributeMetadata object with values embedded in this one column.</w:t>
            </w:r>
          </w:p>
        </w:tc>
        <w:tc>
          <w:tcPr>
            <w:tcW w:type="dxa" w:w="2590"/>
            <w:vAlign w:val="top"/>
          </w:tcPr>
          <w:p>
            <w:r/>
            <w:r>
              <w:rPr>
                <w:rFonts w:ascii="Arial" w:hAnsi="Arial"/>
                <w:b w:val="0"/>
                <w:sz w:val="12"/>
              </w:rPr>
              <w:t>Used when the option set is specific to Pending Commercial Action.</w:t>
            </w:r>
          </w:p>
        </w:tc>
        <w:tc>
          <w:tcPr>
            <w:tcW w:type="dxa" w:w="2590"/>
            <w:vAlign w:val="top"/>
          </w:tcPr>
          <w:p>
            <w:r/>
            <w:r>
              <w:rPr>
                <w:rFonts w:ascii="Arial" w:hAnsi="Arial"/>
                <w:b w:val="0"/>
                <w:sz w:val="12"/>
              </w:rPr>
              <w:t>If values are wrong, automation status/action logic becomes inconsistent.</w:t>
            </w:r>
          </w:p>
        </w:tc>
      </w:tr>
      <w:tr>
        <w:tc>
          <w:tcPr>
            <w:tcW w:type="dxa" w:w="2590"/>
            <w:vAlign w:val="top"/>
          </w:tcPr>
          <w:p>
            <w:r/>
            <w:r>
              <w:rPr>
                <w:rFonts w:ascii="Arial" w:hAnsi="Arial"/>
                <w:b w:val="0"/>
                <w:sz w:val="12"/>
              </w:rPr>
              <w:t>86</w:t>
            </w:r>
          </w:p>
        </w:tc>
        <w:tc>
          <w:tcPr>
            <w:tcW w:type="dxa" w:w="2590"/>
            <w:vAlign w:val="top"/>
          </w:tcPr>
          <w:p>
            <w:r/>
            <w:r>
              <w:rPr>
                <w:rFonts w:ascii="Arial" w:hAnsi="Arial"/>
                <w:b w:val="0"/>
                <w:sz w:val="12"/>
              </w:rPr>
              <w:t xml:space="preserve">        new[] { "Draft", "AwaitingApproval", "Approved", "Submitted", "Failed", "Cancelled" },</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87</w:t>
            </w:r>
          </w:p>
        </w:tc>
        <w:tc>
          <w:tcPr>
            <w:tcW w:type="dxa" w:w="2590"/>
            <w:vAlign w:val="top"/>
          </w:tcPr>
          <w:p>
            <w:r/>
            <w:r>
              <w:rPr>
                <w:rFonts w:ascii="Arial" w:hAnsi="Arial"/>
                <w:b w:val="0"/>
                <w:sz w:val="12"/>
              </w:rPr>
              <w:t xml:space="preserve">        "Approval and submission status of the pending commercial action."),</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88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89</w:t>
            </w:r>
          </w:p>
        </w:tc>
        <w:tc>
          <w:tcPr>
            <w:tcW w:type="dxa" w:w="2590"/>
            <w:vAlign w:val="top"/>
          </w:tcPr>
          <w:p>
            <w:r/>
            <w:r>
              <w:rPr>
                <w:rFonts w:ascii="Arial" w:hAnsi="Arial"/>
                <w:b w:val="0"/>
                <w:sz w:val="12"/>
              </w:rPr>
              <w:t xml:space="preserve">    Text("aso_sapdocumentid", "SAP Document ID", 100, "SAP document identifier returned after governed SAP submit."),</w:t>
            </w:r>
          </w:p>
        </w:tc>
        <w:tc>
          <w:tcPr>
            <w:tcW w:type="dxa" w:w="2590"/>
            <w:vAlign w:val="top"/>
          </w:tcPr>
          <w:p>
            <w:r/>
            <w:r>
              <w:rPr>
                <w:rFonts w:ascii="Arial" w:hAnsi="Arial"/>
                <w:b w:val="0"/>
                <w:sz w:val="12"/>
              </w:rPr>
              <w:t>Defines a single-line text column.</w:t>
            </w:r>
          </w:p>
        </w:tc>
        <w:tc>
          <w:tcPr>
            <w:tcW w:type="dxa" w:w="2590"/>
            <w:vAlign w:val="top"/>
          </w:tcPr>
          <w:p>
            <w:r/>
            <w:r>
              <w:rPr>
                <w:rFonts w:ascii="Arial" w:hAnsi="Arial"/>
                <w:b w:val="0"/>
                <w:sz w:val="12"/>
              </w:rPr>
              <w:t>Creates StringAttributeMetadata with a defined MaxLength.</w:t>
            </w:r>
          </w:p>
        </w:tc>
        <w:tc>
          <w:tcPr>
            <w:tcW w:type="dxa" w:w="2590"/>
            <w:vAlign w:val="top"/>
          </w:tcPr>
          <w:p>
            <w:r/>
            <w:r>
              <w:rPr>
                <w:rFonts w:ascii="Arial" w:hAnsi="Arial"/>
                <w:b w:val="0"/>
                <w:sz w:val="12"/>
              </w:rPr>
              <w:t>Used for IDs, keys, and references.</w:t>
            </w:r>
          </w:p>
        </w:tc>
        <w:tc>
          <w:tcPr>
            <w:tcW w:type="dxa" w:w="2590"/>
            <w:vAlign w:val="top"/>
          </w:tcPr>
          <w:p>
            <w:r/>
            <w:r>
              <w:rPr>
                <w:rFonts w:ascii="Arial" w:hAnsi="Arial"/>
                <w:b w:val="0"/>
                <w:sz w:val="12"/>
              </w:rPr>
              <w:t>Wrong length can truncate identifiers or allow poor-quality oversized values.</w:t>
            </w:r>
          </w:p>
        </w:tc>
      </w:tr>
      <w:tr>
        <w:tc>
          <w:tcPr>
            <w:tcW w:type="dxa" w:w="2590"/>
            <w:vAlign w:val="top"/>
          </w:tcPr>
          <w:p>
            <w:r/>
            <w:r>
              <w:rPr>
                <w:rFonts w:ascii="Arial" w:hAnsi="Arial"/>
                <w:b w:val="0"/>
                <w:sz w:val="12"/>
              </w:rPr>
              <w:t>90</w:t>
            </w:r>
          </w:p>
        </w:tc>
        <w:tc>
          <w:tcPr>
            <w:tcW w:type="dxa" w:w="2590"/>
            <w:vAlign w:val="top"/>
          </w:tcPr>
          <w:p>
            <w:r/>
            <w:r>
              <w:rPr>
                <w:rFonts w:ascii="Arial" w:hAnsi="Arial"/>
                <w:b w:val="0"/>
                <w:sz w:val="12"/>
              </w:rPr>
              <w:t xml:space="preserve">    Memo("aso_errormessage", "Error Message", "Error details if approval or SAP submission fails."),</w:t>
            </w:r>
          </w:p>
        </w:tc>
        <w:tc>
          <w:tcPr>
            <w:tcW w:type="dxa" w:w="2590"/>
            <w:vAlign w:val="top"/>
          </w:tcPr>
          <w:p>
            <w:r/>
            <w:r>
              <w:rPr>
                <w:rFonts w:ascii="Arial" w:hAnsi="Arial"/>
                <w:b w:val="0"/>
                <w:sz w:val="12"/>
              </w:rPr>
              <w:t>Defines a multiline text column.</w:t>
            </w:r>
          </w:p>
        </w:tc>
        <w:tc>
          <w:tcPr>
            <w:tcW w:type="dxa" w:w="2590"/>
            <w:vAlign w:val="top"/>
          </w:tcPr>
          <w:p>
            <w:r/>
            <w:r>
              <w:rPr>
                <w:rFonts w:ascii="Arial" w:hAnsi="Arial"/>
                <w:b w:val="0"/>
                <w:sz w:val="12"/>
              </w:rPr>
              <w:t>Creates MemoAttributeMetadata with 4000-character capacity.</w:t>
            </w:r>
          </w:p>
        </w:tc>
        <w:tc>
          <w:tcPr>
            <w:tcW w:type="dxa" w:w="2590"/>
            <w:vAlign w:val="top"/>
          </w:tcPr>
          <w:p>
            <w:r/>
            <w:r>
              <w:rPr>
                <w:rFonts w:ascii="Arial" w:hAnsi="Arial"/>
                <w:b w:val="0"/>
                <w:sz w:val="12"/>
              </w:rPr>
              <w:t>Used for payloads and error text that may be longer than normal text.</w:t>
            </w:r>
          </w:p>
        </w:tc>
        <w:tc>
          <w:tcPr>
            <w:tcW w:type="dxa" w:w="2590"/>
            <w:vAlign w:val="top"/>
          </w:tcPr>
          <w:p>
            <w:r/>
            <w:r>
              <w:rPr>
                <w:rFonts w:ascii="Arial" w:hAnsi="Arial"/>
                <w:b w:val="0"/>
                <w:sz w:val="12"/>
              </w:rPr>
              <w:t>Using short text here could truncate important diagnostics or payload data.</w:t>
            </w:r>
          </w:p>
        </w:tc>
      </w:tr>
      <w:tr>
        <w:tc>
          <w:tcPr>
            <w:tcW w:type="dxa" w:w="2590"/>
            <w:vAlign w:val="top"/>
          </w:tcPr>
          <w:p>
            <w:r/>
            <w:r>
              <w:rPr>
                <w:rFonts w:ascii="Arial" w:hAnsi="Arial"/>
                <w:b w:val="0"/>
                <w:sz w:val="12"/>
              </w:rPr>
              <w:t>91</w:t>
            </w:r>
          </w:p>
        </w:tc>
        <w:tc>
          <w:tcPr>
            <w:tcW w:type="dxa" w:w="2590"/>
            <w:vAlign w:val="top"/>
          </w:tcPr>
          <w:p>
            <w:r/>
            <w:r>
              <w:rPr>
                <w:rFonts w:ascii="Arial" w:hAnsi="Arial"/>
                <w:b w:val="0"/>
                <w:sz w:val="12"/>
              </w:rPr>
              <w:t xml:space="preserve">    Text("aso_approvalid", "Approval ID", 100, "Power Automate or approval process identifier."),</w:t>
            </w:r>
          </w:p>
        </w:tc>
        <w:tc>
          <w:tcPr>
            <w:tcW w:type="dxa" w:w="2590"/>
            <w:vAlign w:val="top"/>
          </w:tcPr>
          <w:p>
            <w:r/>
            <w:r>
              <w:rPr>
                <w:rFonts w:ascii="Arial" w:hAnsi="Arial"/>
                <w:b w:val="0"/>
                <w:sz w:val="12"/>
              </w:rPr>
              <w:t>Defines a single-line text column.</w:t>
            </w:r>
          </w:p>
        </w:tc>
        <w:tc>
          <w:tcPr>
            <w:tcW w:type="dxa" w:w="2590"/>
            <w:vAlign w:val="top"/>
          </w:tcPr>
          <w:p>
            <w:r/>
            <w:r>
              <w:rPr>
                <w:rFonts w:ascii="Arial" w:hAnsi="Arial"/>
                <w:b w:val="0"/>
                <w:sz w:val="12"/>
              </w:rPr>
              <w:t>Creates StringAttributeMetadata with a defined MaxLength.</w:t>
            </w:r>
          </w:p>
        </w:tc>
        <w:tc>
          <w:tcPr>
            <w:tcW w:type="dxa" w:w="2590"/>
            <w:vAlign w:val="top"/>
          </w:tcPr>
          <w:p>
            <w:r/>
            <w:r>
              <w:rPr>
                <w:rFonts w:ascii="Arial" w:hAnsi="Arial"/>
                <w:b w:val="0"/>
                <w:sz w:val="12"/>
              </w:rPr>
              <w:t>Used for IDs, keys, and references.</w:t>
            </w:r>
          </w:p>
        </w:tc>
        <w:tc>
          <w:tcPr>
            <w:tcW w:type="dxa" w:w="2590"/>
            <w:vAlign w:val="top"/>
          </w:tcPr>
          <w:p>
            <w:r/>
            <w:r>
              <w:rPr>
                <w:rFonts w:ascii="Arial" w:hAnsi="Arial"/>
                <w:b w:val="0"/>
                <w:sz w:val="12"/>
              </w:rPr>
              <w:t>Wrong length can truncate identifiers or allow poor-quality oversized values.</w:t>
            </w:r>
          </w:p>
        </w:tc>
      </w:tr>
      <w:tr>
        <w:tc>
          <w:tcPr>
            <w:tcW w:type="dxa" w:w="2590"/>
            <w:vAlign w:val="top"/>
          </w:tcPr>
          <w:p>
            <w:r/>
            <w:r>
              <w:rPr>
                <w:rFonts w:ascii="Arial" w:hAnsi="Arial"/>
                <w:b w:val="0"/>
                <w:sz w:val="12"/>
              </w:rPr>
              <w:t>92</w:t>
            </w:r>
          </w:p>
        </w:tc>
        <w:tc>
          <w:tcPr>
            <w:tcW w:type="dxa" w:w="2590"/>
            <w:vAlign w:val="top"/>
          </w:tcPr>
          <w:p>
            <w:r/>
            <w:r>
              <w:rPr>
                <w:rFonts w:ascii="Arial" w:hAnsi="Arial"/>
                <w:b w:val="0"/>
                <w:sz w:val="12"/>
              </w:rPr>
              <w:t xml:space="preserve">    Text("aso_idempotencykey", "Idempotency Key", 200, "Key used to prevent duplicate commercial submission."),</w:t>
            </w:r>
          </w:p>
        </w:tc>
        <w:tc>
          <w:tcPr>
            <w:tcW w:type="dxa" w:w="2590"/>
            <w:vAlign w:val="top"/>
          </w:tcPr>
          <w:p>
            <w:r/>
            <w:r>
              <w:rPr>
                <w:rFonts w:ascii="Arial" w:hAnsi="Arial"/>
                <w:b w:val="0"/>
                <w:sz w:val="12"/>
              </w:rPr>
              <w:t>Defines a single-line text column.</w:t>
            </w:r>
          </w:p>
        </w:tc>
        <w:tc>
          <w:tcPr>
            <w:tcW w:type="dxa" w:w="2590"/>
            <w:vAlign w:val="top"/>
          </w:tcPr>
          <w:p>
            <w:r/>
            <w:r>
              <w:rPr>
                <w:rFonts w:ascii="Arial" w:hAnsi="Arial"/>
                <w:b w:val="0"/>
                <w:sz w:val="12"/>
              </w:rPr>
              <w:t>Creates StringAttributeMetadata with a defined MaxLength.</w:t>
            </w:r>
          </w:p>
        </w:tc>
        <w:tc>
          <w:tcPr>
            <w:tcW w:type="dxa" w:w="2590"/>
            <w:vAlign w:val="top"/>
          </w:tcPr>
          <w:p>
            <w:r/>
            <w:r>
              <w:rPr>
                <w:rFonts w:ascii="Arial" w:hAnsi="Arial"/>
                <w:b w:val="0"/>
                <w:sz w:val="12"/>
              </w:rPr>
              <w:t>Used for IDs, keys, and references.</w:t>
            </w:r>
          </w:p>
        </w:tc>
        <w:tc>
          <w:tcPr>
            <w:tcW w:type="dxa" w:w="2590"/>
            <w:vAlign w:val="top"/>
          </w:tcPr>
          <w:p>
            <w:r/>
            <w:r>
              <w:rPr>
                <w:rFonts w:ascii="Arial" w:hAnsi="Arial"/>
                <w:b w:val="0"/>
                <w:sz w:val="12"/>
              </w:rPr>
              <w:t>Wrong length can truncate identifiers or allow poor-quality oversized values.</w:t>
            </w:r>
          </w:p>
        </w:tc>
      </w:tr>
      <w:tr>
        <w:tc>
          <w:tcPr>
            <w:tcW w:type="dxa" w:w="2590"/>
            <w:vAlign w:val="top"/>
          </w:tcPr>
          <w:p>
            <w:r/>
            <w:r>
              <w:rPr>
                <w:rFonts w:ascii="Arial" w:hAnsi="Arial"/>
                <w:b w:val="0"/>
                <w:sz w:val="12"/>
              </w:rPr>
              <w:t>93</w:t>
            </w:r>
          </w:p>
        </w:tc>
        <w:tc>
          <w:tcPr>
            <w:tcW w:type="dxa" w:w="2590"/>
            <w:vAlign w:val="top"/>
          </w:tcPr>
          <w:p>
            <w:r/>
            <w:r>
              <w:rPr>
                <w:rFonts w:ascii="Arial" w:hAnsi="Arial"/>
                <w:b w:val="0"/>
                <w:sz w:val="12"/>
              </w:rPr>
              <w:t xml:space="preserve">    DateTimeField("aso_submittedon", "Submitted On", "Timestamp when the commercial action was submitted.")</w:t>
            </w:r>
          </w:p>
        </w:tc>
        <w:tc>
          <w:tcPr>
            <w:tcW w:type="dxa" w:w="2590"/>
            <w:vAlign w:val="top"/>
          </w:tcPr>
          <w:p>
            <w:r/>
            <w:r>
              <w:rPr>
                <w:rFonts w:ascii="Arial" w:hAnsi="Arial"/>
                <w:b w:val="0"/>
                <w:sz w:val="12"/>
              </w:rPr>
              <w:t>Defines a date/time column.</w:t>
            </w:r>
          </w:p>
        </w:tc>
        <w:tc>
          <w:tcPr>
            <w:tcW w:type="dxa" w:w="2590"/>
            <w:vAlign w:val="top"/>
          </w:tcPr>
          <w:p>
            <w:r/>
            <w:r>
              <w:rPr>
                <w:rFonts w:ascii="Arial" w:hAnsi="Arial"/>
                <w:b w:val="0"/>
                <w:sz w:val="12"/>
              </w:rPr>
              <w:t>Creates DateTimeAttributeMetadata with DateAndTime format and UserLocal behavior.</w:t>
            </w:r>
          </w:p>
        </w:tc>
        <w:tc>
          <w:tcPr>
            <w:tcW w:type="dxa" w:w="2590"/>
            <w:vAlign w:val="top"/>
          </w:tcPr>
          <w:p>
            <w:r/>
            <w:r>
              <w:rPr>
                <w:rFonts w:ascii="Arial" w:hAnsi="Arial"/>
                <w:b w:val="0"/>
                <w:sz w:val="12"/>
              </w:rPr>
              <w:t>Used for Submitted On timestamps.</w:t>
            </w:r>
          </w:p>
        </w:tc>
        <w:tc>
          <w:tcPr>
            <w:tcW w:type="dxa" w:w="2590"/>
            <w:vAlign w:val="top"/>
          </w:tcPr>
          <w:p>
            <w:r/>
            <w:r>
              <w:rPr>
                <w:rFonts w:ascii="Arial" w:hAnsi="Arial"/>
                <w:b w:val="0"/>
                <w:sz w:val="12"/>
              </w:rPr>
              <w:t>Wrong behavior can confuse users across time zones.</w:t>
            </w:r>
          </w:p>
        </w:tc>
      </w:tr>
      <w:tr>
        <w:tc>
          <w:tcPr>
            <w:tcW w:type="dxa" w:w="2590"/>
            <w:vAlign w:val="top"/>
          </w:tcPr>
          <w:p>
            <w:r/>
            <w:r>
              <w:rPr>
                <w:rFonts w:ascii="Arial" w:hAnsi="Arial"/>
                <w:b w:val="0"/>
                <w:sz w:val="12"/>
              </w:rPr>
              <w:t>94</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95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96</w:t>
            </w:r>
          </w:p>
        </w:tc>
        <w:tc>
          <w:tcPr>
            <w:tcW w:type="dxa" w:w="2590"/>
            <w:vAlign w:val="top"/>
          </w:tcPr>
          <w:p>
            <w:r/>
            <w:r>
              <w:rPr>
                <w:rFonts w:ascii="Arial" w:hAnsi="Arial"/>
                <w:b w:val="0"/>
                <w:sz w:val="12"/>
              </w:rPr>
              <w:t>foreach (var field in fields)</w:t>
            </w:r>
          </w:p>
        </w:tc>
        <w:tc>
          <w:tcPr>
            <w:tcW w:type="dxa" w:w="2590"/>
            <w:vAlign w:val="top"/>
          </w:tcPr>
          <w:p>
            <w:r/>
            <w:r>
              <w:rPr>
                <w:rFonts w:ascii="Arial" w:hAnsi="Arial"/>
                <w:b w:val="0"/>
                <w:sz w:val="12"/>
              </w:rPr>
              <w:t>Starts a loop through all planned columns.</w:t>
            </w:r>
          </w:p>
        </w:tc>
        <w:tc>
          <w:tcPr>
            <w:tcW w:type="dxa" w:w="2590"/>
            <w:vAlign w:val="top"/>
          </w:tcPr>
          <w:p>
            <w:r/>
            <w:r>
              <w:rPr>
                <w:rFonts w:ascii="Arial" w:hAnsi="Arial"/>
                <w:b w:val="0"/>
                <w:sz w:val="12"/>
              </w:rPr>
              <w:t>Each field definition is processed one by one.</w:t>
            </w:r>
          </w:p>
        </w:tc>
        <w:tc>
          <w:tcPr>
            <w:tcW w:type="dxa" w:w="2590"/>
            <w:vAlign w:val="top"/>
          </w:tcPr>
          <w:p>
            <w:r/>
            <w:r>
              <w:rPr>
                <w:rFonts w:ascii="Arial" w:hAnsi="Arial"/>
                <w:b w:val="0"/>
                <w:sz w:val="12"/>
              </w:rPr>
              <w:t>Avoids repetitive manual create calls and standardizes behavior.</w:t>
            </w:r>
          </w:p>
        </w:tc>
        <w:tc>
          <w:tcPr>
            <w:tcW w:type="dxa" w:w="2590"/>
            <w:vAlign w:val="top"/>
          </w:tcPr>
          <w:p>
            <w:r/>
            <w:r>
              <w:rPr>
                <w:rFonts w:ascii="Arial" w:hAnsi="Arial"/>
                <w:b w:val="0"/>
                <w:sz w:val="12"/>
              </w:rPr>
              <w:t>Loop logic must handle existing fields and errors safely.</w:t>
            </w:r>
          </w:p>
        </w:tc>
      </w:tr>
      <w:tr>
        <w:tc>
          <w:tcPr>
            <w:tcW w:type="dxa" w:w="2590"/>
            <w:vAlign w:val="top"/>
          </w:tcPr>
          <w:p>
            <w:r/>
            <w:r>
              <w:rPr>
                <w:rFonts w:ascii="Arial" w:hAnsi="Arial"/>
                <w:b w:val="0"/>
                <w:sz w:val="12"/>
              </w:rPr>
              <w:t>97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98</w:t>
            </w:r>
          </w:p>
        </w:tc>
        <w:tc>
          <w:tcPr>
            <w:tcW w:type="dxa" w:w="2590"/>
            <w:vAlign w:val="top"/>
          </w:tcPr>
          <w:p>
            <w:r/>
            <w:r>
              <w:rPr>
                <w:rFonts w:ascii="Arial" w:hAnsi="Arial"/>
                <w:b w:val="0"/>
                <w:sz w:val="12"/>
              </w:rPr>
              <w:t xml:space="preserve">    var logicalName = field.SchemaName!.ToLowerInvariant();</w:t>
            </w:r>
          </w:p>
        </w:tc>
        <w:tc>
          <w:tcPr>
            <w:tcW w:type="dxa" w:w="2590"/>
            <w:vAlign w:val="top"/>
          </w:tcPr>
          <w:p>
            <w:r/>
            <w:r>
              <w:rPr>
                <w:rFonts w:ascii="Arial" w:hAnsi="Arial"/>
                <w:b w:val="0"/>
                <w:sz w:val="12"/>
              </w:rPr>
              <w:t>Reads and normalizes the planned field schema name.</w:t>
            </w:r>
          </w:p>
        </w:tc>
        <w:tc>
          <w:tcPr>
            <w:tcW w:type="dxa" w:w="2590"/>
            <w:vAlign w:val="top"/>
          </w:tcPr>
          <w:p>
            <w:r/>
            <w:r>
              <w:rPr>
                <w:rFonts w:ascii="Arial" w:hAnsi="Arial"/>
                <w:b w:val="0"/>
                <w:sz w:val="12"/>
              </w:rPr>
              <w:t>Dataverse logical names are lowercase, so ToLowerInvariant supports reliable comparison.</w:t>
            </w:r>
          </w:p>
        </w:tc>
        <w:tc>
          <w:tcPr>
            <w:tcW w:type="dxa" w:w="2590"/>
            <w:vAlign w:val="top"/>
          </w:tcPr>
          <w:p>
            <w:r/>
            <w:r>
              <w:rPr>
                <w:rFonts w:ascii="Arial" w:hAnsi="Arial"/>
                <w:b w:val="0"/>
                <w:sz w:val="12"/>
              </w:rPr>
              <w:t>Enables correct duplicate detection.</w:t>
            </w:r>
          </w:p>
        </w:tc>
        <w:tc>
          <w:tcPr>
            <w:tcW w:type="dxa" w:w="2590"/>
            <w:vAlign w:val="top"/>
          </w:tcPr>
          <w:p>
            <w:r/>
            <w:r>
              <w:rPr>
                <w:rFonts w:ascii="Arial" w:hAnsi="Arial"/>
                <w:b w:val="0"/>
                <w:sz w:val="12"/>
              </w:rPr>
              <w:t>Incorrect comparison could attempt duplicate creation.</w:t>
            </w:r>
          </w:p>
        </w:tc>
      </w:tr>
      <w:tr>
        <w:tc>
          <w:tcPr>
            <w:tcW w:type="dxa" w:w="2590"/>
            <w:vAlign w:val="top"/>
          </w:tcPr>
          <w:p>
            <w:r/>
            <w:r>
              <w:rPr>
                <w:rFonts w:ascii="Arial" w:hAnsi="Arial"/>
                <w:b w:val="0"/>
                <w:sz w:val="12"/>
              </w:rPr>
              <w:t>99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100</w:t>
            </w:r>
          </w:p>
        </w:tc>
        <w:tc>
          <w:tcPr>
            <w:tcW w:type="dxa" w:w="2590"/>
            <w:vAlign w:val="top"/>
          </w:tcPr>
          <w:p>
            <w:r/>
            <w:r>
              <w:rPr>
                <w:rFonts w:ascii="Arial" w:hAnsi="Arial"/>
                <w:b w:val="0"/>
                <w:sz w:val="12"/>
              </w:rPr>
              <w:t xml:space="preserve">    if (existingAttributes.Contains(logicalName))</w:t>
            </w:r>
          </w:p>
        </w:tc>
        <w:tc>
          <w:tcPr>
            <w:tcW w:type="dxa" w:w="2590"/>
            <w:vAlign w:val="top"/>
          </w:tcPr>
          <w:p>
            <w:r/>
            <w:r>
              <w:rPr>
                <w:rFonts w:ascii="Arial" w:hAnsi="Arial"/>
                <w:b w:val="0"/>
                <w:sz w:val="12"/>
              </w:rPr>
              <w:t>Checks whether a column already exists.</w:t>
            </w:r>
          </w:p>
        </w:tc>
        <w:tc>
          <w:tcPr>
            <w:tcW w:type="dxa" w:w="2590"/>
            <w:vAlign w:val="top"/>
          </w:tcPr>
          <w:p>
            <w:r/>
            <w:r>
              <w:rPr>
                <w:rFonts w:ascii="Arial" w:hAnsi="Arial"/>
                <w:b w:val="0"/>
                <w:sz w:val="12"/>
              </w:rPr>
              <w:t>Uses the current table metadata returned earlier.</w:t>
            </w:r>
          </w:p>
        </w:tc>
        <w:tc>
          <w:tcPr>
            <w:tcW w:type="dxa" w:w="2590"/>
            <w:vAlign w:val="top"/>
          </w:tcPr>
          <w:p>
            <w:r/>
            <w:r>
              <w:rPr>
                <w:rFonts w:ascii="Arial" w:hAnsi="Arial"/>
                <w:b w:val="0"/>
                <w:sz w:val="12"/>
              </w:rPr>
              <w:t>Makes the script rerunnable after partial success.</w:t>
            </w:r>
          </w:p>
        </w:tc>
        <w:tc>
          <w:tcPr>
            <w:tcW w:type="dxa" w:w="2590"/>
            <w:vAlign w:val="top"/>
          </w:tcPr>
          <w:p>
            <w:r/>
            <w:r>
              <w:rPr>
                <w:rFonts w:ascii="Arial" w:hAnsi="Arial"/>
                <w:b w:val="0"/>
                <w:sz w:val="12"/>
              </w:rPr>
              <w:t>Without it, duplicate column errors stop progress.</w:t>
            </w:r>
          </w:p>
        </w:tc>
      </w:tr>
      <w:tr>
        <w:tc>
          <w:tcPr>
            <w:tcW w:type="dxa" w:w="2590"/>
            <w:vAlign w:val="top"/>
          </w:tcPr>
          <w:p>
            <w:r/>
            <w:r>
              <w:rPr>
                <w:rFonts w:ascii="Arial" w:hAnsi="Arial"/>
                <w:b w:val="0"/>
                <w:sz w:val="12"/>
              </w:rPr>
              <w:t>101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102</w:t>
            </w:r>
          </w:p>
        </w:tc>
        <w:tc>
          <w:tcPr>
            <w:tcW w:type="dxa" w:w="2590"/>
            <w:vAlign w:val="top"/>
          </w:tcPr>
          <w:p>
            <w:r/>
            <w:r>
              <w:rPr>
                <w:rFonts w:ascii="Arial" w:hAnsi="Arial"/>
                <w:b w:val="0"/>
                <w:sz w:val="12"/>
              </w:rPr>
              <w:t xml:space="preserve">        Console.ForegroundColor = ConsoleColor.Yellow;</w:t>
            </w:r>
          </w:p>
        </w:tc>
        <w:tc>
          <w:tcPr>
            <w:tcW w:type="dxa" w:w="2590"/>
            <w:vAlign w:val="top"/>
          </w:tcPr>
          <w:p>
            <w:r/>
            <w:r>
              <w:rPr>
                <w:rFonts w:ascii="Arial" w:hAnsi="Arial"/>
                <w:b w:val="0"/>
                <w:sz w:val="12"/>
              </w:rPr>
              <w:t>Changes terminal output to yellow.</w:t>
            </w:r>
          </w:p>
        </w:tc>
        <w:tc>
          <w:tcPr>
            <w:tcW w:type="dxa" w:w="2590"/>
            <w:vAlign w:val="top"/>
          </w:tcPr>
          <w:p>
            <w:r/>
            <w:r>
              <w:rPr>
                <w:rFonts w:ascii="Arial" w:hAnsi="Arial"/>
                <w:b w:val="0"/>
                <w:sz w:val="12"/>
              </w:rPr>
              <w:t>Used for skip messages when a component already exists.</w:t>
            </w:r>
          </w:p>
        </w:tc>
        <w:tc>
          <w:tcPr>
            <w:tcW w:type="dxa" w:w="2590"/>
            <w:vAlign w:val="top"/>
          </w:tcPr>
          <w:p>
            <w:r/>
            <w:r>
              <w:rPr>
                <w:rFonts w:ascii="Arial" w:hAnsi="Arial"/>
                <w:b w:val="0"/>
                <w:sz w:val="12"/>
              </w:rPr>
              <w:t>Helps distinguish safe idempotent skips from failures.</w:t>
            </w:r>
          </w:p>
        </w:tc>
        <w:tc>
          <w:tcPr>
            <w:tcW w:type="dxa" w:w="2590"/>
            <w:vAlign w:val="top"/>
          </w:tcPr>
          <w:p>
            <w:r/>
            <w:r>
              <w:rPr>
                <w:rFonts w:ascii="Arial" w:hAnsi="Arial"/>
                <w:b w:val="0"/>
                <w:sz w:val="12"/>
              </w:rPr>
              <w:t>Purely cosmetic, but useful during reruns.</w:t>
            </w:r>
          </w:p>
        </w:tc>
      </w:tr>
      <w:tr>
        <w:tc>
          <w:tcPr>
            <w:tcW w:type="dxa" w:w="2590"/>
            <w:vAlign w:val="top"/>
          </w:tcPr>
          <w:p>
            <w:r/>
            <w:r>
              <w:rPr>
                <w:rFonts w:ascii="Arial" w:hAnsi="Arial"/>
                <w:b w:val="0"/>
                <w:sz w:val="12"/>
              </w:rPr>
              <w:t>103</w:t>
            </w:r>
          </w:p>
        </w:tc>
        <w:tc>
          <w:tcPr>
            <w:tcW w:type="dxa" w:w="2590"/>
            <w:vAlign w:val="top"/>
          </w:tcPr>
          <w:p>
            <w:r/>
            <w:r>
              <w:rPr>
                <w:rFonts w:ascii="Arial" w:hAnsi="Arial"/>
                <w:b w:val="0"/>
                <w:sz w:val="12"/>
              </w:rPr>
              <w:t xml:space="preserve">        Console.WriteLine($"SKIP existing: {logicalName}");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104</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105</w:t>
            </w:r>
          </w:p>
        </w:tc>
        <w:tc>
          <w:tcPr>
            <w:tcW w:type="dxa" w:w="2590"/>
            <w:vAlign w:val="top"/>
          </w:tcPr>
          <w:p>
            <w:r/>
            <w:r>
              <w:rPr>
                <w:rFonts w:ascii="Arial" w:hAnsi="Arial"/>
                <w:b w:val="0"/>
                <w:sz w:val="12"/>
              </w:rPr>
              <w:t xml:space="preserve">        continue;</w:t>
            </w:r>
          </w:p>
        </w:tc>
        <w:tc>
          <w:tcPr>
            <w:tcW w:type="dxa" w:w="2590"/>
            <w:vAlign w:val="top"/>
          </w:tcPr>
          <w:p>
            <w:r/>
            <w:r>
              <w:rPr>
                <w:rFonts w:ascii="Arial" w:hAnsi="Arial"/>
                <w:b w:val="0"/>
                <w:sz w:val="12"/>
              </w:rPr>
              <w:t>Skips the rest of the current loop iteration.</w:t>
            </w:r>
          </w:p>
        </w:tc>
        <w:tc>
          <w:tcPr>
            <w:tcW w:type="dxa" w:w="2590"/>
            <w:vAlign w:val="top"/>
          </w:tcPr>
          <w:p>
            <w:r/>
            <w:r>
              <w:rPr>
                <w:rFonts w:ascii="Arial" w:hAnsi="Arial"/>
                <w:b w:val="0"/>
                <w:sz w:val="12"/>
              </w:rPr>
              <w:t>After detecting an existing column, the script moves to the next field.</w:t>
            </w:r>
          </w:p>
        </w:tc>
        <w:tc>
          <w:tcPr>
            <w:tcW w:type="dxa" w:w="2590"/>
            <w:vAlign w:val="top"/>
          </w:tcPr>
          <w:p>
            <w:r/>
            <w:r>
              <w:rPr>
                <w:rFonts w:ascii="Arial" w:hAnsi="Arial"/>
                <w:b w:val="0"/>
                <w:sz w:val="12"/>
              </w:rPr>
              <w:t>Supports safe reruns.</w:t>
            </w:r>
          </w:p>
        </w:tc>
        <w:tc>
          <w:tcPr>
            <w:tcW w:type="dxa" w:w="2590"/>
            <w:vAlign w:val="top"/>
          </w:tcPr>
          <w:p>
            <w:r/>
            <w:r>
              <w:rPr>
                <w:rFonts w:ascii="Arial" w:hAnsi="Arial"/>
                <w:b w:val="0"/>
                <w:sz w:val="12"/>
              </w:rPr>
              <w:t>Removing it would still try to create an existing column.</w:t>
            </w:r>
          </w:p>
        </w:tc>
      </w:tr>
      <w:tr>
        <w:tc>
          <w:tcPr>
            <w:tcW w:type="dxa" w:w="2590"/>
            <w:vAlign w:val="top"/>
          </w:tcPr>
          <w:p>
            <w:r/>
            <w:r>
              <w:rPr>
                <w:rFonts w:ascii="Arial" w:hAnsi="Arial"/>
                <w:b w:val="0"/>
                <w:sz w:val="12"/>
              </w:rPr>
              <w:t>106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107</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108</w:t>
            </w:r>
          </w:p>
        </w:tc>
        <w:tc>
          <w:tcPr>
            <w:tcW w:type="dxa" w:w="2590"/>
            <w:vAlign w:val="top"/>
          </w:tcPr>
          <w:p>
            <w:r/>
            <w:r>
              <w:rPr>
                <w:rFonts w:ascii="Arial" w:hAnsi="Arial"/>
                <w:b w:val="0"/>
                <w:sz w:val="12"/>
              </w:rPr>
              <w:t xml:space="preserve">    try</w:t>
            </w:r>
          </w:p>
        </w:tc>
        <w:tc>
          <w:tcPr>
            <w:tcW w:type="dxa" w:w="2590"/>
            <w:vAlign w:val="top"/>
          </w:tcPr>
          <w:p>
            <w:r/>
            <w:r>
              <w:rPr>
                <w:rFonts w:ascii="Arial" w:hAnsi="Arial"/>
                <w:b w:val="0"/>
                <w:sz w:val="12"/>
              </w:rPr>
              <w:t>Starts a protected operation block.</w:t>
            </w:r>
          </w:p>
        </w:tc>
        <w:tc>
          <w:tcPr>
            <w:tcW w:type="dxa" w:w="2590"/>
            <w:vAlign w:val="top"/>
          </w:tcPr>
          <w:p>
            <w:r/>
            <w:r>
              <w:rPr>
                <w:rFonts w:ascii="Arial" w:hAnsi="Arial"/>
                <w:b w:val="0"/>
                <w:sz w:val="12"/>
              </w:rPr>
              <w:t>Exceptions inside the block are caught and logged.</w:t>
            </w:r>
          </w:p>
        </w:tc>
        <w:tc>
          <w:tcPr>
            <w:tcW w:type="dxa" w:w="2590"/>
            <w:vAlign w:val="top"/>
          </w:tcPr>
          <w:p>
            <w:r/>
            <w:r>
              <w:rPr>
                <w:rFonts w:ascii="Arial" w:hAnsi="Arial"/>
                <w:b w:val="0"/>
                <w:sz w:val="12"/>
              </w:rPr>
              <w:t>Prevents one failing field from hiding the exact cause.</w:t>
            </w:r>
          </w:p>
        </w:tc>
        <w:tc>
          <w:tcPr>
            <w:tcW w:type="dxa" w:w="2590"/>
            <w:vAlign w:val="top"/>
          </w:tcPr>
          <w:p>
            <w:r/>
            <w:r>
              <w:rPr>
                <w:rFonts w:ascii="Arial" w:hAnsi="Arial"/>
                <w:b w:val="0"/>
                <w:sz w:val="12"/>
              </w:rPr>
              <w:t>Without try/catch, the script may crash with less context.</w:t>
            </w:r>
          </w:p>
        </w:tc>
      </w:tr>
      <w:tr>
        <w:tc>
          <w:tcPr>
            <w:tcW w:type="dxa" w:w="2590"/>
            <w:vAlign w:val="top"/>
          </w:tcPr>
          <w:p>
            <w:r/>
            <w:r>
              <w:rPr>
                <w:rFonts w:ascii="Arial" w:hAnsi="Arial"/>
                <w:b w:val="0"/>
                <w:sz w:val="12"/>
              </w:rPr>
              <w:t>109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110</w:t>
            </w:r>
          </w:p>
        </w:tc>
        <w:tc>
          <w:tcPr>
            <w:tcW w:type="dxa" w:w="2590"/>
            <w:vAlign w:val="top"/>
          </w:tcPr>
          <w:p>
            <w:r/>
            <w:r>
              <w:rPr>
                <w:rFonts w:ascii="Arial" w:hAnsi="Arial"/>
                <w:b w:val="0"/>
                <w:sz w:val="12"/>
              </w:rPr>
              <w:t xml:space="preserve">        Console.WriteLine($"Creating: {logicalName} ...");</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111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112</w:t>
            </w:r>
          </w:p>
        </w:tc>
        <w:tc>
          <w:tcPr>
            <w:tcW w:type="dxa" w:w="2590"/>
            <w:vAlign w:val="top"/>
          </w:tcPr>
          <w:p>
            <w:r/>
            <w:r>
              <w:rPr>
                <w:rFonts w:ascii="Arial" w:hAnsi="Arial"/>
                <w:b w:val="0"/>
                <w:sz w:val="12"/>
              </w:rPr>
              <w:t xml:space="preserve">        var request = new CreateAttributeRequest</w:t>
            </w:r>
          </w:p>
        </w:tc>
        <w:tc>
          <w:tcPr>
            <w:tcW w:type="dxa" w:w="2590"/>
            <w:vAlign w:val="top"/>
          </w:tcPr>
          <w:p>
            <w:r/>
            <w:r>
              <w:rPr>
                <w:rFonts w:ascii="Arial" w:hAnsi="Arial"/>
                <w:b w:val="0"/>
                <w:sz w:val="12"/>
              </w:rPr>
              <w:t>Creates a column creation request.</w:t>
            </w:r>
          </w:p>
        </w:tc>
        <w:tc>
          <w:tcPr>
            <w:tcW w:type="dxa" w:w="2590"/>
            <w:vAlign w:val="top"/>
          </w:tcPr>
          <w:p>
            <w:r/>
            <w:r>
              <w:rPr>
                <w:rFonts w:ascii="Arial" w:hAnsi="Arial"/>
                <w:b w:val="0"/>
                <w:sz w:val="12"/>
              </w:rPr>
              <w:t>Dataverse metadata columns are created with CreateAttributeRequest.</w:t>
            </w:r>
          </w:p>
        </w:tc>
        <w:tc>
          <w:tcPr>
            <w:tcW w:type="dxa" w:w="2590"/>
            <w:vAlign w:val="top"/>
          </w:tcPr>
          <w:p>
            <w:r/>
            <w:r>
              <w:rPr>
                <w:rFonts w:ascii="Arial" w:hAnsi="Arial"/>
                <w:b w:val="0"/>
                <w:sz w:val="12"/>
              </w:rPr>
              <w:t>This is how the script adds each planned column.</w:t>
            </w:r>
          </w:p>
        </w:tc>
        <w:tc>
          <w:tcPr>
            <w:tcW w:type="dxa" w:w="2590"/>
            <w:vAlign w:val="top"/>
          </w:tcPr>
          <w:p>
            <w:r/>
            <w:r>
              <w:rPr>
                <w:rFonts w:ascii="Arial" w:hAnsi="Arial"/>
                <w:b w:val="0"/>
                <w:sz w:val="12"/>
              </w:rPr>
              <w:t>Wrong EntityName or Attribute creates the wrong metadata or fails.</w:t>
            </w:r>
          </w:p>
        </w:tc>
      </w:tr>
      <w:tr>
        <w:tc>
          <w:tcPr>
            <w:tcW w:type="dxa" w:w="2590"/>
            <w:vAlign w:val="top"/>
          </w:tcPr>
          <w:p>
            <w:r/>
            <w:r>
              <w:rPr>
                <w:rFonts w:ascii="Arial" w:hAnsi="Arial"/>
                <w:b w:val="0"/>
                <w:sz w:val="12"/>
              </w:rPr>
              <w:t>113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114</w:t>
            </w:r>
          </w:p>
        </w:tc>
        <w:tc>
          <w:tcPr>
            <w:tcW w:type="dxa" w:w="2590"/>
            <w:vAlign w:val="top"/>
          </w:tcPr>
          <w:p>
            <w:r/>
            <w:r>
              <w:rPr>
                <w:rFonts w:ascii="Arial" w:hAnsi="Arial"/>
                <w:b w:val="0"/>
                <w:sz w:val="12"/>
              </w:rPr>
              <w:t xml:space="preserve">            EntityName = EntityLogicalName,</w:t>
            </w:r>
          </w:p>
        </w:tc>
        <w:tc>
          <w:tcPr>
            <w:tcW w:type="dxa" w:w="2590"/>
            <w:vAlign w:val="top"/>
          </w:tcPr>
          <w:p>
            <w:r/>
            <w:r>
              <w:rPr>
                <w:rFonts w:ascii="Arial" w:hAnsi="Arial"/>
                <w:b w:val="0"/>
                <w:sz w:val="12"/>
              </w:rPr>
              <w:t>Targets the Pending Commercial Action table.</w:t>
            </w:r>
          </w:p>
        </w:tc>
        <w:tc>
          <w:tcPr>
            <w:tcW w:type="dxa" w:w="2590"/>
            <w:vAlign w:val="top"/>
          </w:tcPr>
          <w:p>
            <w:r/>
            <w:r>
              <w:rPr>
                <w:rFonts w:ascii="Arial" w:hAnsi="Arial"/>
                <w:b w:val="0"/>
                <w:sz w:val="12"/>
              </w:rPr>
              <w:t>Uses the table logical name constant.</w:t>
            </w:r>
          </w:p>
        </w:tc>
        <w:tc>
          <w:tcPr>
            <w:tcW w:type="dxa" w:w="2590"/>
            <w:vAlign w:val="top"/>
          </w:tcPr>
          <w:p>
            <w:r/>
            <w:r>
              <w:rPr>
                <w:rFonts w:ascii="Arial" w:hAnsi="Arial"/>
                <w:b w:val="0"/>
                <w:sz w:val="12"/>
              </w:rPr>
              <w:t>Ensures columns are created on aso_pendingcommercialaction.</w:t>
            </w:r>
          </w:p>
        </w:tc>
        <w:tc>
          <w:tcPr>
            <w:tcW w:type="dxa" w:w="2590"/>
            <w:vAlign w:val="top"/>
          </w:tcPr>
          <w:p>
            <w:r/>
            <w:r>
              <w:rPr>
                <w:rFonts w:ascii="Arial" w:hAnsi="Arial"/>
                <w:b w:val="0"/>
                <w:sz w:val="12"/>
              </w:rPr>
              <w:t>Wrong target places fields on the wrong table.</w:t>
            </w:r>
          </w:p>
        </w:tc>
      </w:tr>
      <w:tr>
        <w:tc>
          <w:tcPr>
            <w:tcW w:type="dxa" w:w="2590"/>
            <w:vAlign w:val="top"/>
          </w:tcPr>
          <w:p>
            <w:r/>
            <w:r>
              <w:rPr>
                <w:rFonts w:ascii="Arial" w:hAnsi="Arial"/>
                <w:b w:val="0"/>
                <w:sz w:val="12"/>
              </w:rPr>
              <w:t>115</w:t>
            </w:r>
          </w:p>
        </w:tc>
        <w:tc>
          <w:tcPr>
            <w:tcW w:type="dxa" w:w="2590"/>
            <w:vAlign w:val="top"/>
          </w:tcPr>
          <w:p>
            <w:r/>
            <w:r>
              <w:rPr>
                <w:rFonts w:ascii="Arial" w:hAnsi="Arial"/>
                <w:b w:val="0"/>
                <w:sz w:val="12"/>
              </w:rPr>
              <w:t xml:space="preserve">            Attribute = field,</w:t>
            </w:r>
          </w:p>
        </w:tc>
        <w:tc>
          <w:tcPr>
            <w:tcW w:type="dxa" w:w="2590"/>
            <w:vAlign w:val="top"/>
          </w:tcPr>
          <w:p>
            <w:r/>
            <w:r>
              <w:rPr>
                <w:rFonts w:ascii="Arial" w:hAnsi="Arial"/>
                <w:b w:val="0"/>
                <w:sz w:val="12"/>
              </w:rPr>
              <w:t>Attaches the current field metadata to the request.</w:t>
            </w:r>
          </w:p>
        </w:tc>
        <w:tc>
          <w:tcPr>
            <w:tcW w:type="dxa" w:w="2590"/>
            <w:vAlign w:val="top"/>
          </w:tcPr>
          <w:p>
            <w:r/>
            <w:r>
              <w:rPr>
                <w:rFonts w:ascii="Arial" w:hAnsi="Arial"/>
                <w:b w:val="0"/>
                <w:sz w:val="12"/>
              </w:rPr>
              <w:t>The current AttributeMetadata object contains schema, type, label, and settings.</w:t>
            </w:r>
          </w:p>
        </w:tc>
        <w:tc>
          <w:tcPr>
            <w:tcW w:type="dxa" w:w="2590"/>
            <w:vAlign w:val="top"/>
          </w:tcPr>
          <w:p>
            <w:r/>
            <w:r>
              <w:rPr>
                <w:rFonts w:ascii="Arial" w:hAnsi="Arial"/>
                <w:b w:val="0"/>
                <w:sz w:val="12"/>
              </w:rPr>
              <w:t>This is the column being created.</w:t>
            </w:r>
          </w:p>
        </w:tc>
        <w:tc>
          <w:tcPr>
            <w:tcW w:type="dxa" w:w="2590"/>
            <w:vAlign w:val="top"/>
          </w:tcPr>
          <w:p>
            <w:r/>
            <w:r>
              <w:rPr>
                <w:rFonts w:ascii="Arial" w:hAnsi="Arial"/>
                <w:b w:val="0"/>
                <w:sz w:val="12"/>
              </w:rPr>
              <w:t>If field is malformed, the request fails.</w:t>
            </w:r>
          </w:p>
        </w:tc>
      </w:tr>
      <w:tr>
        <w:tc>
          <w:tcPr>
            <w:tcW w:type="dxa" w:w="2590"/>
            <w:vAlign w:val="top"/>
          </w:tcPr>
          <w:p>
            <w:r/>
            <w:r>
              <w:rPr>
                <w:rFonts w:ascii="Arial" w:hAnsi="Arial"/>
                <w:b w:val="0"/>
                <w:sz w:val="12"/>
              </w:rPr>
              <w:t>116</w:t>
            </w:r>
          </w:p>
        </w:tc>
        <w:tc>
          <w:tcPr>
            <w:tcW w:type="dxa" w:w="2590"/>
            <w:vAlign w:val="top"/>
          </w:tcPr>
          <w:p>
            <w:r/>
            <w:r>
              <w:rPr>
                <w:rFonts w:ascii="Arial" w:hAnsi="Arial"/>
                <w:b w:val="0"/>
                <w:sz w:val="12"/>
              </w:rPr>
              <w:t xml:space="preserve">            SolutionUniqueName = SolutionUniqueName</w:t>
            </w:r>
          </w:p>
        </w:tc>
        <w:tc>
          <w:tcPr>
            <w:tcW w:type="dxa" w:w="2590"/>
            <w:vAlign w:val="top"/>
          </w:tcPr>
          <w:p>
            <w:r/>
            <w:r>
              <w:rPr>
                <w:rFonts w:ascii="Arial" w:hAnsi="Arial"/>
                <w:b w:val="0"/>
                <w:sz w:val="12"/>
              </w:rPr>
              <w:t>Associates the created component with ASO.Core.</w:t>
            </w:r>
          </w:p>
        </w:tc>
        <w:tc>
          <w:tcPr>
            <w:tcW w:type="dxa" w:w="2590"/>
            <w:vAlign w:val="top"/>
          </w:tcPr>
          <w:p>
            <w:r/>
            <w:r>
              <w:rPr>
                <w:rFonts w:ascii="Arial" w:hAnsi="Arial"/>
                <w:b w:val="0"/>
                <w:sz w:val="12"/>
              </w:rPr>
              <w:t>The SDK passes the solution unique name to the create request.</w:t>
            </w:r>
          </w:p>
        </w:tc>
        <w:tc>
          <w:tcPr>
            <w:tcW w:type="dxa" w:w="2590"/>
            <w:vAlign w:val="top"/>
          </w:tcPr>
          <w:p>
            <w:r/>
            <w:r>
              <w:rPr>
                <w:rFonts w:ascii="Arial" w:hAnsi="Arial"/>
                <w:b w:val="0"/>
                <w:sz w:val="12"/>
              </w:rPr>
              <w:t>Critical for export, ALM, and keeping changes out of accidental default-only context.</w:t>
            </w:r>
          </w:p>
        </w:tc>
        <w:tc>
          <w:tcPr>
            <w:tcW w:type="dxa" w:w="2590"/>
            <w:vAlign w:val="top"/>
          </w:tcPr>
          <w:p>
            <w:r/>
            <w:r>
              <w:rPr>
                <w:rFonts w:ascii="Arial" w:hAnsi="Arial"/>
                <w:b w:val="0"/>
                <w:sz w:val="12"/>
              </w:rPr>
              <w:t>Wrong solution unique name means components may not appear in ASO.Core.</w:t>
            </w:r>
          </w:p>
        </w:tc>
      </w:tr>
      <w:tr>
        <w:tc>
          <w:tcPr>
            <w:tcW w:type="dxa" w:w="2590"/>
            <w:vAlign w:val="top"/>
          </w:tcPr>
          <w:p>
            <w:r/>
            <w:r>
              <w:rPr>
                <w:rFonts w:ascii="Arial" w:hAnsi="Arial"/>
                <w:b w:val="0"/>
                <w:sz w:val="12"/>
              </w:rPr>
              <w:t>117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118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119</w:t>
            </w:r>
          </w:p>
        </w:tc>
        <w:tc>
          <w:tcPr>
            <w:tcW w:type="dxa" w:w="2590"/>
            <w:vAlign w:val="top"/>
          </w:tcPr>
          <w:p>
            <w:r/>
            <w:r>
              <w:rPr>
                <w:rFonts w:ascii="Arial" w:hAnsi="Arial"/>
                <w:b w:val="0"/>
                <w:sz w:val="12"/>
              </w:rPr>
              <w:t xml:space="preserve">        service.Execute(request);</w:t>
            </w:r>
          </w:p>
        </w:tc>
        <w:tc>
          <w:tcPr>
            <w:tcW w:type="dxa" w:w="2590"/>
            <w:vAlign w:val="top"/>
          </w:tcPr>
          <w:p>
            <w:r/>
            <w:r>
              <w:rPr>
                <w:rFonts w:ascii="Arial" w:hAnsi="Arial"/>
                <w:b w:val="0"/>
                <w:sz w:val="12"/>
              </w:rPr>
              <w:t>Executes a create request.</w:t>
            </w:r>
          </w:p>
        </w:tc>
        <w:tc>
          <w:tcPr>
            <w:tcW w:type="dxa" w:w="2590"/>
            <w:vAlign w:val="top"/>
          </w:tcPr>
          <w:p>
            <w:r/>
            <w:r>
              <w:rPr>
                <w:rFonts w:ascii="Arial" w:hAnsi="Arial"/>
                <w:b w:val="0"/>
                <w:sz w:val="12"/>
              </w:rPr>
              <w:t>Sends CreateAttributeRequest or CreateOneToManyRequest to Dataverse.</w:t>
            </w:r>
          </w:p>
        </w:tc>
        <w:tc>
          <w:tcPr>
            <w:tcW w:type="dxa" w:w="2590"/>
            <w:vAlign w:val="top"/>
          </w:tcPr>
          <w:p>
            <w:r/>
            <w:r>
              <w:rPr>
                <w:rFonts w:ascii="Arial" w:hAnsi="Arial"/>
                <w:b w:val="0"/>
                <w:sz w:val="12"/>
              </w:rPr>
              <w:t>Actually creates a column or relationship.</w:t>
            </w:r>
          </w:p>
        </w:tc>
        <w:tc>
          <w:tcPr>
            <w:tcW w:type="dxa" w:w="2590"/>
            <w:vAlign w:val="top"/>
          </w:tcPr>
          <w:p>
            <w:r/>
            <w:r>
              <w:rPr>
                <w:rFonts w:ascii="Arial" w:hAnsi="Arial"/>
                <w:b w:val="0"/>
                <w:sz w:val="12"/>
              </w:rPr>
              <w:t>Failures here indicate permissions, invalid metadata, or language/choice issues.</w:t>
            </w:r>
          </w:p>
        </w:tc>
      </w:tr>
      <w:tr>
        <w:tc>
          <w:tcPr>
            <w:tcW w:type="dxa" w:w="2590"/>
            <w:vAlign w:val="top"/>
          </w:tcPr>
          <w:p>
            <w:r/>
            <w:r>
              <w:rPr>
                <w:rFonts w:ascii="Arial" w:hAnsi="Arial"/>
                <w:b w:val="0"/>
                <w:sz w:val="12"/>
              </w:rPr>
              <w:t>120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121</w:t>
            </w:r>
          </w:p>
        </w:tc>
        <w:tc>
          <w:tcPr>
            <w:tcW w:type="dxa" w:w="2590"/>
            <w:vAlign w:val="top"/>
          </w:tcPr>
          <w:p>
            <w:r/>
            <w:r>
              <w:rPr>
                <w:rFonts w:ascii="Arial" w:hAnsi="Arial"/>
                <w:b w:val="0"/>
                <w:sz w:val="12"/>
              </w:rPr>
              <w:t xml:space="preserve">        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122</w:t>
            </w:r>
          </w:p>
        </w:tc>
        <w:tc>
          <w:tcPr>
            <w:tcW w:type="dxa" w:w="2590"/>
            <w:vAlign w:val="top"/>
          </w:tcPr>
          <w:p>
            <w:r/>
            <w:r>
              <w:rPr>
                <w:rFonts w:ascii="Arial" w:hAnsi="Arial"/>
                <w:b w:val="0"/>
                <w:sz w:val="12"/>
              </w:rPr>
              <w:t xml:space="preserve">        Console.WriteLine($"CREATED: {logicalName}");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123</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124</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125</w:t>
            </w:r>
          </w:p>
        </w:tc>
        <w:tc>
          <w:tcPr>
            <w:tcW w:type="dxa" w:w="2590"/>
            <w:vAlign w:val="top"/>
          </w:tcPr>
          <w:p>
            <w:r/>
            <w:r>
              <w:rPr>
                <w:rFonts w:ascii="Arial" w:hAnsi="Arial"/>
                <w:b w:val="0"/>
                <w:sz w:val="12"/>
              </w:rPr>
              <w:t xml:space="preserve">    catch (Exception ex)</w:t>
            </w:r>
          </w:p>
        </w:tc>
        <w:tc>
          <w:tcPr>
            <w:tcW w:type="dxa" w:w="2590"/>
            <w:vAlign w:val="top"/>
          </w:tcPr>
          <w:p>
            <w:r/>
            <w:r>
              <w:rPr>
                <w:rFonts w:ascii="Arial" w:hAnsi="Arial"/>
                <w:b w:val="0"/>
                <w:sz w:val="12"/>
              </w:rPr>
              <w:t>Starts exception handling.</w:t>
            </w:r>
          </w:p>
        </w:tc>
        <w:tc>
          <w:tcPr>
            <w:tcW w:type="dxa" w:w="2590"/>
            <w:vAlign w:val="top"/>
          </w:tcPr>
          <w:p>
            <w:r/>
            <w:r>
              <w:rPr>
                <w:rFonts w:ascii="Arial" w:hAnsi="Arial"/>
                <w:b w:val="0"/>
                <w:sz w:val="12"/>
              </w:rPr>
              <w:t>Captures SDK/Dataverse errors for the current operation.</w:t>
            </w:r>
          </w:p>
        </w:tc>
        <w:tc>
          <w:tcPr>
            <w:tcW w:type="dxa" w:w="2590"/>
            <w:vAlign w:val="top"/>
          </w:tcPr>
          <w:p>
            <w:r/>
            <w:r>
              <w:rPr>
                <w:rFonts w:ascii="Arial" w:hAnsi="Arial"/>
                <w:b w:val="0"/>
                <w:sz w:val="12"/>
              </w:rPr>
              <w:t>Keeps the operator informed about exact failures.</w:t>
            </w:r>
          </w:p>
        </w:tc>
        <w:tc>
          <w:tcPr>
            <w:tcW w:type="dxa" w:w="2590"/>
            <w:vAlign w:val="top"/>
          </w:tcPr>
          <w:p>
            <w:r/>
            <w:r>
              <w:rPr>
                <w:rFonts w:ascii="Arial" w:hAnsi="Arial"/>
                <w:b w:val="0"/>
                <w:sz w:val="12"/>
              </w:rPr>
              <w:t>Ignoring exceptions makes recovery difficult.</w:t>
            </w:r>
          </w:p>
        </w:tc>
      </w:tr>
      <w:tr>
        <w:tc>
          <w:tcPr>
            <w:tcW w:type="dxa" w:w="2590"/>
            <w:vAlign w:val="top"/>
          </w:tcPr>
          <w:p>
            <w:r/>
            <w:r>
              <w:rPr>
                <w:rFonts w:ascii="Arial" w:hAnsi="Arial"/>
                <w:b w:val="0"/>
                <w:sz w:val="12"/>
              </w:rPr>
              <w:t>126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127</w:t>
            </w:r>
          </w:p>
        </w:tc>
        <w:tc>
          <w:tcPr>
            <w:tcW w:type="dxa" w:w="2590"/>
            <w:vAlign w:val="top"/>
          </w:tcPr>
          <w:p>
            <w:r/>
            <w:r>
              <w:rPr>
                <w:rFonts w:ascii="Arial" w:hAnsi="Arial"/>
                <w:b w:val="0"/>
                <w:sz w:val="12"/>
              </w:rPr>
              <w:t xml:space="preserve">        Console.ForegroundColor = ConsoleColor.Red;</w:t>
            </w:r>
          </w:p>
        </w:tc>
        <w:tc>
          <w:tcPr>
            <w:tcW w:type="dxa" w:w="2590"/>
            <w:vAlign w:val="top"/>
          </w:tcPr>
          <w:p>
            <w:r/>
            <w:r>
              <w:rPr>
                <w:rFonts w:ascii="Arial" w:hAnsi="Arial"/>
                <w:b w:val="0"/>
                <w:sz w:val="12"/>
              </w:rPr>
              <w:t>Changes terminal output to red.</w:t>
            </w:r>
          </w:p>
        </w:tc>
        <w:tc>
          <w:tcPr>
            <w:tcW w:type="dxa" w:w="2590"/>
            <w:vAlign w:val="top"/>
          </w:tcPr>
          <w:p>
            <w:r/>
            <w:r>
              <w:rPr>
                <w:rFonts w:ascii="Arial" w:hAnsi="Arial"/>
                <w:b w:val="0"/>
                <w:sz w:val="12"/>
              </w:rPr>
              <w:t>Used for failure messages so operators can identify errors immediately.</w:t>
            </w:r>
          </w:p>
        </w:tc>
        <w:tc>
          <w:tcPr>
            <w:tcW w:type="dxa" w:w="2590"/>
            <w:vAlign w:val="top"/>
          </w:tcPr>
          <w:p>
            <w:r/>
            <w:r>
              <w:rPr>
                <w:rFonts w:ascii="Arial" w:hAnsi="Arial"/>
                <w:b w:val="0"/>
                <w:sz w:val="12"/>
              </w:rPr>
              <w:t>Improves operational readability.</w:t>
            </w:r>
          </w:p>
        </w:tc>
        <w:tc>
          <w:tcPr>
            <w:tcW w:type="dxa" w:w="2590"/>
            <w:vAlign w:val="top"/>
          </w:tcPr>
          <w:p>
            <w:r/>
            <w:r>
              <w:rPr>
                <w:rFonts w:ascii="Arial" w:hAnsi="Arial"/>
                <w:b w:val="0"/>
                <w:sz w:val="12"/>
              </w:rPr>
              <w:t>If colors are not reset, later messages can remain incorrectly colored.</w:t>
            </w:r>
          </w:p>
        </w:tc>
      </w:tr>
      <w:tr>
        <w:tc>
          <w:tcPr>
            <w:tcW w:type="dxa" w:w="2590"/>
            <w:vAlign w:val="top"/>
          </w:tcPr>
          <w:p>
            <w:r/>
            <w:r>
              <w:rPr>
                <w:rFonts w:ascii="Arial" w:hAnsi="Arial"/>
                <w:b w:val="0"/>
                <w:sz w:val="12"/>
              </w:rPr>
              <w:t>128</w:t>
            </w:r>
          </w:p>
        </w:tc>
        <w:tc>
          <w:tcPr>
            <w:tcW w:type="dxa" w:w="2590"/>
            <w:vAlign w:val="top"/>
          </w:tcPr>
          <w:p>
            <w:r/>
            <w:r>
              <w:rPr>
                <w:rFonts w:ascii="Arial" w:hAnsi="Arial"/>
                <w:b w:val="0"/>
                <w:sz w:val="12"/>
              </w:rPr>
              <w:t xml:space="preserve">        Console.WriteLine($"FAILED: {logicalName}");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129</w:t>
            </w:r>
          </w:p>
        </w:tc>
        <w:tc>
          <w:tcPr>
            <w:tcW w:type="dxa" w:w="2590"/>
            <w:vAlign w:val="top"/>
          </w:tcPr>
          <w:p>
            <w:r/>
            <w:r>
              <w:rPr>
                <w:rFonts w:ascii="Arial" w:hAnsi="Arial"/>
                <w:b w:val="0"/>
                <w:sz w:val="12"/>
              </w:rPr>
              <w:t xml:space="preserve">        Console.WriteLine(ex.Message);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130</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131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132</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133</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134</w:t>
            </w:r>
          </w:p>
        </w:tc>
        <w:tc>
          <w:tcPr>
            <w:tcW w:type="dxa" w:w="2590"/>
            <w:vAlign w:val="top"/>
          </w:tcPr>
          <w:p>
            <w:r/>
            <w:r>
              <w:rPr>
                <w:rFonts w:ascii="Arial" w:hAnsi="Arial"/>
                <w:b w:val="0"/>
                <w:sz w:val="12"/>
              </w:rPr>
              <w:t>Console.WriteLine();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135</w:t>
            </w:r>
          </w:p>
        </w:tc>
        <w:tc>
          <w:tcPr>
            <w:tcW w:type="dxa" w:w="2590"/>
            <w:vAlign w:val="top"/>
          </w:tcPr>
          <w:p>
            <w:r/>
            <w:r>
              <w:rPr>
                <w:rFonts w:ascii="Arial" w:hAnsi="Arial"/>
                <w:b w:val="0"/>
                <w:sz w:val="12"/>
              </w:rPr>
              <w:t>Console.WriteLine("Publishing Pending Commercial Action table customizations...");</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136</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137</w:t>
            </w:r>
          </w:p>
        </w:tc>
        <w:tc>
          <w:tcPr>
            <w:tcW w:type="dxa" w:w="2590"/>
            <w:vAlign w:val="top"/>
          </w:tcPr>
          <w:p>
            <w:r/>
            <w:r>
              <w:rPr>
                <w:rFonts w:ascii="Arial" w:hAnsi="Arial"/>
                <w:b w:val="0"/>
                <w:sz w:val="12"/>
              </w:rPr>
              <w:t>service.Execute(new PublishXmlRequest</w:t>
            </w:r>
          </w:p>
        </w:tc>
        <w:tc>
          <w:tcPr>
            <w:tcW w:type="dxa" w:w="2590"/>
            <w:vAlign w:val="top"/>
          </w:tcPr>
          <w:p>
            <w:r/>
            <w:r>
              <w:rPr>
                <w:rFonts w:ascii="Arial" w:hAnsi="Arial"/>
                <w:b w:val="0"/>
                <w:sz w:val="12"/>
              </w:rPr>
              <w:t>Creates a targeted publish request.</w:t>
            </w:r>
          </w:p>
        </w:tc>
        <w:tc>
          <w:tcPr>
            <w:tcW w:type="dxa" w:w="2590"/>
            <w:vAlign w:val="top"/>
          </w:tcPr>
          <w:p>
            <w:r/>
            <w:r>
              <w:rPr>
                <w:rFonts w:ascii="Arial" w:hAnsi="Arial"/>
                <w:b w:val="0"/>
                <w:sz w:val="12"/>
              </w:rPr>
              <w:t>Publishes metadata changes for specific entities rather than everything.</w:t>
            </w:r>
          </w:p>
        </w:tc>
        <w:tc>
          <w:tcPr>
            <w:tcW w:type="dxa" w:w="2590"/>
            <w:vAlign w:val="top"/>
          </w:tcPr>
          <w:p>
            <w:r/>
            <w:r>
              <w:rPr>
                <w:rFonts w:ascii="Arial" w:hAnsi="Arial"/>
                <w:b w:val="0"/>
                <w:sz w:val="12"/>
              </w:rPr>
              <w:t>Makes created columns/relationships visible and usable in the maker portal.</w:t>
            </w:r>
          </w:p>
        </w:tc>
        <w:tc>
          <w:tcPr>
            <w:tcW w:type="dxa" w:w="2590"/>
            <w:vAlign w:val="top"/>
          </w:tcPr>
          <w:p>
            <w:r/>
            <w:r>
              <w:rPr>
                <w:rFonts w:ascii="Arial" w:hAnsi="Arial"/>
                <w:b w:val="0"/>
                <w:sz w:val="12"/>
              </w:rPr>
              <w:t>Without publish, changes may not appear immediately.</w:t>
            </w:r>
          </w:p>
        </w:tc>
      </w:tr>
      <w:tr>
        <w:tc>
          <w:tcPr>
            <w:tcW w:type="dxa" w:w="2590"/>
            <w:vAlign w:val="top"/>
          </w:tcPr>
          <w:p>
            <w:r/>
            <w:r>
              <w:rPr>
                <w:rFonts w:ascii="Arial" w:hAnsi="Arial"/>
                <w:b w:val="0"/>
                <w:sz w:val="12"/>
              </w:rPr>
              <w:t>138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139</w:t>
            </w:r>
          </w:p>
        </w:tc>
        <w:tc>
          <w:tcPr>
            <w:tcW w:type="dxa" w:w="2590"/>
            <w:vAlign w:val="top"/>
          </w:tcPr>
          <w:p>
            <w:r/>
            <w:r>
              <w:rPr>
                <w:rFonts w:ascii="Arial" w:hAnsi="Arial"/>
                <w:b w:val="0"/>
                <w:sz w:val="12"/>
              </w:rPr>
              <w:t xml:space="preserve">    ParameterXml = "&lt;importexportxml&gt;&lt;entities&gt;&lt;entity&gt;aso_pendingcommercialaction&lt;/entity&gt;&lt;entity&gt;opportunity&lt;/entity&gt;&lt;/entities&gt;&lt;/importexportxml&gt;"</w:t>
            </w:r>
          </w:p>
        </w:tc>
        <w:tc>
          <w:tcPr>
            <w:tcW w:type="dxa" w:w="2590"/>
            <w:vAlign w:val="top"/>
          </w:tcPr>
          <w:p>
            <w:r/>
            <w:r>
              <w:rPr>
                <w:rFonts w:ascii="Arial" w:hAnsi="Arial"/>
                <w:b w:val="0"/>
                <w:sz w:val="12"/>
              </w:rPr>
              <w:t>Defines which tables to publish.</w:t>
            </w:r>
          </w:p>
        </w:tc>
        <w:tc>
          <w:tcPr>
            <w:tcW w:type="dxa" w:w="2590"/>
            <w:vAlign w:val="top"/>
          </w:tcPr>
          <w:p>
            <w:r/>
            <w:r>
              <w:rPr>
                <w:rFonts w:ascii="Arial" w:hAnsi="Arial"/>
                <w:b w:val="0"/>
                <w:sz w:val="12"/>
              </w:rPr>
              <w:t>The XML lists aso_pendingcommercialaction and opportunity.</w:t>
            </w:r>
          </w:p>
        </w:tc>
        <w:tc>
          <w:tcPr>
            <w:tcW w:type="dxa" w:w="2590"/>
            <w:vAlign w:val="top"/>
          </w:tcPr>
          <w:p>
            <w:r/>
            <w:r>
              <w:rPr>
                <w:rFonts w:ascii="Arial" w:hAnsi="Arial"/>
                <w:b w:val="0"/>
                <w:sz w:val="12"/>
              </w:rPr>
              <w:t>Both sides are relevant because a relationship touches both tables.</w:t>
            </w:r>
          </w:p>
        </w:tc>
        <w:tc>
          <w:tcPr>
            <w:tcW w:type="dxa" w:w="2590"/>
            <w:vAlign w:val="top"/>
          </w:tcPr>
          <w:p>
            <w:r/>
            <w:r>
              <w:rPr>
                <w:rFonts w:ascii="Arial" w:hAnsi="Arial"/>
                <w:b w:val="0"/>
                <w:sz w:val="12"/>
              </w:rPr>
              <w:t>Wrong XML may publish too little or fail.</w:t>
            </w:r>
          </w:p>
        </w:tc>
      </w:tr>
      <w:tr>
        <w:tc>
          <w:tcPr>
            <w:tcW w:type="dxa" w:w="2590"/>
            <w:vAlign w:val="top"/>
          </w:tcPr>
          <w:p>
            <w:r/>
            <w:r>
              <w:rPr>
                <w:rFonts w:ascii="Arial" w:hAnsi="Arial"/>
                <w:b w:val="0"/>
                <w:sz w:val="12"/>
              </w:rPr>
              <w:t>140</w:t>
            </w:r>
          </w:p>
        </w:tc>
        <w:tc>
          <w:tcPr>
            <w:tcW w:type="dxa" w:w="2590"/>
            <w:vAlign w:val="top"/>
          </w:tcPr>
          <w:p>
            <w:r/>
            <w:r>
              <w:rPr>
                <w:rFonts w:ascii="Arial" w:hAnsi="Arial"/>
                <w:b w:val="0"/>
                <w:sz w:val="12"/>
              </w:rPr>
              <w:t>});</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141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142</w:t>
            </w:r>
          </w:p>
        </w:tc>
        <w:tc>
          <w:tcPr>
            <w:tcW w:type="dxa" w:w="2590"/>
            <w:vAlign w:val="top"/>
          </w:tcPr>
          <w:p>
            <w:r/>
            <w:r>
              <w:rPr>
                <w:rFonts w:ascii="Arial" w:hAnsi="Arial"/>
                <w:b w:val="0"/>
                <w:sz w:val="12"/>
              </w:rPr>
              <w:t>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143</w:t>
            </w:r>
          </w:p>
        </w:tc>
        <w:tc>
          <w:tcPr>
            <w:tcW w:type="dxa" w:w="2590"/>
            <w:vAlign w:val="top"/>
          </w:tcPr>
          <w:p>
            <w:r/>
            <w:r>
              <w:rPr>
                <w:rFonts w:ascii="Arial" w:hAnsi="Arial"/>
                <w:b w:val="0"/>
                <w:sz w:val="12"/>
              </w:rPr>
              <w:t>Console.WriteLine("Done. Validate in ASO.Core -&gt; Tables -&gt; Pending Commercial Action -&gt; Columns.");</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144</w:t>
            </w:r>
          </w:p>
        </w:tc>
        <w:tc>
          <w:tcPr>
            <w:tcW w:type="dxa" w:w="2590"/>
            <w:vAlign w:val="top"/>
          </w:tcPr>
          <w:p>
            <w:r/>
            <w:r>
              <w:rPr>
                <w:rFonts w:ascii="Arial" w:hAnsi="Arial"/>
                <w:b w:val="0"/>
                <w:sz w:val="12"/>
              </w:rPr>
              <w:t>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145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146</w:t>
            </w:r>
          </w:p>
        </w:tc>
        <w:tc>
          <w:tcPr>
            <w:tcW w:type="dxa" w:w="2590"/>
            <w:vAlign w:val="top"/>
          </w:tcPr>
          <w:p>
            <w:r/>
            <w:r>
              <w:rPr>
                <w:rFonts w:ascii="Arial" w:hAnsi="Arial"/>
                <w:b w:val="0"/>
                <w:sz w:val="12"/>
              </w:rPr>
              <w:t>void CreateOpportunityLookupIfMissing(ServiceClient service)</w:t>
            </w:r>
          </w:p>
        </w:tc>
        <w:tc>
          <w:tcPr>
            <w:tcW w:type="dxa" w:w="2590"/>
            <w:vAlign w:val="top"/>
          </w:tcPr>
          <w:p>
            <w:r/>
            <w:r>
              <w:rPr>
                <w:rFonts w:ascii="Arial" w:hAnsi="Arial"/>
                <w:b w:val="0"/>
                <w:sz w:val="12"/>
              </w:rPr>
              <w:t>Defines a helper method for the Opportunity relationship.</w:t>
            </w:r>
          </w:p>
        </w:tc>
        <w:tc>
          <w:tcPr>
            <w:tcW w:type="dxa" w:w="2590"/>
            <w:vAlign w:val="top"/>
          </w:tcPr>
          <w:p>
            <w:r/>
            <w:r>
              <w:rPr>
                <w:rFonts w:ascii="Arial" w:hAnsi="Arial"/>
                <w:b w:val="0"/>
                <w:sz w:val="12"/>
              </w:rPr>
              <w:t>It checks for aso_opportunityid and creates a many-to-one lookup if absent.</w:t>
            </w:r>
          </w:p>
        </w:tc>
        <w:tc>
          <w:tcPr>
            <w:tcW w:type="dxa" w:w="2590"/>
            <w:vAlign w:val="top"/>
          </w:tcPr>
          <w:p>
            <w:r/>
            <w:r>
              <w:rPr>
                <w:rFonts w:ascii="Arial" w:hAnsi="Arial"/>
                <w:b w:val="0"/>
                <w:sz w:val="12"/>
              </w:rPr>
              <w:t>Keeps relationship logic separate from field creation logic.</w:t>
            </w:r>
          </w:p>
        </w:tc>
        <w:tc>
          <w:tcPr>
            <w:tcW w:type="dxa" w:w="2590"/>
            <w:vAlign w:val="top"/>
          </w:tcPr>
          <w:p>
            <w:r/>
            <w:r>
              <w:rPr>
                <w:rFonts w:ascii="Arial" w:hAnsi="Arial"/>
                <w:b w:val="0"/>
                <w:sz w:val="12"/>
              </w:rPr>
              <w:t>If omitted, the table exists but cannot link records to opportunities.</w:t>
            </w:r>
          </w:p>
        </w:tc>
      </w:tr>
      <w:tr>
        <w:tc>
          <w:tcPr>
            <w:tcW w:type="dxa" w:w="2590"/>
            <w:vAlign w:val="top"/>
          </w:tcPr>
          <w:p>
            <w:r/>
            <w:r>
              <w:rPr>
                <w:rFonts w:ascii="Arial" w:hAnsi="Arial"/>
                <w:b w:val="0"/>
                <w:sz w:val="12"/>
              </w:rPr>
              <w:t>147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148</w:t>
            </w:r>
          </w:p>
        </w:tc>
        <w:tc>
          <w:tcPr>
            <w:tcW w:type="dxa" w:w="2590"/>
            <w:vAlign w:val="top"/>
          </w:tcPr>
          <w:p>
            <w:r/>
            <w:r>
              <w:rPr>
                <w:rFonts w:ascii="Arial" w:hAnsi="Arial"/>
                <w:b w:val="0"/>
                <w:sz w:val="12"/>
              </w:rPr>
              <w:t xml:space="preserve">    var existingAttributes = GetExistingAttributeLogicalNames(service, EntityLogicalName);</w:t>
            </w:r>
          </w:p>
        </w:tc>
        <w:tc>
          <w:tcPr>
            <w:tcW w:type="dxa" w:w="2590"/>
            <w:vAlign w:val="top"/>
          </w:tcPr>
          <w:p>
            <w:r/>
            <w:r>
              <w:rPr>
                <w:rFonts w:ascii="Arial" w:hAnsi="Arial"/>
                <w:b w:val="0"/>
                <w:sz w:val="12"/>
              </w:rPr>
              <w:t>Reads existing columns on the target table.</w:t>
            </w:r>
          </w:p>
        </w:tc>
        <w:tc>
          <w:tcPr>
            <w:tcW w:type="dxa" w:w="2590"/>
            <w:vAlign w:val="top"/>
          </w:tcPr>
          <w:p>
            <w:r/>
            <w:r>
              <w:rPr>
                <w:rFonts w:ascii="Arial" w:hAnsi="Arial"/>
                <w:b w:val="0"/>
                <w:sz w:val="12"/>
              </w:rPr>
              <w:t>The helper retrieves Attribute metadata and returns logical names.</w:t>
            </w:r>
          </w:p>
        </w:tc>
        <w:tc>
          <w:tcPr>
            <w:tcW w:type="dxa" w:w="2590"/>
            <w:vAlign w:val="top"/>
          </w:tcPr>
          <w:p>
            <w:r/>
            <w:r>
              <w:rPr>
                <w:rFonts w:ascii="Arial" w:hAnsi="Arial"/>
                <w:b w:val="0"/>
                <w:sz w:val="12"/>
              </w:rPr>
              <w:t>Enables idempotent reruns that skip already-created columns.</w:t>
            </w:r>
          </w:p>
        </w:tc>
        <w:tc>
          <w:tcPr>
            <w:tcW w:type="dxa" w:w="2590"/>
            <w:vAlign w:val="top"/>
          </w:tcPr>
          <w:p>
            <w:r/>
            <w:r>
              <w:rPr>
                <w:rFonts w:ascii="Arial" w:hAnsi="Arial"/>
                <w:b w:val="0"/>
                <w:sz w:val="12"/>
              </w:rPr>
              <w:t>Without this, reruns would fail on duplicate column names.</w:t>
            </w:r>
          </w:p>
        </w:tc>
      </w:tr>
      <w:tr>
        <w:tc>
          <w:tcPr>
            <w:tcW w:type="dxa" w:w="2590"/>
            <w:vAlign w:val="top"/>
          </w:tcPr>
          <w:p>
            <w:r/>
            <w:r>
              <w:rPr>
                <w:rFonts w:ascii="Arial" w:hAnsi="Arial"/>
                <w:b w:val="0"/>
                <w:sz w:val="12"/>
              </w:rPr>
              <w:t>149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150</w:t>
            </w:r>
          </w:p>
        </w:tc>
        <w:tc>
          <w:tcPr>
            <w:tcW w:type="dxa" w:w="2590"/>
            <w:vAlign w:val="top"/>
          </w:tcPr>
          <w:p>
            <w:r/>
            <w:r>
              <w:rPr>
                <w:rFonts w:ascii="Arial" w:hAnsi="Arial"/>
                <w:b w:val="0"/>
                <w:sz w:val="12"/>
              </w:rPr>
              <w:t xml:space="preserve">    if (existingAttributes.Contains("aso_opportunityid"))</w:t>
            </w:r>
          </w:p>
        </w:tc>
        <w:tc>
          <w:tcPr>
            <w:tcW w:type="dxa" w:w="2590"/>
            <w:vAlign w:val="top"/>
          </w:tcPr>
          <w:p>
            <w:r/>
            <w:r>
              <w:rPr>
                <w:rFonts w:ascii="Arial" w:hAnsi="Arial"/>
                <w:b w:val="0"/>
                <w:sz w:val="12"/>
              </w:rPr>
              <w:t>Checks whether a column already exists.</w:t>
            </w:r>
          </w:p>
        </w:tc>
        <w:tc>
          <w:tcPr>
            <w:tcW w:type="dxa" w:w="2590"/>
            <w:vAlign w:val="top"/>
          </w:tcPr>
          <w:p>
            <w:r/>
            <w:r>
              <w:rPr>
                <w:rFonts w:ascii="Arial" w:hAnsi="Arial"/>
                <w:b w:val="0"/>
                <w:sz w:val="12"/>
              </w:rPr>
              <w:t>Uses the current table metadata returned earlier.</w:t>
            </w:r>
          </w:p>
        </w:tc>
        <w:tc>
          <w:tcPr>
            <w:tcW w:type="dxa" w:w="2590"/>
            <w:vAlign w:val="top"/>
          </w:tcPr>
          <w:p>
            <w:r/>
            <w:r>
              <w:rPr>
                <w:rFonts w:ascii="Arial" w:hAnsi="Arial"/>
                <w:b w:val="0"/>
                <w:sz w:val="12"/>
              </w:rPr>
              <w:t>Makes the script rerunnable after partial success.</w:t>
            </w:r>
          </w:p>
        </w:tc>
        <w:tc>
          <w:tcPr>
            <w:tcW w:type="dxa" w:w="2590"/>
            <w:vAlign w:val="top"/>
          </w:tcPr>
          <w:p>
            <w:r/>
            <w:r>
              <w:rPr>
                <w:rFonts w:ascii="Arial" w:hAnsi="Arial"/>
                <w:b w:val="0"/>
                <w:sz w:val="12"/>
              </w:rPr>
              <w:t>Without it, duplicate column errors stop progress.</w:t>
            </w:r>
          </w:p>
        </w:tc>
      </w:tr>
      <w:tr>
        <w:tc>
          <w:tcPr>
            <w:tcW w:type="dxa" w:w="2590"/>
            <w:vAlign w:val="top"/>
          </w:tcPr>
          <w:p>
            <w:r/>
            <w:r>
              <w:rPr>
                <w:rFonts w:ascii="Arial" w:hAnsi="Arial"/>
                <w:b w:val="0"/>
                <w:sz w:val="12"/>
              </w:rPr>
              <w:t>151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152</w:t>
            </w:r>
          </w:p>
        </w:tc>
        <w:tc>
          <w:tcPr>
            <w:tcW w:type="dxa" w:w="2590"/>
            <w:vAlign w:val="top"/>
          </w:tcPr>
          <w:p>
            <w:r/>
            <w:r>
              <w:rPr>
                <w:rFonts w:ascii="Arial" w:hAnsi="Arial"/>
                <w:b w:val="0"/>
                <w:sz w:val="12"/>
              </w:rPr>
              <w:t xml:space="preserve">        Console.ForegroundColor = ConsoleColor.Yellow;</w:t>
            </w:r>
          </w:p>
        </w:tc>
        <w:tc>
          <w:tcPr>
            <w:tcW w:type="dxa" w:w="2590"/>
            <w:vAlign w:val="top"/>
          </w:tcPr>
          <w:p>
            <w:r/>
            <w:r>
              <w:rPr>
                <w:rFonts w:ascii="Arial" w:hAnsi="Arial"/>
                <w:b w:val="0"/>
                <w:sz w:val="12"/>
              </w:rPr>
              <w:t>Changes terminal output to yellow.</w:t>
            </w:r>
          </w:p>
        </w:tc>
        <w:tc>
          <w:tcPr>
            <w:tcW w:type="dxa" w:w="2590"/>
            <w:vAlign w:val="top"/>
          </w:tcPr>
          <w:p>
            <w:r/>
            <w:r>
              <w:rPr>
                <w:rFonts w:ascii="Arial" w:hAnsi="Arial"/>
                <w:b w:val="0"/>
                <w:sz w:val="12"/>
              </w:rPr>
              <w:t>Used for skip messages when a component already exists.</w:t>
            </w:r>
          </w:p>
        </w:tc>
        <w:tc>
          <w:tcPr>
            <w:tcW w:type="dxa" w:w="2590"/>
            <w:vAlign w:val="top"/>
          </w:tcPr>
          <w:p>
            <w:r/>
            <w:r>
              <w:rPr>
                <w:rFonts w:ascii="Arial" w:hAnsi="Arial"/>
                <w:b w:val="0"/>
                <w:sz w:val="12"/>
              </w:rPr>
              <w:t>Helps distinguish safe idempotent skips from failures.</w:t>
            </w:r>
          </w:p>
        </w:tc>
        <w:tc>
          <w:tcPr>
            <w:tcW w:type="dxa" w:w="2590"/>
            <w:vAlign w:val="top"/>
          </w:tcPr>
          <w:p>
            <w:r/>
            <w:r>
              <w:rPr>
                <w:rFonts w:ascii="Arial" w:hAnsi="Arial"/>
                <w:b w:val="0"/>
                <w:sz w:val="12"/>
              </w:rPr>
              <w:t>Purely cosmetic, but useful during reruns.</w:t>
            </w:r>
          </w:p>
        </w:tc>
      </w:tr>
      <w:tr>
        <w:tc>
          <w:tcPr>
            <w:tcW w:type="dxa" w:w="2590"/>
            <w:vAlign w:val="top"/>
          </w:tcPr>
          <w:p>
            <w:r/>
            <w:r>
              <w:rPr>
                <w:rFonts w:ascii="Arial" w:hAnsi="Arial"/>
                <w:b w:val="0"/>
                <w:sz w:val="12"/>
              </w:rPr>
              <w:t>153</w:t>
            </w:r>
          </w:p>
        </w:tc>
        <w:tc>
          <w:tcPr>
            <w:tcW w:type="dxa" w:w="2590"/>
            <w:vAlign w:val="top"/>
          </w:tcPr>
          <w:p>
            <w:r/>
            <w:r>
              <w:rPr>
                <w:rFonts w:ascii="Arial" w:hAnsi="Arial"/>
                <w:b w:val="0"/>
                <w:sz w:val="12"/>
              </w:rPr>
              <w:t xml:space="preserve">        Console.WriteLine("SKIP existing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154</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155</w:t>
            </w:r>
          </w:p>
        </w:tc>
        <w:tc>
          <w:tcPr>
            <w:tcW w:type="dxa" w:w="2590"/>
            <w:vAlign w:val="top"/>
          </w:tcPr>
          <w:p>
            <w:r/>
            <w:r>
              <w:rPr>
                <w:rFonts w:ascii="Arial" w:hAnsi="Arial"/>
                <w:b w:val="0"/>
                <w:sz w:val="12"/>
              </w:rPr>
              <w:t xml:space="preserve">        return;</w:t>
            </w:r>
          </w:p>
        </w:tc>
        <w:tc>
          <w:tcPr>
            <w:tcW w:type="dxa" w:w="2590"/>
            <w:vAlign w:val="top"/>
          </w:tcPr>
          <w:p>
            <w:r/>
            <w:r>
              <w:rPr>
                <w:rFonts w:ascii="Arial" w:hAnsi="Arial"/>
                <w:b w:val="0"/>
                <w:sz w:val="12"/>
              </w:rPr>
              <w:t>Stops script execution.</w:t>
            </w:r>
          </w:p>
        </w:tc>
        <w:tc>
          <w:tcPr>
            <w:tcW w:type="dxa" w:w="2590"/>
            <w:vAlign w:val="top"/>
          </w:tcPr>
          <w:p>
            <w:r/>
            <w:r>
              <w:rPr>
                <w:rFonts w:ascii="Arial" w:hAnsi="Arial"/>
                <w:b w:val="0"/>
                <w:sz w:val="12"/>
              </w:rPr>
              <w:t>Used after a connection failure or after skipping lookup creation.</w:t>
            </w:r>
          </w:p>
        </w:tc>
        <w:tc>
          <w:tcPr>
            <w:tcW w:type="dxa" w:w="2590"/>
            <w:vAlign w:val="top"/>
          </w:tcPr>
          <w:p>
            <w:r/>
            <w:r>
              <w:rPr>
                <w:rFonts w:ascii="Arial" w:hAnsi="Arial"/>
                <w:b w:val="0"/>
                <w:sz w:val="12"/>
              </w:rPr>
              <w:t>Prevents unsafe continuation or exits a helper method when work is unnecessary.</w:t>
            </w:r>
          </w:p>
        </w:tc>
        <w:tc>
          <w:tcPr>
            <w:tcW w:type="dxa" w:w="2590"/>
            <w:vAlign w:val="top"/>
          </w:tcPr>
          <w:p>
            <w:r/>
            <w:r>
              <w:rPr>
                <w:rFonts w:ascii="Arial" w:hAnsi="Arial"/>
                <w:b w:val="0"/>
                <w:sz w:val="12"/>
              </w:rPr>
              <w:t>Removing it can cause the script to run into invalid state.</w:t>
            </w:r>
          </w:p>
        </w:tc>
      </w:tr>
      <w:tr>
        <w:tc>
          <w:tcPr>
            <w:tcW w:type="dxa" w:w="2590"/>
            <w:vAlign w:val="top"/>
          </w:tcPr>
          <w:p>
            <w:r/>
            <w:r>
              <w:rPr>
                <w:rFonts w:ascii="Arial" w:hAnsi="Arial"/>
                <w:b w:val="0"/>
                <w:sz w:val="12"/>
              </w:rPr>
              <w:t>156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157</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158</w:t>
            </w:r>
          </w:p>
        </w:tc>
        <w:tc>
          <w:tcPr>
            <w:tcW w:type="dxa" w:w="2590"/>
            <w:vAlign w:val="top"/>
          </w:tcPr>
          <w:p>
            <w:r/>
            <w:r>
              <w:rPr>
                <w:rFonts w:ascii="Arial" w:hAnsi="Arial"/>
                <w:b w:val="0"/>
                <w:sz w:val="12"/>
              </w:rPr>
              <w:t xml:space="preserve">    try</w:t>
            </w:r>
          </w:p>
        </w:tc>
        <w:tc>
          <w:tcPr>
            <w:tcW w:type="dxa" w:w="2590"/>
            <w:vAlign w:val="top"/>
          </w:tcPr>
          <w:p>
            <w:r/>
            <w:r>
              <w:rPr>
                <w:rFonts w:ascii="Arial" w:hAnsi="Arial"/>
                <w:b w:val="0"/>
                <w:sz w:val="12"/>
              </w:rPr>
              <w:t>Starts a protected operation block.</w:t>
            </w:r>
          </w:p>
        </w:tc>
        <w:tc>
          <w:tcPr>
            <w:tcW w:type="dxa" w:w="2590"/>
            <w:vAlign w:val="top"/>
          </w:tcPr>
          <w:p>
            <w:r/>
            <w:r>
              <w:rPr>
                <w:rFonts w:ascii="Arial" w:hAnsi="Arial"/>
                <w:b w:val="0"/>
                <w:sz w:val="12"/>
              </w:rPr>
              <w:t>Exceptions inside the block are caught and logged.</w:t>
            </w:r>
          </w:p>
        </w:tc>
        <w:tc>
          <w:tcPr>
            <w:tcW w:type="dxa" w:w="2590"/>
            <w:vAlign w:val="top"/>
          </w:tcPr>
          <w:p>
            <w:r/>
            <w:r>
              <w:rPr>
                <w:rFonts w:ascii="Arial" w:hAnsi="Arial"/>
                <w:b w:val="0"/>
                <w:sz w:val="12"/>
              </w:rPr>
              <w:t>Prevents one failing field from hiding the exact cause.</w:t>
            </w:r>
          </w:p>
        </w:tc>
        <w:tc>
          <w:tcPr>
            <w:tcW w:type="dxa" w:w="2590"/>
            <w:vAlign w:val="top"/>
          </w:tcPr>
          <w:p>
            <w:r/>
            <w:r>
              <w:rPr>
                <w:rFonts w:ascii="Arial" w:hAnsi="Arial"/>
                <w:b w:val="0"/>
                <w:sz w:val="12"/>
              </w:rPr>
              <w:t>Without try/catch, the script may crash with less context.</w:t>
            </w:r>
          </w:p>
        </w:tc>
      </w:tr>
      <w:tr>
        <w:tc>
          <w:tcPr>
            <w:tcW w:type="dxa" w:w="2590"/>
            <w:vAlign w:val="top"/>
          </w:tcPr>
          <w:p>
            <w:r/>
            <w:r>
              <w:rPr>
                <w:rFonts w:ascii="Arial" w:hAnsi="Arial"/>
                <w:b w:val="0"/>
                <w:sz w:val="12"/>
              </w:rPr>
              <w:t>159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160</w:t>
            </w:r>
          </w:p>
        </w:tc>
        <w:tc>
          <w:tcPr>
            <w:tcW w:type="dxa" w:w="2590"/>
            <w:vAlign w:val="top"/>
          </w:tcPr>
          <w:p>
            <w:r/>
            <w:r>
              <w:rPr>
                <w:rFonts w:ascii="Arial" w:hAnsi="Arial"/>
                <w:b w:val="0"/>
                <w:sz w:val="12"/>
              </w:rPr>
              <w:t xml:space="preserve">        Console.WriteLine("Creating Opportunity lookup relationship...");</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161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162</w:t>
            </w:r>
          </w:p>
        </w:tc>
        <w:tc>
          <w:tcPr>
            <w:tcW w:type="dxa" w:w="2590"/>
            <w:vAlign w:val="top"/>
          </w:tcPr>
          <w:p>
            <w:r/>
            <w:r>
              <w:rPr>
                <w:rFonts w:ascii="Arial" w:hAnsi="Arial"/>
                <w:b w:val="0"/>
                <w:sz w:val="12"/>
              </w:rPr>
              <w:t xml:space="preserve">        var relationship = new OneToManyRelationshipMetadata</w:t>
            </w:r>
          </w:p>
        </w:tc>
        <w:tc>
          <w:tcPr>
            <w:tcW w:type="dxa" w:w="2590"/>
            <w:vAlign w:val="top"/>
          </w:tcPr>
          <w:p>
            <w:r/>
            <w:r>
              <w:rPr>
                <w:rFonts w:ascii="Arial" w:hAnsi="Arial"/>
                <w:b w:val="0"/>
                <w:sz w:val="12"/>
              </w:rPr>
              <w:t>Starts a one-to-many relationship definition.</w:t>
            </w:r>
          </w:p>
        </w:tc>
        <w:tc>
          <w:tcPr>
            <w:tcW w:type="dxa" w:w="2590"/>
            <w:vAlign w:val="top"/>
          </w:tcPr>
          <w:p>
            <w:r/>
            <w:r>
              <w:rPr>
                <w:rFonts w:ascii="Arial" w:hAnsi="Arial"/>
                <w:b w:val="0"/>
                <w:sz w:val="12"/>
              </w:rPr>
              <w:t>From Opportunity to Pending Commercial Action: one Opportunity can have many pending actions.</w:t>
            </w:r>
          </w:p>
        </w:tc>
        <w:tc>
          <w:tcPr>
            <w:tcW w:type="dxa" w:w="2590"/>
            <w:vAlign w:val="top"/>
          </w:tcPr>
          <w:p>
            <w:r/>
            <w:r>
              <w:rPr>
                <w:rFonts w:ascii="Arial" w:hAnsi="Arial"/>
                <w:b w:val="0"/>
                <w:sz w:val="12"/>
              </w:rPr>
              <w:t>This models the business relationship correctly.</w:t>
            </w:r>
          </w:p>
        </w:tc>
        <w:tc>
          <w:tcPr>
            <w:tcW w:type="dxa" w:w="2590"/>
            <w:vAlign w:val="top"/>
          </w:tcPr>
          <w:p>
            <w:r/>
            <w:r>
              <w:rPr>
                <w:rFonts w:ascii="Arial" w:hAnsi="Arial"/>
                <w:b w:val="0"/>
                <w:sz w:val="12"/>
              </w:rPr>
              <w:t>Wrong relationship direction affects forms, lookups, and related records.</w:t>
            </w:r>
          </w:p>
        </w:tc>
      </w:tr>
      <w:tr>
        <w:tc>
          <w:tcPr>
            <w:tcW w:type="dxa" w:w="2590"/>
            <w:vAlign w:val="top"/>
          </w:tcPr>
          <w:p>
            <w:r/>
            <w:r>
              <w:rPr>
                <w:rFonts w:ascii="Arial" w:hAnsi="Arial"/>
                <w:b w:val="0"/>
                <w:sz w:val="12"/>
              </w:rPr>
              <w:t>163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164</w:t>
            </w:r>
          </w:p>
        </w:tc>
        <w:tc>
          <w:tcPr>
            <w:tcW w:type="dxa" w:w="2590"/>
            <w:vAlign w:val="top"/>
          </w:tcPr>
          <w:p>
            <w:r/>
            <w:r>
              <w:rPr>
                <w:rFonts w:ascii="Arial" w:hAnsi="Arial"/>
                <w:b w:val="0"/>
                <w:sz w:val="12"/>
              </w:rPr>
              <w:t xml:space="preserve">            SchemaName = "aso_opportunity_aso_pendingcommercialaction",</w:t>
            </w:r>
          </w:p>
        </w:tc>
        <w:tc>
          <w:tcPr>
            <w:tcW w:type="dxa" w:w="2590"/>
            <w:vAlign w:val="top"/>
          </w:tcPr>
          <w:p>
            <w:r/>
            <w:r>
              <w:rPr>
                <w:rFonts w:ascii="Arial" w:hAnsi="Arial"/>
                <w:b w:val="0"/>
                <w:sz w:val="12"/>
              </w:rPr>
              <w:t>Sets the relationship schema name.</w:t>
            </w:r>
          </w:p>
        </w:tc>
        <w:tc>
          <w:tcPr>
            <w:tcW w:type="dxa" w:w="2590"/>
            <w:vAlign w:val="top"/>
          </w:tcPr>
          <w:p>
            <w:r/>
            <w:r>
              <w:rPr>
                <w:rFonts w:ascii="Arial" w:hAnsi="Arial"/>
                <w:b w:val="0"/>
                <w:sz w:val="12"/>
              </w:rPr>
              <w:t>Dataverse stores relationships with schema names.</w:t>
            </w:r>
          </w:p>
        </w:tc>
        <w:tc>
          <w:tcPr>
            <w:tcW w:type="dxa" w:w="2590"/>
            <w:vAlign w:val="top"/>
          </w:tcPr>
          <w:p>
            <w:r/>
            <w:r>
              <w:rPr>
                <w:rFonts w:ascii="Arial" w:hAnsi="Arial"/>
                <w:b w:val="0"/>
                <w:sz w:val="12"/>
              </w:rPr>
              <w:t>Allows the relationship to be identified and transported in solutions.</w:t>
            </w:r>
          </w:p>
        </w:tc>
        <w:tc>
          <w:tcPr>
            <w:tcW w:type="dxa" w:w="2590"/>
            <w:vAlign w:val="top"/>
          </w:tcPr>
          <w:p>
            <w:r/>
            <w:r>
              <w:rPr>
                <w:rFonts w:ascii="Arial" w:hAnsi="Arial"/>
                <w:b w:val="0"/>
                <w:sz w:val="12"/>
              </w:rPr>
              <w:t>Changing the name creates a different relationship.</w:t>
            </w:r>
          </w:p>
        </w:tc>
      </w:tr>
      <w:tr>
        <w:tc>
          <w:tcPr>
            <w:tcW w:type="dxa" w:w="2590"/>
            <w:vAlign w:val="top"/>
          </w:tcPr>
          <w:p>
            <w:r/>
            <w:r>
              <w:rPr>
                <w:rFonts w:ascii="Arial" w:hAnsi="Arial"/>
                <w:b w:val="0"/>
                <w:sz w:val="12"/>
              </w:rPr>
              <w:t>165</w:t>
            </w:r>
          </w:p>
        </w:tc>
        <w:tc>
          <w:tcPr>
            <w:tcW w:type="dxa" w:w="2590"/>
            <w:vAlign w:val="top"/>
          </w:tcPr>
          <w:p>
            <w:r/>
            <w:r>
              <w:rPr>
                <w:rFonts w:ascii="Arial" w:hAnsi="Arial"/>
                <w:b w:val="0"/>
                <w:sz w:val="12"/>
              </w:rPr>
              <w:t xml:space="preserve">            ReferencedEntity = "opportunity",</w:t>
            </w:r>
          </w:p>
        </w:tc>
        <w:tc>
          <w:tcPr>
            <w:tcW w:type="dxa" w:w="2590"/>
            <w:vAlign w:val="top"/>
          </w:tcPr>
          <w:p>
            <w:r/>
            <w:r>
              <w:rPr>
                <w:rFonts w:ascii="Arial" w:hAnsi="Arial"/>
                <w:b w:val="0"/>
                <w:sz w:val="12"/>
              </w:rPr>
              <w:t>Sets Opportunity as the parent/referenced table.</w:t>
            </w:r>
          </w:p>
        </w:tc>
        <w:tc>
          <w:tcPr>
            <w:tcW w:type="dxa" w:w="2590"/>
            <w:vAlign w:val="top"/>
          </w:tcPr>
          <w:p>
            <w:r/>
            <w:r>
              <w:rPr>
                <w:rFonts w:ascii="Arial" w:hAnsi="Arial"/>
                <w:b w:val="0"/>
                <w:sz w:val="12"/>
              </w:rPr>
              <w:t>Opportunity is the table being looked up to.</w:t>
            </w:r>
          </w:p>
        </w:tc>
        <w:tc>
          <w:tcPr>
            <w:tcW w:type="dxa" w:w="2590"/>
            <w:vAlign w:val="top"/>
          </w:tcPr>
          <w:p>
            <w:r/>
            <w:r>
              <w:rPr>
                <w:rFonts w:ascii="Arial" w:hAnsi="Arial"/>
                <w:b w:val="0"/>
                <w:sz w:val="12"/>
              </w:rPr>
              <w:t>Each pending action belongs to one opportunity.</w:t>
            </w:r>
          </w:p>
        </w:tc>
        <w:tc>
          <w:tcPr>
            <w:tcW w:type="dxa" w:w="2590"/>
            <w:vAlign w:val="top"/>
          </w:tcPr>
          <w:p>
            <w:r/>
            <w:r>
              <w:rPr>
                <w:rFonts w:ascii="Arial" w:hAnsi="Arial"/>
                <w:b w:val="0"/>
                <w:sz w:val="12"/>
              </w:rPr>
              <w:t>Wrong referenced table breaks the business model.</w:t>
            </w:r>
          </w:p>
        </w:tc>
      </w:tr>
      <w:tr>
        <w:tc>
          <w:tcPr>
            <w:tcW w:type="dxa" w:w="2590"/>
            <w:vAlign w:val="top"/>
          </w:tcPr>
          <w:p>
            <w:r/>
            <w:r>
              <w:rPr>
                <w:rFonts w:ascii="Arial" w:hAnsi="Arial"/>
                <w:b w:val="0"/>
                <w:sz w:val="12"/>
              </w:rPr>
              <w:t>166</w:t>
            </w:r>
          </w:p>
        </w:tc>
        <w:tc>
          <w:tcPr>
            <w:tcW w:type="dxa" w:w="2590"/>
            <w:vAlign w:val="top"/>
          </w:tcPr>
          <w:p>
            <w:r/>
            <w:r>
              <w:rPr>
                <w:rFonts w:ascii="Arial" w:hAnsi="Arial"/>
                <w:b w:val="0"/>
                <w:sz w:val="12"/>
              </w:rPr>
              <w:t xml:space="preserve">            ReferencingEntity = EntityLogicalName,</w:t>
            </w:r>
          </w:p>
        </w:tc>
        <w:tc>
          <w:tcPr>
            <w:tcW w:type="dxa" w:w="2590"/>
            <w:vAlign w:val="top"/>
          </w:tcPr>
          <w:p>
            <w:r/>
            <w:r>
              <w:rPr>
                <w:rFonts w:ascii="Arial" w:hAnsi="Arial"/>
                <w:b w:val="0"/>
                <w:sz w:val="12"/>
              </w:rPr>
              <w:t>Sets Pending Commercial Action as the child/referencing table.</w:t>
            </w:r>
          </w:p>
        </w:tc>
        <w:tc>
          <w:tcPr>
            <w:tcW w:type="dxa" w:w="2590"/>
            <w:vAlign w:val="top"/>
          </w:tcPr>
          <w:p>
            <w:r/>
            <w:r>
              <w:rPr>
                <w:rFonts w:ascii="Arial" w:hAnsi="Arial"/>
                <w:b w:val="0"/>
                <w:sz w:val="12"/>
              </w:rPr>
              <w:t>The lookup column lives on the Pending Commercial Action table.</w:t>
            </w:r>
          </w:p>
        </w:tc>
        <w:tc>
          <w:tcPr>
            <w:tcW w:type="dxa" w:w="2590"/>
            <w:vAlign w:val="top"/>
          </w:tcPr>
          <w:p>
            <w:r/>
            <w:r>
              <w:rPr>
                <w:rFonts w:ascii="Arial" w:hAnsi="Arial"/>
                <w:b w:val="0"/>
                <w:sz w:val="12"/>
              </w:rPr>
              <w:t>This lets a pending action point to an Opportunity.</w:t>
            </w:r>
          </w:p>
        </w:tc>
        <w:tc>
          <w:tcPr>
            <w:tcW w:type="dxa" w:w="2590"/>
            <w:vAlign w:val="top"/>
          </w:tcPr>
          <w:p>
            <w:r/>
            <w:r>
              <w:rPr>
                <w:rFonts w:ascii="Arial" w:hAnsi="Arial"/>
                <w:b w:val="0"/>
                <w:sz w:val="12"/>
              </w:rPr>
              <w:t>Wrong referencing entity places the lookup elsewhere.</w:t>
            </w:r>
          </w:p>
        </w:tc>
      </w:tr>
      <w:tr>
        <w:tc>
          <w:tcPr>
            <w:tcW w:type="dxa" w:w="2590"/>
            <w:vAlign w:val="top"/>
          </w:tcPr>
          <w:p>
            <w:r/>
            <w:r>
              <w:rPr>
                <w:rFonts w:ascii="Arial" w:hAnsi="Arial"/>
                <w:b w:val="0"/>
                <w:sz w:val="12"/>
              </w:rPr>
              <w:t>167</w:t>
            </w:r>
          </w:p>
        </w:tc>
        <w:tc>
          <w:tcPr>
            <w:tcW w:type="dxa" w:w="2590"/>
            <w:vAlign w:val="top"/>
          </w:tcPr>
          <w:p>
            <w:r/>
            <w:r>
              <w:rPr>
                <w:rFonts w:ascii="Arial" w:hAnsi="Arial"/>
                <w:b w:val="0"/>
                <w:sz w:val="12"/>
              </w:rPr>
              <w:t xml:space="preserve">            AssociatedMenuConfiguration = new AssociatedMenuConfiguration</w:t>
            </w:r>
          </w:p>
        </w:tc>
        <w:tc>
          <w:tcPr>
            <w:tcW w:type="dxa" w:w="2590"/>
            <w:vAlign w:val="top"/>
          </w:tcPr>
          <w:p>
            <w:r/>
            <w:r>
              <w:rPr>
                <w:rFonts w:ascii="Arial" w:hAnsi="Arial"/>
                <w:b w:val="0"/>
                <w:sz w:val="12"/>
              </w:rPr>
              <w:t>Defines how related records appear in navigation.</w:t>
            </w:r>
          </w:p>
        </w:tc>
        <w:tc>
          <w:tcPr>
            <w:tcW w:type="dxa" w:w="2590"/>
            <w:vAlign w:val="top"/>
          </w:tcPr>
          <w:p>
            <w:r/>
            <w:r>
              <w:rPr>
                <w:rFonts w:ascii="Arial" w:hAnsi="Arial"/>
                <w:b w:val="0"/>
                <w:sz w:val="12"/>
              </w:rPr>
              <w:t>Controls the related menu label/group/order in model-driven apps.</w:t>
            </w:r>
          </w:p>
        </w:tc>
        <w:tc>
          <w:tcPr>
            <w:tcW w:type="dxa" w:w="2590"/>
            <w:vAlign w:val="top"/>
          </w:tcPr>
          <w:p>
            <w:r/>
            <w:r>
              <w:rPr>
                <w:rFonts w:ascii="Arial" w:hAnsi="Arial"/>
                <w:b w:val="0"/>
                <w:sz w:val="12"/>
              </w:rPr>
              <w:t>Improves user navigation from Opportunity to pending actions.</w:t>
            </w:r>
          </w:p>
        </w:tc>
        <w:tc>
          <w:tcPr>
            <w:tcW w:type="dxa" w:w="2590"/>
            <w:vAlign w:val="top"/>
          </w:tcPr>
          <w:p>
            <w:r/>
            <w:r>
              <w:rPr>
                <w:rFonts w:ascii="Arial" w:hAnsi="Arial"/>
                <w:b w:val="0"/>
                <w:sz w:val="12"/>
              </w:rPr>
              <w:t>Label language issues can fail this part of relationship creation.</w:t>
            </w:r>
          </w:p>
        </w:tc>
      </w:tr>
      <w:tr>
        <w:tc>
          <w:tcPr>
            <w:tcW w:type="dxa" w:w="2590"/>
            <w:vAlign w:val="top"/>
          </w:tcPr>
          <w:p>
            <w:r/>
            <w:r>
              <w:rPr>
                <w:rFonts w:ascii="Arial" w:hAnsi="Arial"/>
                <w:b w:val="0"/>
                <w:sz w:val="12"/>
              </w:rPr>
              <w:t>168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169</w:t>
            </w:r>
          </w:p>
        </w:tc>
        <w:tc>
          <w:tcPr>
            <w:tcW w:type="dxa" w:w="2590"/>
            <w:vAlign w:val="top"/>
          </w:tcPr>
          <w:p>
            <w:r/>
            <w:r>
              <w:rPr>
                <w:rFonts w:ascii="Arial" w:hAnsi="Arial"/>
                <w:b w:val="0"/>
                <w:sz w:val="12"/>
              </w:rPr>
              <w:t xml:space="preserve">                Behavior = AssociatedMenuBehavior.UseLabel,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170</w:t>
            </w:r>
          </w:p>
        </w:tc>
        <w:tc>
          <w:tcPr>
            <w:tcW w:type="dxa" w:w="2590"/>
            <w:vAlign w:val="top"/>
          </w:tcPr>
          <w:p>
            <w:r/>
            <w:r>
              <w:rPr>
                <w:rFonts w:ascii="Arial" w:hAnsi="Arial"/>
                <w:b w:val="0"/>
                <w:sz w:val="12"/>
              </w:rPr>
              <w:t xml:space="preserve">                Group = AssociatedMenuGroup.Details,</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171</w:t>
            </w:r>
          </w:p>
        </w:tc>
        <w:tc>
          <w:tcPr>
            <w:tcW w:type="dxa" w:w="2590"/>
            <w:vAlign w:val="top"/>
          </w:tcPr>
          <w:p>
            <w:r/>
            <w:r>
              <w:rPr>
                <w:rFonts w:ascii="Arial" w:hAnsi="Arial"/>
                <w:b w:val="0"/>
                <w:sz w:val="12"/>
              </w:rPr>
              <w:t xml:space="preserve">                Label = Label("Pending Commercial Actions"),</w:t>
            </w:r>
          </w:p>
        </w:tc>
        <w:tc>
          <w:tcPr>
            <w:tcW w:type="dxa" w:w="2590"/>
            <w:vAlign w:val="top"/>
          </w:tcPr>
          <w:p>
            <w:r/>
            <w:r>
              <w:rPr>
                <w:rFonts w:ascii="Arial" w:hAnsi="Arial"/>
                <w:b w:val="0"/>
                <w:sz w:val="12"/>
              </w:rPr>
              <w:t>Sets the related menu label.</w:t>
            </w:r>
          </w:p>
        </w:tc>
        <w:tc>
          <w:tcPr>
            <w:tcW w:type="dxa" w:w="2590"/>
            <w:vAlign w:val="top"/>
          </w:tcPr>
          <w:p>
            <w:r/>
            <w:r>
              <w:rPr>
                <w:rFonts w:ascii="Arial" w:hAnsi="Arial"/>
                <w:b w:val="0"/>
                <w:sz w:val="12"/>
              </w:rPr>
              <w:t>Uses the Label helper and current LanguageCode.</w:t>
            </w:r>
          </w:p>
        </w:tc>
        <w:tc>
          <w:tcPr>
            <w:tcW w:type="dxa" w:w="2590"/>
            <w:vAlign w:val="top"/>
          </w:tcPr>
          <w:p>
            <w:r/>
            <w:r>
              <w:rPr>
                <w:rFonts w:ascii="Arial" w:hAnsi="Arial"/>
                <w:b w:val="0"/>
                <w:sz w:val="12"/>
              </w:rPr>
              <w:t>This was where unsupported 1033 contributed to the first failure.</w:t>
            </w:r>
          </w:p>
        </w:tc>
        <w:tc>
          <w:tcPr>
            <w:tcW w:type="dxa" w:w="2590"/>
            <w:vAlign w:val="top"/>
          </w:tcPr>
          <w:p>
            <w:r/>
            <w:r>
              <w:rPr>
                <w:rFonts w:ascii="Arial" w:hAnsi="Arial"/>
                <w:b w:val="0"/>
                <w:sz w:val="12"/>
              </w:rPr>
              <w:t>Use an enabled organization language such as 1031 in this tenant.</w:t>
            </w:r>
          </w:p>
        </w:tc>
      </w:tr>
      <w:tr>
        <w:tc>
          <w:tcPr>
            <w:tcW w:type="dxa" w:w="2590"/>
            <w:vAlign w:val="top"/>
          </w:tcPr>
          <w:p>
            <w:r/>
            <w:r>
              <w:rPr>
                <w:rFonts w:ascii="Arial" w:hAnsi="Arial"/>
                <w:b w:val="0"/>
                <w:sz w:val="12"/>
              </w:rPr>
              <w:t>172</w:t>
            </w:r>
          </w:p>
        </w:tc>
        <w:tc>
          <w:tcPr>
            <w:tcW w:type="dxa" w:w="2590"/>
            <w:vAlign w:val="top"/>
          </w:tcPr>
          <w:p>
            <w:r/>
            <w:r>
              <w:rPr>
                <w:rFonts w:ascii="Arial" w:hAnsi="Arial"/>
                <w:b w:val="0"/>
                <w:sz w:val="12"/>
              </w:rPr>
              <w:t xml:space="preserve">                Order = 10000</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173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174</w:t>
            </w:r>
          </w:p>
        </w:tc>
        <w:tc>
          <w:tcPr>
            <w:tcW w:type="dxa" w:w="2590"/>
            <w:vAlign w:val="top"/>
          </w:tcPr>
          <w:p>
            <w:r/>
            <w:r>
              <w:rPr>
                <w:rFonts w:ascii="Arial" w:hAnsi="Arial"/>
                <w:b w:val="0"/>
                <w:sz w:val="12"/>
              </w:rPr>
              <w:t xml:space="preserve">            CascadeConfiguration = new CascadeConfiguration</w:t>
            </w:r>
          </w:p>
        </w:tc>
        <w:tc>
          <w:tcPr>
            <w:tcW w:type="dxa" w:w="2590"/>
            <w:vAlign w:val="top"/>
          </w:tcPr>
          <w:p>
            <w:r/>
            <w:r>
              <w:rPr>
                <w:rFonts w:ascii="Arial" w:hAnsi="Arial"/>
                <w:b w:val="0"/>
                <w:sz w:val="12"/>
              </w:rPr>
              <w:t>Starts cascade behavior configuration.</w:t>
            </w:r>
          </w:p>
        </w:tc>
        <w:tc>
          <w:tcPr>
            <w:tcW w:type="dxa" w:w="2590"/>
            <w:vAlign w:val="top"/>
          </w:tcPr>
          <w:p>
            <w:r/>
            <w:r>
              <w:rPr>
                <w:rFonts w:ascii="Arial" w:hAnsi="Arial"/>
                <w:b w:val="0"/>
                <w:sz w:val="12"/>
              </w:rPr>
              <w:t>Defines what happens to child records when the parent opportunity is assigned, deleted, merged, shared, etc.</w:t>
            </w:r>
          </w:p>
        </w:tc>
        <w:tc>
          <w:tcPr>
            <w:tcW w:type="dxa" w:w="2590"/>
            <w:vAlign w:val="top"/>
          </w:tcPr>
          <w:p>
            <w:r/>
            <w:r>
              <w:rPr>
                <w:rFonts w:ascii="Arial" w:hAnsi="Arial"/>
                <w:b w:val="0"/>
                <w:sz w:val="12"/>
              </w:rPr>
              <w:t>Protects commercial audit records from accidental destructive cascades.</w:t>
            </w:r>
          </w:p>
        </w:tc>
        <w:tc>
          <w:tcPr>
            <w:tcW w:type="dxa" w:w="2590"/>
            <w:vAlign w:val="top"/>
          </w:tcPr>
          <w:p>
            <w:r/>
            <w:r>
              <w:rPr>
                <w:rFonts w:ascii="Arial" w:hAnsi="Arial"/>
                <w:b w:val="0"/>
                <w:sz w:val="12"/>
              </w:rPr>
              <w:t>Aggressive cascade deletes could remove important approval/audit data.</w:t>
            </w:r>
          </w:p>
        </w:tc>
      </w:tr>
      <w:tr>
        <w:tc>
          <w:tcPr>
            <w:tcW w:type="dxa" w:w="2590"/>
            <w:vAlign w:val="top"/>
          </w:tcPr>
          <w:p>
            <w:r/>
            <w:r>
              <w:rPr>
                <w:rFonts w:ascii="Arial" w:hAnsi="Arial"/>
                <w:b w:val="0"/>
                <w:sz w:val="12"/>
              </w:rPr>
              <w:t>175</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176</w:t>
            </w:r>
          </w:p>
        </w:tc>
        <w:tc>
          <w:tcPr>
            <w:tcW w:type="dxa" w:w="2590"/>
            <w:vAlign w:val="top"/>
          </w:tcPr>
          <w:p>
            <w:r/>
            <w:r>
              <w:rPr>
                <w:rFonts w:ascii="Arial" w:hAnsi="Arial"/>
                <w:b w:val="0"/>
                <w:sz w:val="12"/>
              </w:rPr>
              <w:t xml:space="preserve">                Assign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177</w:t>
            </w:r>
          </w:p>
        </w:tc>
        <w:tc>
          <w:tcPr>
            <w:tcW w:type="dxa" w:w="2590"/>
            <w:vAlign w:val="top"/>
          </w:tcPr>
          <w:p>
            <w:r/>
            <w:r>
              <w:rPr>
                <w:rFonts w:ascii="Arial" w:hAnsi="Arial"/>
                <w:b w:val="0"/>
                <w:sz w:val="12"/>
              </w:rPr>
              <w:t xml:space="preserve">                Delete = CascadeType.RemoveLink,</w:t>
            </w:r>
          </w:p>
        </w:tc>
        <w:tc>
          <w:tcPr>
            <w:tcW w:type="dxa" w:w="2590"/>
            <w:vAlign w:val="top"/>
          </w:tcPr>
          <w:p>
            <w:r/>
            <w:r>
              <w:rPr>
                <w:rFonts w:ascii="Arial" w:hAnsi="Arial"/>
                <w:b w:val="0"/>
                <w:sz w:val="12"/>
              </w:rPr>
              <w:t>Configures delete behavior to remove the link.</w:t>
            </w:r>
          </w:p>
        </w:tc>
        <w:tc>
          <w:tcPr>
            <w:tcW w:type="dxa" w:w="2590"/>
            <w:vAlign w:val="top"/>
          </w:tcPr>
          <w:p>
            <w:r/>
            <w:r>
              <w:rPr>
                <w:rFonts w:ascii="Arial" w:hAnsi="Arial"/>
                <w:b w:val="0"/>
                <w:sz w:val="12"/>
              </w:rPr>
              <w:t>If the parent is deleted, Dataverse removes the relationship link rather than cascading deletion.</w:t>
            </w:r>
          </w:p>
        </w:tc>
        <w:tc>
          <w:tcPr>
            <w:tcW w:type="dxa" w:w="2590"/>
            <w:vAlign w:val="top"/>
          </w:tcPr>
          <w:p>
            <w:r/>
            <w:r>
              <w:rPr>
                <w:rFonts w:ascii="Arial" w:hAnsi="Arial"/>
                <w:b w:val="0"/>
                <w:sz w:val="12"/>
              </w:rPr>
              <w:t>Preserves pending action records where possible.</w:t>
            </w:r>
          </w:p>
        </w:tc>
        <w:tc>
          <w:tcPr>
            <w:tcW w:type="dxa" w:w="2590"/>
            <w:vAlign w:val="top"/>
          </w:tcPr>
          <w:p>
            <w:r/>
            <w:r>
              <w:rPr>
                <w:rFonts w:ascii="Arial" w:hAnsi="Arial"/>
                <w:b w:val="0"/>
                <w:sz w:val="12"/>
              </w:rPr>
              <w:t>A cascade delete could erase audit data.</w:t>
            </w:r>
          </w:p>
        </w:tc>
      </w:tr>
      <w:tr>
        <w:tc>
          <w:tcPr>
            <w:tcW w:type="dxa" w:w="2590"/>
            <w:vAlign w:val="top"/>
          </w:tcPr>
          <w:p>
            <w:r/>
            <w:r>
              <w:rPr>
                <w:rFonts w:ascii="Arial" w:hAnsi="Arial"/>
                <w:b w:val="0"/>
                <w:sz w:val="12"/>
              </w:rPr>
              <w:t>178</w:t>
            </w:r>
          </w:p>
        </w:tc>
        <w:tc>
          <w:tcPr>
            <w:tcW w:type="dxa" w:w="2590"/>
            <w:vAlign w:val="top"/>
          </w:tcPr>
          <w:p>
            <w:r/>
            <w:r>
              <w:rPr>
                <w:rFonts w:ascii="Arial" w:hAnsi="Arial"/>
                <w:b w:val="0"/>
                <w:sz w:val="12"/>
              </w:rPr>
              <w:t xml:space="preserve">                Merge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179</w:t>
            </w:r>
          </w:p>
        </w:tc>
        <w:tc>
          <w:tcPr>
            <w:tcW w:type="dxa" w:w="2590"/>
            <w:vAlign w:val="top"/>
          </w:tcPr>
          <w:p>
            <w:r/>
            <w:r>
              <w:rPr>
                <w:rFonts w:ascii="Arial" w:hAnsi="Arial"/>
                <w:b w:val="0"/>
                <w:sz w:val="12"/>
              </w:rPr>
              <w:t xml:space="preserve">                Reparent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180</w:t>
            </w:r>
          </w:p>
        </w:tc>
        <w:tc>
          <w:tcPr>
            <w:tcW w:type="dxa" w:w="2590"/>
            <w:vAlign w:val="top"/>
          </w:tcPr>
          <w:p>
            <w:r/>
            <w:r>
              <w:rPr>
                <w:rFonts w:ascii="Arial" w:hAnsi="Arial"/>
                <w:b w:val="0"/>
                <w:sz w:val="12"/>
              </w:rPr>
              <w:t xml:space="preserve">                Share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181</w:t>
            </w:r>
          </w:p>
        </w:tc>
        <w:tc>
          <w:tcPr>
            <w:tcW w:type="dxa" w:w="2590"/>
            <w:vAlign w:val="top"/>
          </w:tcPr>
          <w:p>
            <w:r/>
            <w:r>
              <w:rPr>
                <w:rFonts w:ascii="Arial" w:hAnsi="Arial"/>
                <w:b w:val="0"/>
                <w:sz w:val="12"/>
              </w:rPr>
              <w:t xml:space="preserve">                Unshare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182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183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184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185</w:t>
            </w:r>
          </w:p>
        </w:tc>
        <w:tc>
          <w:tcPr>
            <w:tcW w:type="dxa" w:w="2590"/>
            <w:vAlign w:val="top"/>
          </w:tcPr>
          <w:p>
            <w:r/>
            <w:r>
              <w:rPr>
                <w:rFonts w:ascii="Arial" w:hAnsi="Arial"/>
                <w:b w:val="0"/>
                <w:sz w:val="12"/>
              </w:rPr>
              <w:t xml:space="preserve">        var lookup = new LookupAttributeMetadata</w:t>
            </w:r>
          </w:p>
        </w:tc>
        <w:tc>
          <w:tcPr>
            <w:tcW w:type="dxa" w:w="2590"/>
            <w:vAlign w:val="top"/>
          </w:tcPr>
          <w:p>
            <w:r/>
            <w:r>
              <w:rPr>
                <w:rFonts w:ascii="Arial" w:hAnsi="Arial"/>
                <w:b w:val="0"/>
                <w:sz w:val="12"/>
              </w:rPr>
              <w:t>Starts lookup column metadata definition.</w:t>
            </w:r>
          </w:p>
        </w:tc>
        <w:tc>
          <w:tcPr>
            <w:tcW w:type="dxa" w:w="2590"/>
            <w:vAlign w:val="top"/>
          </w:tcPr>
          <w:p>
            <w:r/>
            <w:r>
              <w:rPr>
                <w:rFonts w:ascii="Arial" w:hAnsi="Arial"/>
                <w:b w:val="0"/>
                <w:sz w:val="12"/>
              </w:rPr>
              <w:t>The lookup column stores the Opportunity reference on the child table.</w:t>
            </w:r>
          </w:p>
        </w:tc>
        <w:tc>
          <w:tcPr>
            <w:tcW w:type="dxa" w:w="2590"/>
            <w:vAlign w:val="top"/>
          </w:tcPr>
          <w:p>
            <w:r/>
            <w:r>
              <w:rPr>
                <w:rFonts w:ascii="Arial" w:hAnsi="Arial"/>
                <w:b w:val="0"/>
                <w:sz w:val="12"/>
              </w:rPr>
              <w:t>Creates the visible Opportunity column in Pending Commercial Action.</w:t>
            </w:r>
          </w:p>
        </w:tc>
        <w:tc>
          <w:tcPr>
            <w:tcW w:type="dxa" w:w="2590"/>
            <w:vAlign w:val="top"/>
          </w:tcPr>
          <w:p>
            <w:r/>
            <w:r>
              <w:rPr>
                <w:rFonts w:ascii="Arial" w:hAnsi="Arial"/>
                <w:b w:val="0"/>
                <w:sz w:val="12"/>
              </w:rPr>
              <w:t>Missing lookup means no direct relationship to Opportunity.</w:t>
            </w:r>
          </w:p>
        </w:tc>
      </w:tr>
      <w:tr>
        <w:tc>
          <w:tcPr>
            <w:tcW w:type="dxa" w:w="2590"/>
            <w:vAlign w:val="top"/>
          </w:tcPr>
          <w:p>
            <w:r/>
            <w:r>
              <w:rPr>
                <w:rFonts w:ascii="Arial" w:hAnsi="Arial"/>
                <w:b w:val="0"/>
                <w:sz w:val="12"/>
              </w:rPr>
              <w:t>186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187</w:t>
            </w:r>
          </w:p>
        </w:tc>
        <w:tc>
          <w:tcPr>
            <w:tcW w:type="dxa" w:w="2590"/>
            <w:vAlign w:val="top"/>
          </w:tcPr>
          <w:p>
            <w:r/>
            <w:r>
              <w:rPr>
                <w:rFonts w:ascii="Arial" w:hAnsi="Arial"/>
                <w:b w:val="0"/>
                <w:sz w:val="12"/>
              </w:rPr>
              <w:t xml:space="preserve">            SchemaName = "aso_opportunityid",</w:t>
            </w:r>
          </w:p>
        </w:tc>
        <w:tc>
          <w:tcPr>
            <w:tcW w:type="dxa" w:w="2590"/>
            <w:vAlign w:val="top"/>
          </w:tcPr>
          <w:p>
            <w:r/>
            <w:r>
              <w:rPr>
                <w:rFonts w:ascii="Arial" w:hAnsi="Arial"/>
                <w:b w:val="0"/>
                <w:sz w:val="12"/>
              </w:rPr>
              <w:t>Sets the lookup column schema name.</w:t>
            </w:r>
          </w:p>
        </w:tc>
        <w:tc>
          <w:tcPr>
            <w:tcW w:type="dxa" w:w="2590"/>
            <w:vAlign w:val="top"/>
          </w:tcPr>
          <w:p>
            <w:r/>
            <w:r>
              <w:rPr>
                <w:rFonts w:ascii="Arial" w:hAnsi="Arial"/>
                <w:b w:val="0"/>
                <w:sz w:val="12"/>
              </w:rPr>
              <w:t>The column created on Pending Commercial Action is aso_opportunityid.</w:t>
            </w:r>
          </w:p>
        </w:tc>
        <w:tc>
          <w:tcPr>
            <w:tcW w:type="dxa" w:w="2590"/>
            <w:vAlign w:val="top"/>
          </w:tcPr>
          <w:p>
            <w:r/>
            <w:r>
              <w:rPr>
                <w:rFonts w:ascii="Arial" w:hAnsi="Arial"/>
                <w:b w:val="0"/>
                <w:sz w:val="12"/>
              </w:rPr>
              <w:t>This was the missing column after the first script failed.</w:t>
            </w:r>
          </w:p>
        </w:tc>
        <w:tc>
          <w:tcPr>
            <w:tcW w:type="dxa" w:w="2590"/>
            <w:vAlign w:val="top"/>
          </w:tcPr>
          <w:p>
            <w:r/>
            <w:r>
              <w:rPr>
                <w:rFonts w:ascii="Arial" w:hAnsi="Arial"/>
                <w:b w:val="0"/>
                <w:sz w:val="12"/>
              </w:rPr>
              <w:t>Wrong name breaks downstream scripts/flows expecting aso_opportunityid.</w:t>
            </w:r>
          </w:p>
        </w:tc>
      </w:tr>
      <w:tr>
        <w:tc>
          <w:tcPr>
            <w:tcW w:type="dxa" w:w="2590"/>
            <w:vAlign w:val="top"/>
          </w:tcPr>
          <w:p>
            <w:r/>
            <w:r>
              <w:rPr>
                <w:rFonts w:ascii="Arial" w:hAnsi="Arial"/>
                <w:b w:val="0"/>
                <w:sz w:val="12"/>
              </w:rPr>
              <w:t>188</w:t>
            </w:r>
          </w:p>
        </w:tc>
        <w:tc>
          <w:tcPr>
            <w:tcW w:type="dxa" w:w="2590"/>
            <w:vAlign w:val="top"/>
          </w:tcPr>
          <w:p>
            <w:r/>
            <w:r>
              <w:rPr>
                <w:rFonts w:ascii="Arial" w:hAnsi="Arial"/>
                <w:b w:val="0"/>
                <w:sz w:val="12"/>
              </w:rPr>
              <w:t xml:space="preserve">            DisplayName = Label("Opportunity"),</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189</w:t>
            </w:r>
          </w:p>
        </w:tc>
        <w:tc>
          <w:tcPr>
            <w:tcW w:type="dxa" w:w="2590"/>
            <w:vAlign w:val="top"/>
          </w:tcPr>
          <w:p>
            <w:r/>
            <w:r>
              <w:rPr>
                <w:rFonts w:ascii="Arial" w:hAnsi="Arial"/>
                <w:b w:val="0"/>
                <w:sz w:val="12"/>
              </w:rPr>
              <w:t xml:space="preserve">            Description = Label("Related Opportunity for the pending commercial action."),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190</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191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192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193</w:t>
            </w:r>
          </w:p>
        </w:tc>
        <w:tc>
          <w:tcPr>
            <w:tcW w:type="dxa" w:w="2590"/>
            <w:vAlign w:val="top"/>
          </w:tcPr>
          <w:p>
            <w:r/>
            <w:r>
              <w:rPr>
                <w:rFonts w:ascii="Arial" w:hAnsi="Arial"/>
                <w:b w:val="0"/>
                <w:sz w:val="12"/>
              </w:rPr>
              <w:t xml:space="preserve">        var request = new CreateOneToManyRequest</w:t>
            </w:r>
          </w:p>
        </w:tc>
        <w:tc>
          <w:tcPr>
            <w:tcW w:type="dxa" w:w="2590"/>
            <w:vAlign w:val="top"/>
          </w:tcPr>
          <w:p>
            <w:r/>
            <w:r>
              <w:rPr>
                <w:rFonts w:ascii="Arial" w:hAnsi="Arial"/>
                <w:b w:val="0"/>
                <w:sz w:val="12"/>
              </w:rPr>
              <w:t>Creates the relationship creation request.</w:t>
            </w:r>
          </w:p>
        </w:tc>
        <w:tc>
          <w:tcPr>
            <w:tcW w:type="dxa" w:w="2590"/>
            <w:vAlign w:val="top"/>
          </w:tcPr>
          <w:p>
            <w:r/>
            <w:r>
              <w:rPr>
                <w:rFonts w:ascii="Arial" w:hAnsi="Arial"/>
                <w:b w:val="0"/>
                <w:sz w:val="12"/>
              </w:rPr>
              <w:t>Combines the relationship metadata and lookup attribute into one SDK operation.</w:t>
            </w:r>
          </w:p>
        </w:tc>
        <w:tc>
          <w:tcPr>
            <w:tcW w:type="dxa" w:w="2590"/>
            <w:vAlign w:val="top"/>
          </w:tcPr>
          <w:p>
            <w:r/>
            <w:r>
              <w:rPr>
                <w:rFonts w:ascii="Arial" w:hAnsi="Arial"/>
                <w:b w:val="0"/>
                <w:sz w:val="12"/>
              </w:rPr>
              <w:t>This is how Dataverse creates lookup relationships programmatically.</w:t>
            </w:r>
          </w:p>
        </w:tc>
        <w:tc>
          <w:tcPr>
            <w:tcW w:type="dxa" w:w="2590"/>
            <w:vAlign w:val="top"/>
          </w:tcPr>
          <w:p>
            <w:r/>
            <w:r>
              <w:rPr>
                <w:rFonts w:ascii="Arial" w:hAnsi="Arial"/>
                <w:b w:val="0"/>
                <w:sz w:val="12"/>
              </w:rPr>
              <w:t>Incorrect metadata can create wrong relationship direction or fail validation.</w:t>
            </w:r>
          </w:p>
        </w:tc>
      </w:tr>
      <w:tr>
        <w:tc>
          <w:tcPr>
            <w:tcW w:type="dxa" w:w="2590"/>
            <w:vAlign w:val="top"/>
          </w:tcPr>
          <w:p>
            <w:r/>
            <w:r>
              <w:rPr>
                <w:rFonts w:ascii="Arial" w:hAnsi="Arial"/>
                <w:b w:val="0"/>
                <w:sz w:val="12"/>
              </w:rPr>
              <w:t>194</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195</w:t>
            </w:r>
          </w:p>
        </w:tc>
        <w:tc>
          <w:tcPr>
            <w:tcW w:type="dxa" w:w="2590"/>
            <w:vAlign w:val="top"/>
          </w:tcPr>
          <w:p>
            <w:r/>
            <w:r>
              <w:rPr>
                <w:rFonts w:ascii="Arial" w:hAnsi="Arial"/>
                <w:b w:val="0"/>
                <w:sz w:val="12"/>
              </w:rPr>
              <w:t xml:space="preserve">            OneToManyRelationship = relationship,</w:t>
            </w:r>
          </w:p>
        </w:tc>
        <w:tc>
          <w:tcPr>
            <w:tcW w:type="dxa" w:w="2590"/>
            <w:vAlign w:val="top"/>
          </w:tcPr>
          <w:p>
            <w:r/>
            <w:r>
              <w:rPr>
                <w:rFonts w:ascii="Arial" w:hAnsi="Arial"/>
                <w:b w:val="0"/>
                <w:sz w:val="12"/>
              </w:rPr>
              <w:t>Adds the relationship metadata to the request.</w:t>
            </w:r>
          </w:p>
        </w:tc>
        <w:tc>
          <w:tcPr>
            <w:tcW w:type="dxa" w:w="2590"/>
            <w:vAlign w:val="top"/>
          </w:tcPr>
          <w:p>
            <w:r/>
            <w:r>
              <w:rPr>
                <w:rFonts w:ascii="Arial" w:hAnsi="Arial"/>
                <w:b w:val="0"/>
                <w:sz w:val="12"/>
              </w:rPr>
              <w:t>Passes schema, parent/child tables, menu configuration, and cascade behavior.</w:t>
            </w:r>
          </w:p>
        </w:tc>
        <w:tc>
          <w:tcPr>
            <w:tcW w:type="dxa" w:w="2590"/>
            <w:vAlign w:val="top"/>
          </w:tcPr>
          <w:p>
            <w:r/>
            <w:r>
              <w:rPr>
                <w:rFonts w:ascii="Arial" w:hAnsi="Arial"/>
                <w:b w:val="0"/>
                <w:sz w:val="12"/>
              </w:rPr>
              <w:t>Required to create the relationship.</w:t>
            </w:r>
          </w:p>
        </w:tc>
        <w:tc>
          <w:tcPr>
            <w:tcW w:type="dxa" w:w="2590"/>
            <w:vAlign w:val="top"/>
          </w:tcPr>
          <w:p>
            <w:r/>
            <w:r>
              <w:rPr>
                <w:rFonts w:ascii="Arial" w:hAnsi="Arial"/>
                <w:b w:val="0"/>
                <w:sz w:val="12"/>
              </w:rPr>
              <w:t>Without it, Dataverse does not know relationship structure.</w:t>
            </w:r>
          </w:p>
        </w:tc>
      </w:tr>
      <w:tr>
        <w:tc>
          <w:tcPr>
            <w:tcW w:type="dxa" w:w="2590"/>
            <w:vAlign w:val="top"/>
          </w:tcPr>
          <w:p>
            <w:r/>
            <w:r>
              <w:rPr>
                <w:rFonts w:ascii="Arial" w:hAnsi="Arial"/>
                <w:b w:val="0"/>
                <w:sz w:val="12"/>
              </w:rPr>
              <w:t>196</w:t>
            </w:r>
          </w:p>
        </w:tc>
        <w:tc>
          <w:tcPr>
            <w:tcW w:type="dxa" w:w="2590"/>
            <w:vAlign w:val="top"/>
          </w:tcPr>
          <w:p>
            <w:r/>
            <w:r>
              <w:rPr>
                <w:rFonts w:ascii="Arial" w:hAnsi="Arial"/>
                <w:b w:val="0"/>
                <w:sz w:val="12"/>
              </w:rPr>
              <w:t xml:space="preserve">            Lookup = lookup,</w:t>
            </w:r>
          </w:p>
        </w:tc>
        <w:tc>
          <w:tcPr>
            <w:tcW w:type="dxa" w:w="2590"/>
            <w:vAlign w:val="top"/>
          </w:tcPr>
          <w:p>
            <w:r/>
            <w:r>
              <w:rPr>
                <w:rFonts w:ascii="Arial" w:hAnsi="Arial"/>
                <w:b w:val="0"/>
                <w:sz w:val="12"/>
              </w:rPr>
              <w:t>Adds lookup column metadata to the request.</w:t>
            </w:r>
          </w:p>
        </w:tc>
        <w:tc>
          <w:tcPr>
            <w:tcW w:type="dxa" w:w="2590"/>
            <w:vAlign w:val="top"/>
          </w:tcPr>
          <w:p>
            <w:r/>
            <w:r>
              <w:rPr>
                <w:rFonts w:ascii="Arial" w:hAnsi="Arial"/>
                <w:b w:val="0"/>
                <w:sz w:val="12"/>
              </w:rPr>
              <w:t>Passes schema, display label, description, and required level.</w:t>
            </w:r>
          </w:p>
        </w:tc>
        <w:tc>
          <w:tcPr>
            <w:tcW w:type="dxa" w:w="2590"/>
            <w:vAlign w:val="top"/>
          </w:tcPr>
          <w:p>
            <w:r/>
            <w:r>
              <w:rPr>
                <w:rFonts w:ascii="Arial" w:hAnsi="Arial"/>
                <w:b w:val="0"/>
                <w:sz w:val="12"/>
              </w:rPr>
              <w:t>Creates the actual Opportunity lookup field on the child table.</w:t>
            </w:r>
          </w:p>
        </w:tc>
        <w:tc>
          <w:tcPr>
            <w:tcW w:type="dxa" w:w="2590"/>
            <w:vAlign w:val="top"/>
          </w:tcPr>
          <w:p>
            <w:r/>
            <w:r>
              <w:rPr>
                <w:rFonts w:ascii="Arial" w:hAnsi="Arial"/>
                <w:b w:val="0"/>
                <w:sz w:val="12"/>
              </w:rPr>
              <w:t>Without it, no lookup column appears.</w:t>
            </w:r>
          </w:p>
        </w:tc>
      </w:tr>
      <w:tr>
        <w:tc>
          <w:tcPr>
            <w:tcW w:type="dxa" w:w="2590"/>
            <w:vAlign w:val="top"/>
          </w:tcPr>
          <w:p>
            <w:r/>
            <w:r>
              <w:rPr>
                <w:rFonts w:ascii="Arial" w:hAnsi="Arial"/>
                <w:b w:val="0"/>
                <w:sz w:val="12"/>
              </w:rPr>
              <w:t>197</w:t>
            </w:r>
          </w:p>
        </w:tc>
        <w:tc>
          <w:tcPr>
            <w:tcW w:type="dxa" w:w="2590"/>
            <w:vAlign w:val="top"/>
          </w:tcPr>
          <w:p>
            <w:r/>
            <w:r>
              <w:rPr>
                <w:rFonts w:ascii="Arial" w:hAnsi="Arial"/>
                <w:b w:val="0"/>
                <w:sz w:val="12"/>
              </w:rPr>
              <w:t xml:space="preserve">            SolutionUniqueName = SolutionUniqueName</w:t>
            </w:r>
          </w:p>
        </w:tc>
        <w:tc>
          <w:tcPr>
            <w:tcW w:type="dxa" w:w="2590"/>
            <w:vAlign w:val="top"/>
          </w:tcPr>
          <w:p>
            <w:r/>
            <w:r>
              <w:rPr>
                <w:rFonts w:ascii="Arial" w:hAnsi="Arial"/>
                <w:b w:val="0"/>
                <w:sz w:val="12"/>
              </w:rPr>
              <w:t>Associates the created component with ASO.Core.</w:t>
            </w:r>
          </w:p>
        </w:tc>
        <w:tc>
          <w:tcPr>
            <w:tcW w:type="dxa" w:w="2590"/>
            <w:vAlign w:val="top"/>
          </w:tcPr>
          <w:p>
            <w:r/>
            <w:r>
              <w:rPr>
                <w:rFonts w:ascii="Arial" w:hAnsi="Arial"/>
                <w:b w:val="0"/>
                <w:sz w:val="12"/>
              </w:rPr>
              <w:t>The SDK passes the solution unique name to the create request.</w:t>
            </w:r>
          </w:p>
        </w:tc>
        <w:tc>
          <w:tcPr>
            <w:tcW w:type="dxa" w:w="2590"/>
            <w:vAlign w:val="top"/>
          </w:tcPr>
          <w:p>
            <w:r/>
            <w:r>
              <w:rPr>
                <w:rFonts w:ascii="Arial" w:hAnsi="Arial"/>
                <w:b w:val="0"/>
                <w:sz w:val="12"/>
              </w:rPr>
              <w:t>Critical for export, ALM, and keeping changes out of accidental default-only context.</w:t>
            </w:r>
          </w:p>
        </w:tc>
        <w:tc>
          <w:tcPr>
            <w:tcW w:type="dxa" w:w="2590"/>
            <w:vAlign w:val="top"/>
          </w:tcPr>
          <w:p>
            <w:r/>
            <w:r>
              <w:rPr>
                <w:rFonts w:ascii="Arial" w:hAnsi="Arial"/>
                <w:b w:val="0"/>
                <w:sz w:val="12"/>
              </w:rPr>
              <w:t>Wrong solution unique name means components may not appear in ASO.Core.</w:t>
            </w:r>
          </w:p>
        </w:tc>
      </w:tr>
      <w:tr>
        <w:tc>
          <w:tcPr>
            <w:tcW w:type="dxa" w:w="2590"/>
            <w:vAlign w:val="top"/>
          </w:tcPr>
          <w:p>
            <w:r/>
            <w:r>
              <w:rPr>
                <w:rFonts w:ascii="Arial" w:hAnsi="Arial"/>
                <w:b w:val="0"/>
                <w:sz w:val="12"/>
              </w:rPr>
              <w:t>198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199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200</w:t>
            </w:r>
          </w:p>
        </w:tc>
        <w:tc>
          <w:tcPr>
            <w:tcW w:type="dxa" w:w="2590"/>
            <w:vAlign w:val="top"/>
          </w:tcPr>
          <w:p>
            <w:r/>
            <w:r>
              <w:rPr>
                <w:rFonts w:ascii="Arial" w:hAnsi="Arial"/>
                <w:b w:val="0"/>
                <w:sz w:val="12"/>
              </w:rPr>
              <w:t xml:space="preserve">        service.Execute(request);</w:t>
            </w:r>
          </w:p>
        </w:tc>
        <w:tc>
          <w:tcPr>
            <w:tcW w:type="dxa" w:w="2590"/>
            <w:vAlign w:val="top"/>
          </w:tcPr>
          <w:p>
            <w:r/>
            <w:r>
              <w:rPr>
                <w:rFonts w:ascii="Arial" w:hAnsi="Arial"/>
                <w:b w:val="0"/>
                <w:sz w:val="12"/>
              </w:rPr>
              <w:t>Executes a create request.</w:t>
            </w:r>
          </w:p>
        </w:tc>
        <w:tc>
          <w:tcPr>
            <w:tcW w:type="dxa" w:w="2590"/>
            <w:vAlign w:val="top"/>
          </w:tcPr>
          <w:p>
            <w:r/>
            <w:r>
              <w:rPr>
                <w:rFonts w:ascii="Arial" w:hAnsi="Arial"/>
                <w:b w:val="0"/>
                <w:sz w:val="12"/>
              </w:rPr>
              <w:t>Sends CreateAttributeRequest or CreateOneToManyRequest to Dataverse.</w:t>
            </w:r>
          </w:p>
        </w:tc>
        <w:tc>
          <w:tcPr>
            <w:tcW w:type="dxa" w:w="2590"/>
            <w:vAlign w:val="top"/>
          </w:tcPr>
          <w:p>
            <w:r/>
            <w:r>
              <w:rPr>
                <w:rFonts w:ascii="Arial" w:hAnsi="Arial"/>
                <w:b w:val="0"/>
                <w:sz w:val="12"/>
              </w:rPr>
              <w:t>Actually creates a column or relationship.</w:t>
            </w:r>
          </w:p>
        </w:tc>
        <w:tc>
          <w:tcPr>
            <w:tcW w:type="dxa" w:w="2590"/>
            <w:vAlign w:val="top"/>
          </w:tcPr>
          <w:p>
            <w:r/>
            <w:r>
              <w:rPr>
                <w:rFonts w:ascii="Arial" w:hAnsi="Arial"/>
                <w:b w:val="0"/>
                <w:sz w:val="12"/>
              </w:rPr>
              <w:t>Failures here indicate permissions, invalid metadata, or language/choice issues.</w:t>
            </w:r>
          </w:p>
        </w:tc>
      </w:tr>
      <w:tr>
        <w:tc>
          <w:tcPr>
            <w:tcW w:type="dxa" w:w="2590"/>
            <w:vAlign w:val="top"/>
          </w:tcPr>
          <w:p>
            <w:r/>
            <w:r>
              <w:rPr>
                <w:rFonts w:ascii="Arial" w:hAnsi="Arial"/>
                <w:b w:val="0"/>
                <w:sz w:val="12"/>
              </w:rPr>
              <w:t>201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202</w:t>
            </w:r>
          </w:p>
        </w:tc>
        <w:tc>
          <w:tcPr>
            <w:tcW w:type="dxa" w:w="2590"/>
            <w:vAlign w:val="top"/>
          </w:tcPr>
          <w:p>
            <w:r/>
            <w:r>
              <w:rPr>
                <w:rFonts w:ascii="Arial" w:hAnsi="Arial"/>
                <w:b w:val="0"/>
                <w:sz w:val="12"/>
              </w:rPr>
              <w:t xml:space="preserve">        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203</w:t>
            </w:r>
          </w:p>
        </w:tc>
        <w:tc>
          <w:tcPr>
            <w:tcW w:type="dxa" w:w="2590"/>
            <w:vAlign w:val="top"/>
          </w:tcPr>
          <w:p>
            <w:r/>
            <w:r>
              <w:rPr>
                <w:rFonts w:ascii="Arial" w:hAnsi="Arial"/>
                <w:b w:val="0"/>
                <w:sz w:val="12"/>
              </w:rPr>
              <w:t xml:space="preserve">        Console.WriteLine("CREATED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204</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205</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206</w:t>
            </w:r>
          </w:p>
        </w:tc>
        <w:tc>
          <w:tcPr>
            <w:tcW w:type="dxa" w:w="2590"/>
            <w:vAlign w:val="top"/>
          </w:tcPr>
          <w:p>
            <w:r/>
            <w:r>
              <w:rPr>
                <w:rFonts w:ascii="Arial" w:hAnsi="Arial"/>
                <w:b w:val="0"/>
                <w:sz w:val="12"/>
              </w:rPr>
              <w:t xml:space="preserve">    catch (Exception ex)</w:t>
            </w:r>
          </w:p>
        </w:tc>
        <w:tc>
          <w:tcPr>
            <w:tcW w:type="dxa" w:w="2590"/>
            <w:vAlign w:val="top"/>
          </w:tcPr>
          <w:p>
            <w:r/>
            <w:r>
              <w:rPr>
                <w:rFonts w:ascii="Arial" w:hAnsi="Arial"/>
                <w:b w:val="0"/>
                <w:sz w:val="12"/>
              </w:rPr>
              <w:t>Starts exception handling.</w:t>
            </w:r>
          </w:p>
        </w:tc>
        <w:tc>
          <w:tcPr>
            <w:tcW w:type="dxa" w:w="2590"/>
            <w:vAlign w:val="top"/>
          </w:tcPr>
          <w:p>
            <w:r/>
            <w:r>
              <w:rPr>
                <w:rFonts w:ascii="Arial" w:hAnsi="Arial"/>
                <w:b w:val="0"/>
                <w:sz w:val="12"/>
              </w:rPr>
              <w:t>Captures SDK/Dataverse errors for the current operation.</w:t>
            </w:r>
          </w:p>
        </w:tc>
        <w:tc>
          <w:tcPr>
            <w:tcW w:type="dxa" w:w="2590"/>
            <w:vAlign w:val="top"/>
          </w:tcPr>
          <w:p>
            <w:r/>
            <w:r>
              <w:rPr>
                <w:rFonts w:ascii="Arial" w:hAnsi="Arial"/>
                <w:b w:val="0"/>
                <w:sz w:val="12"/>
              </w:rPr>
              <w:t>Keeps the operator informed about exact failures.</w:t>
            </w:r>
          </w:p>
        </w:tc>
        <w:tc>
          <w:tcPr>
            <w:tcW w:type="dxa" w:w="2590"/>
            <w:vAlign w:val="top"/>
          </w:tcPr>
          <w:p>
            <w:r/>
            <w:r>
              <w:rPr>
                <w:rFonts w:ascii="Arial" w:hAnsi="Arial"/>
                <w:b w:val="0"/>
                <w:sz w:val="12"/>
              </w:rPr>
              <w:t>Ignoring exceptions makes recovery difficult.</w:t>
            </w:r>
          </w:p>
        </w:tc>
      </w:tr>
      <w:tr>
        <w:tc>
          <w:tcPr>
            <w:tcW w:type="dxa" w:w="2590"/>
            <w:vAlign w:val="top"/>
          </w:tcPr>
          <w:p>
            <w:r/>
            <w:r>
              <w:rPr>
                <w:rFonts w:ascii="Arial" w:hAnsi="Arial"/>
                <w:b w:val="0"/>
                <w:sz w:val="12"/>
              </w:rPr>
              <w:t>207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208</w:t>
            </w:r>
          </w:p>
        </w:tc>
        <w:tc>
          <w:tcPr>
            <w:tcW w:type="dxa" w:w="2590"/>
            <w:vAlign w:val="top"/>
          </w:tcPr>
          <w:p>
            <w:r/>
            <w:r>
              <w:rPr>
                <w:rFonts w:ascii="Arial" w:hAnsi="Arial"/>
                <w:b w:val="0"/>
                <w:sz w:val="12"/>
              </w:rPr>
              <w:t xml:space="preserve">        Console.ForegroundColor = ConsoleColor.Red;</w:t>
            </w:r>
          </w:p>
        </w:tc>
        <w:tc>
          <w:tcPr>
            <w:tcW w:type="dxa" w:w="2590"/>
            <w:vAlign w:val="top"/>
          </w:tcPr>
          <w:p>
            <w:r/>
            <w:r>
              <w:rPr>
                <w:rFonts w:ascii="Arial" w:hAnsi="Arial"/>
                <w:b w:val="0"/>
                <w:sz w:val="12"/>
              </w:rPr>
              <w:t>Changes terminal output to red.</w:t>
            </w:r>
          </w:p>
        </w:tc>
        <w:tc>
          <w:tcPr>
            <w:tcW w:type="dxa" w:w="2590"/>
            <w:vAlign w:val="top"/>
          </w:tcPr>
          <w:p>
            <w:r/>
            <w:r>
              <w:rPr>
                <w:rFonts w:ascii="Arial" w:hAnsi="Arial"/>
                <w:b w:val="0"/>
                <w:sz w:val="12"/>
              </w:rPr>
              <w:t>Used for failure messages so operators can identify errors immediately.</w:t>
            </w:r>
          </w:p>
        </w:tc>
        <w:tc>
          <w:tcPr>
            <w:tcW w:type="dxa" w:w="2590"/>
            <w:vAlign w:val="top"/>
          </w:tcPr>
          <w:p>
            <w:r/>
            <w:r>
              <w:rPr>
                <w:rFonts w:ascii="Arial" w:hAnsi="Arial"/>
                <w:b w:val="0"/>
                <w:sz w:val="12"/>
              </w:rPr>
              <w:t>Improves operational readability.</w:t>
            </w:r>
          </w:p>
        </w:tc>
        <w:tc>
          <w:tcPr>
            <w:tcW w:type="dxa" w:w="2590"/>
            <w:vAlign w:val="top"/>
          </w:tcPr>
          <w:p>
            <w:r/>
            <w:r>
              <w:rPr>
                <w:rFonts w:ascii="Arial" w:hAnsi="Arial"/>
                <w:b w:val="0"/>
                <w:sz w:val="12"/>
              </w:rPr>
              <w:t>If colors are not reset, later messages can remain incorrectly colored.</w:t>
            </w:r>
          </w:p>
        </w:tc>
      </w:tr>
      <w:tr>
        <w:tc>
          <w:tcPr>
            <w:tcW w:type="dxa" w:w="2590"/>
            <w:vAlign w:val="top"/>
          </w:tcPr>
          <w:p>
            <w:r/>
            <w:r>
              <w:rPr>
                <w:rFonts w:ascii="Arial" w:hAnsi="Arial"/>
                <w:b w:val="0"/>
                <w:sz w:val="12"/>
              </w:rPr>
              <w:t>209</w:t>
            </w:r>
          </w:p>
        </w:tc>
        <w:tc>
          <w:tcPr>
            <w:tcW w:type="dxa" w:w="2590"/>
            <w:vAlign w:val="top"/>
          </w:tcPr>
          <w:p>
            <w:r/>
            <w:r>
              <w:rPr>
                <w:rFonts w:ascii="Arial" w:hAnsi="Arial"/>
                <w:b w:val="0"/>
                <w:sz w:val="12"/>
              </w:rPr>
              <w:t xml:space="preserve">        Console.WriteLine("FAILED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210</w:t>
            </w:r>
          </w:p>
        </w:tc>
        <w:tc>
          <w:tcPr>
            <w:tcW w:type="dxa" w:w="2590"/>
            <w:vAlign w:val="top"/>
          </w:tcPr>
          <w:p>
            <w:r/>
            <w:r>
              <w:rPr>
                <w:rFonts w:ascii="Arial" w:hAnsi="Arial"/>
                <w:b w:val="0"/>
                <w:sz w:val="12"/>
              </w:rPr>
              <w:t xml:space="preserve">        Console.WriteLine(ex.Message);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211</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212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213</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214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215</w:t>
            </w:r>
          </w:p>
        </w:tc>
        <w:tc>
          <w:tcPr>
            <w:tcW w:type="dxa" w:w="2590"/>
            <w:vAlign w:val="top"/>
          </w:tcPr>
          <w:p>
            <w:r/>
            <w:r>
              <w:rPr>
                <w:rFonts w:ascii="Arial" w:hAnsi="Arial"/>
                <w:b w:val="0"/>
                <w:sz w:val="12"/>
              </w:rPr>
              <w:t>static bool EntityExists(ServiceClient service, string entityLogicalName)</w:t>
            </w:r>
          </w:p>
        </w:tc>
        <w:tc>
          <w:tcPr>
            <w:tcW w:type="dxa" w:w="2590"/>
            <w:vAlign w:val="top"/>
          </w:tcPr>
          <w:p>
            <w:r/>
            <w:r>
              <w:rPr>
                <w:rFonts w:ascii="Arial" w:hAnsi="Arial"/>
                <w:b w:val="0"/>
                <w:sz w:val="12"/>
              </w:rPr>
              <w:t>Defines a helper to check if a table exists.</w:t>
            </w:r>
          </w:p>
        </w:tc>
        <w:tc>
          <w:tcPr>
            <w:tcW w:type="dxa" w:w="2590"/>
            <w:vAlign w:val="top"/>
          </w:tcPr>
          <w:p>
            <w:r/>
            <w:r>
              <w:rPr>
                <w:rFonts w:ascii="Arial" w:hAnsi="Arial"/>
                <w:b w:val="0"/>
                <w:sz w:val="12"/>
              </w:rPr>
              <w:t>It attempts to retrieve table metadata and returns true/false.</w:t>
            </w:r>
          </w:p>
        </w:tc>
        <w:tc>
          <w:tcPr>
            <w:tcW w:type="dxa" w:w="2590"/>
            <w:vAlign w:val="top"/>
          </w:tcPr>
          <w:p>
            <w:r/>
            <w:r>
              <w:rPr>
                <w:rFonts w:ascii="Arial" w:hAnsi="Arial"/>
                <w:b w:val="0"/>
                <w:sz w:val="12"/>
              </w:rPr>
              <w:t>Prevents duplicate table creation.</w:t>
            </w:r>
          </w:p>
        </w:tc>
        <w:tc>
          <w:tcPr>
            <w:tcW w:type="dxa" w:w="2590"/>
            <w:vAlign w:val="top"/>
          </w:tcPr>
          <w:p>
            <w:r/>
            <w:r>
              <w:rPr>
                <w:rFonts w:ascii="Arial" w:hAnsi="Arial"/>
                <w:b w:val="0"/>
                <w:sz w:val="12"/>
              </w:rPr>
              <w:t>Broad catch hides detailed existence-check errors; acceptable for this helper but should be used carefully.</w:t>
            </w:r>
          </w:p>
        </w:tc>
      </w:tr>
      <w:tr>
        <w:tc>
          <w:tcPr>
            <w:tcW w:type="dxa" w:w="2590"/>
            <w:vAlign w:val="top"/>
          </w:tcPr>
          <w:p>
            <w:r/>
            <w:r>
              <w:rPr>
                <w:rFonts w:ascii="Arial" w:hAnsi="Arial"/>
                <w:b w:val="0"/>
                <w:sz w:val="12"/>
              </w:rPr>
              <w:t>216</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217</w:t>
            </w:r>
          </w:p>
        </w:tc>
        <w:tc>
          <w:tcPr>
            <w:tcW w:type="dxa" w:w="2590"/>
            <w:vAlign w:val="top"/>
          </w:tcPr>
          <w:p>
            <w:r/>
            <w:r>
              <w:rPr>
                <w:rFonts w:ascii="Arial" w:hAnsi="Arial"/>
                <w:b w:val="0"/>
                <w:sz w:val="12"/>
              </w:rPr>
              <w:t xml:space="preserve">    try</w:t>
            </w:r>
          </w:p>
        </w:tc>
        <w:tc>
          <w:tcPr>
            <w:tcW w:type="dxa" w:w="2590"/>
            <w:vAlign w:val="top"/>
          </w:tcPr>
          <w:p>
            <w:r/>
            <w:r>
              <w:rPr>
                <w:rFonts w:ascii="Arial" w:hAnsi="Arial"/>
                <w:b w:val="0"/>
                <w:sz w:val="12"/>
              </w:rPr>
              <w:t>Starts a protected operation block.</w:t>
            </w:r>
          </w:p>
        </w:tc>
        <w:tc>
          <w:tcPr>
            <w:tcW w:type="dxa" w:w="2590"/>
            <w:vAlign w:val="top"/>
          </w:tcPr>
          <w:p>
            <w:r/>
            <w:r>
              <w:rPr>
                <w:rFonts w:ascii="Arial" w:hAnsi="Arial"/>
                <w:b w:val="0"/>
                <w:sz w:val="12"/>
              </w:rPr>
              <w:t>Exceptions inside the block are caught and logged.</w:t>
            </w:r>
          </w:p>
        </w:tc>
        <w:tc>
          <w:tcPr>
            <w:tcW w:type="dxa" w:w="2590"/>
            <w:vAlign w:val="top"/>
          </w:tcPr>
          <w:p>
            <w:r/>
            <w:r>
              <w:rPr>
                <w:rFonts w:ascii="Arial" w:hAnsi="Arial"/>
                <w:b w:val="0"/>
                <w:sz w:val="12"/>
              </w:rPr>
              <w:t>Prevents one failing field from hiding the exact cause.</w:t>
            </w:r>
          </w:p>
        </w:tc>
        <w:tc>
          <w:tcPr>
            <w:tcW w:type="dxa" w:w="2590"/>
            <w:vAlign w:val="top"/>
          </w:tcPr>
          <w:p>
            <w:r/>
            <w:r>
              <w:rPr>
                <w:rFonts w:ascii="Arial" w:hAnsi="Arial"/>
                <w:b w:val="0"/>
                <w:sz w:val="12"/>
              </w:rPr>
              <w:t>Without try/catch, the script may crash with less context.</w:t>
            </w:r>
          </w:p>
        </w:tc>
      </w:tr>
      <w:tr>
        <w:tc>
          <w:tcPr>
            <w:tcW w:type="dxa" w:w="2590"/>
            <w:vAlign w:val="top"/>
          </w:tcPr>
          <w:p>
            <w:r/>
            <w:r>
              <w:rPr>
                <w:rFonts w:ascii="Arial" w:hAnsi="Arial"/>
                <w:b w:val="0"/>
                <w:sz w:val="12"/>
              </w:rPr>
              <w:t>218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219</w:t>
            </w:r>
          </w:p>
        </w:tc>
        <w:tc>
          <w:tcPr>
            <w:tcW w:type="dxa" w:w="2590"/>
            <w:vAlign w:val="top"/>
          </w:tcPr>
          <w:p>
            <w:r/>
            <w:r>
              <w:rPr>
                <w:rFonts w:ascii="Arial" w:hAnsi="Arial"/>
                <w:b w:val="0"/>
                <w:sz w:val="12"/>
              </w:rPr>
              <w:t xml:space="preserve">        service.Execute(new RetrieveEntityRequest</w:t>
            </w:r>
          </w:p>
        </w:tc>
        <w:tc>
          <w:tcPr>
            <w:tcW w:type="dxa" w:w="2590"/>
            <w:vAlign w:val="top"/>
          </w:tcPr>
          <w:p>
            <w:r/>
            <w:r>
              <w:rPr>
                <w:rFonts w:ascii="Arial" w:hAnsi="Arial"/>
                <w:b w:val="0"/>
                <w:sz w:val="12"/>
              </w:rPr>
              <w:t>Creates a metadata retrieval request.</w:t>
            </w:r>
          </w:p>
        </w:tc>
        <w:tc>
          <w:tcPr>
            <w:tcW w:type="dxa" w:w="2590"/>
            <w:vAlign w:val="top"/>
          </w:tcPr>
          <w:p>
            <w:r/>
            <w:r>
              <w:rPr>
                <w:rFonts w:ascii="Arial" w:hAnsi="Arial"/>
                <w:b w:val="0"/>
                <w:sz w:val="12"/>
              </w:rPr>
              <w:t>Dataverse uses it to retrieve table or attribute metadata.</w:t>
            </w:r>
          </w:p>
        </w:tc>
        <w:tc>
          <w:tcPr>
            <w:tcW w:type="dxa" w:w="2590"/>
            <w:vAlign w:val="top"/>
          </w:tcPr>
          <w:p>
            <w:r/>
            <w:r>
              <w:rPr>
                <w:rFonts w:ascii="Arial" w:hAnsi="Arial"/>
                <w:b w:val="0"/>
                <w:sz w:val="12"/>
              </w:rPr>
              <w:t>Needed to check existing tables/columns.</w:t>
            </w:r>
          </w:p>
        </w:tc>
        <w:tc>
          <w:tcPr>
            <w:tcW w:type="dxa" w:w="2590"/>
            <w:vAlign w:val="top"/>
          </w:tcPr>
          <w:p>
            <w:r/>
            <w:r>
              <w:rPr>
                <w:rFonts w:ascii="Arial" w:hAnsi="Arial"/>
                <w:b w:val="0"/>
                <w:sz w:val="12"/>
              </w:rPr>
              <w:t>Wrong filters may return incomplete metadata.</w:t>
            </w:r>
          </w:p>
        </w:tc>
      </w:tr>
      <w:tr>
        <w:tc>
          <w:tcPr>
            <w:tcW w:type="dxa" w:w="2590"/>
            <w:vAlign w:val="top"/>
          </w:tcPr>
          <w:p>
            <w:r/>
            <w:r>
              <w:rPr>
                <w:rFonts w:ascii="Arial" w:hAnsi="Arial"/>
                <w:b w:val="0"/>
                <w:sz w:val="12"/>
              </w:rPr>
              <w:t>220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221</w:t>
            </w:r>
          </w:p>
        </w:tc>
        <w:tc>
          <w:tcPr>
            <w:tcW w:type="dxa" w:w="2590"/>
            <w:vAlign w:val="top"/>
          </w:tcPr>
          <w:p>
            <w:r/>
            <w:r>
              <w:rPr>
                <w:rFonts w:ascii="Arial" w:hAnsi="Arial"/>
                <w:b w:val="0"/>
                <w:sz w:val="12"/>
              </w:rPr>
              <w:t xml:space="preserve">            LogicalName = entityLogicalName,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222</w:t>
            </w:r>
          </w:p>
        </w:tc>
        <w:tc>
          <w:tcPr>
            <w:tcW w:type="dxa" w:w="2590"/>
            <w:vAlign w:val="top"/>
          </w:tcPr>
          <w:p>
            <w:r/>
            <w:r>
              <w:rPr>
                <w:rFonts w:ascii="Arial" w:hAnsi="Arial"/>
                <w:b w:val="0"/>
                <w:sz w:val="12"/>
              </w:rPr>
              <w:t xml:space="preserve">            EntityFilters = EntityFilters.Entity,</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223</w:t>
            </w:r>
          </w:p>
        </w:tc>
        <w:tc>
          <w:tcPr>
            <w:tcW w:type="dxa" w:w="2590"/>
            <w:vAlign w:val="top"/>
          </w:tcPr>
          <w:p>
            <w:r/>
            <w:r>
              <w:rPr>
                <w:rFonts w:ascii="Arial" w:hAnsi="Arial"/>
                <w:b w:val="0"/>
                <w:sz w:val="12"/>
              </w:rPr>
              <w:t xml:space="preserve">            RetrieveAsIfPublished = true</w:t>
            </w:r>
          </w:p>
        </w:tc>
        <w:tc>
          <w:tcPr>
            <w:tcW w:type="dxa" w:w="2590"/>
            <w:vAlign w:val="top"/>
          </w:tcPr>
          <w:p>
            <w:r/>
            <w:r>
              <w:rPr>
                <w:rFonts w:ascii="Arial" w:hAnsi="Arial"/>
                <w:b w:val="0"/>
                <w:sz w:val="12"/>
              </w:rPr>
              <w:t>Reads metadata as if all customizations are published.</w:t>
            </w:r>
          </w:p>
        </w:tc>
        <w:tc>
          <w:tcPr>
            <w:tcW w:type="dxa" w:w="2590"/>
            <w:vAlign w:val="top"/>
          </w:tcPr>
          <w:p>
            <w:r/>
            <w:r>
              <w:rPr>
                <w:rFonts w:ascii="Arial" w:hAnsi="Arial"/>
                <w:b w:val="0"/>
                <w:sz w:val="12"/>
              </w:rPr>
              <w:t>Helps include recent metadata changes.</w:t>
            </w:r>
          </w:p>
        </w:tc>
        <w:tc>
          <w:tcPr>
            <w:tcW w:type="dxa" w:w="2590"/>
            <w:vAlign w:val="top"/>
          </w:tcPr>
          <w:p>
            <w:r/>
            <w:r>
              <w:rPr>
                <w:rFonts w:ascii="Arial" w:hAnsi="Arial"/>
                <w:b w:val="0"/>
                <w:sz w:val="12"/>
              </w:rPr>
              <w:t>Improves reliability after script-created components.</w:t>
            </w:r>
          </w:p>
        </w:tc>
        <w:tc>
          <w:tcPr>
            <w:tcW w:type="dxa" w:w="2590"/>
            <w:vAlign w:val="top"/>
          </w:tcPr>
          <w:p>
            <w:r/>
            <w:r>
              <w:rPr>
                <w:rFonts w:ascii="Arial" w:hAnsi="Arial"/>
                <w:b w:val="0"/>
                <w:sz w:val="12"/>
              </w:rPr>
              <w:t>If false, recently created unpublished metadata might not be detected.</w:t>
            </w:r>
          </w:p>
        </w:tc>
      </w:tr>
      <w:tr>
        <w:tc>
          <w:tcPr>
            <w:tcW w:type="dxa" w:w="2590"/>
            <w:vAlign w:val="top"/>
          </w:tcPr>
          <w:p>
            <w:r/>
            <w:r>
              <w:rPr>
                <w:rFonts w:ascii="Arial" w:hAnsi="Arial"/>
                <w:b w:val="0"/>
                <w:sz w:val="12"/>
              </w:rPr>
              <w:t>224</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225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226</w:t>
            </w:r>
          </w:p>
        </w:tc>
        <w:tc>
          <w:tcPr>
            <w:tcW w:type="dxa" w:w="2590"/>
            <w:vAlign w:val="top"/>
          </w:tcPr>
          <w:p>
            <w:r/>
            <w:r>
              <w:rPr>
                <w:rFonts w:ascii="Arial" w:hAnsi="Arial"/>
                <w:b w:val="0"/>
                <w:sz w:val="12"/>
              </w:rPr>
              <w:t xml:space="preserve">        return true;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227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228</w:t>
            </w:r>
          </w:p>
        </w:tc>
        <w:tc>
          <w:tcPr>
            <w:tcW w:type="dxa" w:w="2590"/>
            <w:vAlign w:val="top"/>
          </w:tcPr>
          <w:p>
            <w:r/>
            <w:r>
              <w:rPr>
                <w:rFonts w:ascii="Arial" w:hAnsi="Arial"/>
                <w:b w:val="0"/>
                <w:sz w:val="12"/>
              </w:rPr>
              <w:t xml:space="preserve">    catch</w:t>
            </w:r>
          </w:p>
        </w:tc>
        <w:tc>
          <w:tcPr>
            <w:tcW w:type="dxa" w:w="2590"/>
            <w:vAlign w:val="top"/>
          </w:tcPr>
          <w:p>
            <w:r/>
            <w:r>
              <w:rPr>
                <w:rFonts w:ascii="Arial" w:hAnsi="Arial"/>
                <w:b w:val="0"/>
                <w:sz w:val="12"/>
              </w:rPr>
              <w:t>Starts exception handling.</w:t>
            </w:r>
          </w:p>
        </w:tc>
        <w:tc>
          <w:tcPr>
            <w:tcW w:type="dxa" w:w="2590"/>
            <w:vAlign w:val="top"/>
          </w:tcPr>
          <w:p>
            <w:r/>
            <w:r>
              <w:rPr>
                <w:rFonts w:ascii="Arial" w:hAnsi="Arial"/>
                <w:b w:val="0"/>
                <w:sz w:val="12"/>
              </w:rPr>
              <w:t>Captures SDK/Dataverse errors for the current operation.</w:t>
            </w:r>
          </w:p>
        </w:tc>
        <w:tc>
          <w:tcPr>
            <w:tcW w:type="dxa" w:w="2590"/>
            <w:vAlign w:val="top"/>
          </w:tcPr>
          <w:p>
            <w:r/>
            <w:r>
              <w:rPr>
                <w:rFonts w:ascii="Arial" w:hAnsi="Arial"/>
                <w:b w:val="0"/>
                <w:sz w:val="12"/>
              </w:rPr>
              <w:t>Keeps the operator informed about exact failures.</w:t>
            </w:r>
          </w:p>
        </w:tc>
        <w:tc>
          <w:tcPr>
            <w:tcW w:type="dxa" w:w="2590"/>
            <w:vAlign w:val="top"/>
          </w:tcPr>
          <w:p>
            <w:r/>
            <w:r>
              <w:rPr>
                <w:rFonts w:ascii="Arial" w:hAnsi="Arial"/>
                <w:b w:val="0"/>
                <w:sz w:val="12"/>
              </w:rPr>
              <w:t>Ignoring exceptions makes recovery difficult.</w:t>
            </w:r>
          </w:p>
        </w:tc>
      </w:tr>
      <w:tr>
        <w:tc>
          <w:tcPr>
            <w:tcW w:type="dxa" w:w="2590"/>
            <w:vAlign w:val="top"/>
          </w:tcPr>
          <w:p>
            <w:r/>
            <w:r>
              <w:rPr>
                <w:rFonts w:ascii="Arial" w:hAnsi="Arial"/>
                <w:b w:val="0"/>
                <w:sz w:val="12"/>
              </w:rPr>
              <w:t>229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230</w:t>
            </w:r>
          </w:p>
        </w:tc>
        <w:tc>
          <w:tcPr>
            <w:tcW w:type="dxa" w:w="2590"/>
            <w:vAlign w:val="top"/>
          </w:tcPr>
          <w:p>
            <w:r/>
            <w:r>
              <w:rPr>
                <w:rFonts w:ascii="Arial" w:hAnsi="Arial"/>
                <w:b w:val="0"/>
                <w:sz w:val="12"/>
              </w:rPr>
              <w:t xml:space="preserve">        return false;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231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232</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233</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234</w:t>
            </w:r>
          </w:p>
        </w:tc>
        <w:tc>
          <w:tcPr>
            <w:tcW w:type="dxa" w:w="2590"/>
            <w:vAlign w:val="top"/>
          </w:tcPr>
          <w:p>
            <w:r/>
            <w:r>
              <w:rPr>
                <w:rFonts w:ascii="Arial" w:hAnsi="Arial"/>
                <w:b w:val="0"/>
                <w:sz w:val="12"/>
              </w:rPr>
              <w:t>static HashSet&lt;string&gt; GetExistingAttributeLogicalNames(ServiceClient service, string entityLogicalName)</w:t>
            </w:r>
          </w:p>
        </w:tc>
        <w:tc>
          <w:tcPr>
            <w:tcW w:type="dxa" w:w="2590"/>
            <w:vAlign w:val="top"/>
          </w:tcPr>
          <w:p>
            <w:r/>
            <w:r>
              <w:rPr>
                <w:rFonts w:ascii="Arial" w:hAnsi="Arial"/>
                <w:b w:val="0"/>
                <w:sz w:val="12"/>
              </w:rPr>
              <w:t>Defines a helper to retrieve existing column names.</w:t>
            </w:r>
          </w:p>
        </w:tc>
        <w:tc>
          <w:tcPr>
            <w:tcW w:type="dxa" w:w="2590"/>
            <w:vAlign w:val="top"/>
          </w:tcPr>
          <w:p>
            <w:r/>
            <w:r>
              <w:rPr>
                <w:rFonts w:ascii="Arial" w:hAnsi="Arial"/>
                <w:b w:val="0"/>
                <w:sz w:val="12"/>
              </w:rPr>
              <w:t>Returns a set for fast case-insensitive lookup.</w:t>
            </w:r>
          </w:p>
        </w:tc>
        <w:tc>
          <w:tcPr>
            <w:tcW w:type="dxa" w:w="2590"/>
            <w:vAlign w:val="top"/>
          </w:tcPr>
          <w:p>
            <w:r/>
            <w:r>
              <w:rPr>
                <w:rFonts w:ascii="Arial" w:hAnsi="Arial"/>
                <w:b w:val="0"/>
                <w:sz w:val="12"/>
              </w:rPr>
              <w:t>Supports safe reruns and partial recovery.</w:t>
            </w:r>
          </w:p>
        </w:tc>
        <w:tc>
          <w:tcPr>
            <w:tcW w:type="dxa" w:w="2590"/>
            <w:vAlign w:val="top"/>
          </w:tcPr>
          <w:p>
            <w:r/>
            <w:r>
              <w:rPr>
                <w:rFonts w:ascii="Arial" w:hAnsi="Arial"/>
                <w:b w:val="0"/>
                <w:sz w:val="12"/>
              </w:rPr>
              <w:t>If not reliable, duplicate detection fails.</w:t>
            </w:r>
          </w:p>
        </w:tc>
      </w:tr>
      <w:tr>
        <w:tc>
          <w:tcPr>
            <w:tcW w:type="dxa" w:w="2590"/>
            <w:vAlign w:val="top"/>
          </w:tcPr>
          <w:p>
            <w:r/>
            <w:r>
              <w:rPr>
                <w:rFonts w:ascii="Arial" w:hAnsi="Arial"/>
                <w:b w:val="0"/>
                <w:sz w:val="12"/>
              </w:rPr>
              <w:t>235</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236</w:t>
            </w:r>
          </w:p>
        </w:tc>
        <w:tc>
          <w:tcPr>
            <w:tcW w:type="dxa" w:w="2590"/>
            <w:vAlign w:val="top"/>
          </w:tcPr>
          <w:p>
            <w:r/>
            <w:r>
              <w:rPr>
                <w:rFonts w:ascii="Arial" w:hAnsi="Arial"/>
                <w:b w:val="0"/>
                <w:sz w:val="12"/>
              </w:rPr>
              <w:t xml:space="preserve">    var response = (RetrieveEntityResponse)service.Execute(new RetrieveEntityRequest</w:t>
            </w:r>
          </w:p>
        </w:tc>
        <w:tc>
          <w:tcPr>
            <w:tcW w:type="dxa" w:w="2590"/>
            <w:vAlign w:val="top"/>
          </w:tcPr>
          <w:p>
            <w:r/>
            <w:r>
              <w:rPr>
                <w:rFonts w:ascii="Arial" w:hAnsi="Arial"/>
                <w:b w:val="0"/>
                <w:sz w:val="12"/>
              </w:rPr>
              <w:t>Creates a metadata retrieval request.</w:t>
            </w:r>
          </w:p>
        </w:tc>
        <w:tc>
          <w:tcPr>
            <w:tcW w:type="dxa" w:w="2590"/>
            <w:vAlign w:val="top"/>
          </w:tcPr>
          <w:p>
            <w:r/>
            <w:r>
              <w:rPr>
                <w:rFonts w:ascii="Arial" w:hAnsi="Arial"/>
                <w:b w:val="0"/>
                <w:sz w:val="12"/>
              </w:rPr>
              <w:t>Dataverse uses it to retrieve table or attribute metadata.</w:t>
            </w:r>
          </w:p>
        </w:tc>
        <w:tc>
          <w:tcPr>
            <w:tcW w:type="dxa" w:w="2590"/>
            <w:vAlign w:val="top"/>
          </w:tcPr>
          <w:p>
            <w:r/>
            <w:r>
              <w:rPr>
                <w:rFonts w:ascii="Arial" w:hAnsi="Arial"/>
                <w:b w:val="0"/>
                <w:sz w:val="12"/>
              </w:rPr>
              <w:t>Needed to check existing tables/columns.</w:t>
            </w:r>
          </w:p>
        </w:tc>
        <w:tc>
          <w:tcPr>
            <w:tcW w:type="dxa" w:w="2590"/>
            <w:vAlign w:val="top"/>
          </w:tcPr>
          <w:p>
            <w:r/>
            <w:r>
              <w:rPr>
                <w:rFonts w:ascii="Arial" w:hAnsi="Arial"/>
                <w:b w:val="0"/>
                <w:sz w:val="12"/>
              </w:rPr>
              <w:t>Wrong filters may return incomplete metadata.</w:t>
            </w:r>
          </w:p>
        </w:tc>
      </w:tr>
      <w:tr>
        <w:tc>
          <w:tcPr>
            <w:tcW w:type="dxa" w:w="2590"/>
            <w:vAlign w:val="top"/>
          </w:tcPr>
          <w:p>
            <w:r/>
            <w:r>
              <w:rPr>
                <w:rFonts w:ascii="Arial" w:hAnsi="Arial"/>
                <w:b w:val="0"/>
                <w:sz w:val="12"/>
              </w:rPr>
              <w:t>237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238</w:t>
            </w:r>
          </w:p>
        </w:tc>
        <w:tc>
          <w:tcPr>
            <w:tcW w:type="dxa" w:w="2590"/>
            <w:vAlign w:val="top"/>
          </w:tcPr>
          <w:p>
            <w:r/>
            <w:r>
              <w:rPr>
                <w:rFonts w:ascii="Arial" w:hAnsi="Arial"/>
                <w:b w:val="0"/>
                <w:sz w:val="12"/>
              </w:rPr>
              <w:t xml:space="preserve">        LogicalName = entityLogicalName,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239</w:t>
            </w:r>
          </w:p>
        </w:tc>
        <w:tc>
          <w:tcPr>
            <w:tcW w:type="dxa" w:w="2590"/>
            <w:vAlign w:val="top"/>
          </w:tcPr>
          <w:p>
            <w:r/>
            <w:r>
              <w:rPr>
                <w:rFonts w:ascii="Arial" w:hAnsi="Arial"/>
                <w:b w:val="0"/>
                <w:sz w:val="12"/>
              </w:rPr>
              <w:t xml:space="preserve">        EntityFilters = EntityFilters.Attributes,</w:t>
            </w:r>
          </w:p>
        </w:tc>
        <w:tc>
          <w:tcPr>
            <w:tcW w:type="dxa" w:w="2590"/>
            <w:vAlign w:val="top"/>
          </w:tcPr>
          <w:p>
            <w:r/>
            <w:r>
              <w:rPr>
                <w:rFonts w:ascii="Arial" w:hAnsi="Arial"/>
                <w:b w:val="0"/>
                <w:sz w:val="12"/>
              </w:rPr>
              <w:t>Requests column/attribute metadata.</w:t>
            </w:r>
          </w:p>
        </w:tc>
        <w:tc>
          <w:tcPr>
            <w:tcW w:type="dxa" w:w="2590"/>
            <w:vAlign w:val="top"/>
          </w:tcPr>
          <w:p>
            <w:r/>
            <w:r>
              <w:rPr>
                <w:rFonts w:ascii="Arial" w:hAnsi="Arial"/>
                <w:b w:val="0"/>
                <w:sz w:val="12"/>
              </w:rPr>
              <w:t>The response includes existing table attributes.</w:t>
            </w:r>
          </w:p>
        </w:tc>
        <w:tc>
          <w:tcPr>
            <w:tcW w:type="dxa" w:w="2590"/>
            <w:vAlign w:val="top"/>
          </w:tcPr>
          <w:p>
            <w:r/>
            <w:r>
              <w:rPr>
                <w:rFonts w:ascii="Arial" w:hAnsi="Arial"/>
                <w:b w:val="0"/>
                <w:sz w:val="12"/>
              </w:rPr>
              <w:t>Needed for existing column checks.</w:t>
            </w:r>
          </w:p>
        </w:tc>
        <w:tc>
          <w:tcPr>
            <w:tcW w:type="dxa" w:w="2590"/>
            <w:vAlign w:val="top"/>
          </w:tcPr>
          <w:p>
            <w:r/>
            <w:r>
              <w:rPr>
                <w:rFonts w:ascii="Arial" w:hAnsi="Arial"/>
                <w:b w:val="0"/>
                <w:sz w:val="12"/>
              </w:rPr>
              <w:t>Using only Entity filters would not return columns.</w:t>
            </w:r>
          </w:p>
        </w:tc>
      </w:tr>
      <w:tr>
        <w:tc>
          <w:tcPr>
            <w:tcW w:type="dxa" w:w="2590"/>
            <w:vAlign w:val="top"/>
          </w:tcPr>
          <w:p>
            <w:r/>
            <w:r>
              <w:rPr>
                <w:rFonts w:ascii="Arial" w:hAnsi="Arial"/>
                <w:b w:val="0"/>
                <w:sz w:val="12"/>
              </w:rPr>
              <w:t>240</w:t>
            </w:r>
          </w:p>
        </w:tc>
        <w:tc>
          <w:tcPr>
            <w:tcW w:type="dxa" w:w="2590"/>
            <w:vAlign w:val="top"/>
          </w:tcPr>
          <w:p>
            <w:r/>
            <w:r>
              <w:rPr>
                <w:rFonts w:ascii="Arial" w:hAnsi="Arial"/>
                <w:b w:val="0"/>
                <w:sz w:val="12"/>
              </w:rPr>
              <w:t xml:space="preserve">        RetrieveAsIfPublished = true</w:t>
            </w:r>
          </w:p>
        </w:tc>
        <w:tc>
          <w:tcPr>
            <w:tcW w:type="dxa" w:w="2590"/>
            <w:vAlign w:val="top"/>
          </w:tcPr>
          <w:p>
            <w:r/>
            <w:r>
              <w:rPr>
                <w:rFonts w:ascii="Arial" w:hAnsi="Arial"/>
                <w:b w:val="0"/>
                <w:sz w:val="12"/>
              </w:rPr>
              <w:t>Reads metadata as if all customizations are published.</w:t>
            </w:r>
          </w:p>
        </w:tc>
        <w:tc>
          <w:tcPr>
            <w:tcW w:type="dxa" w:w="2590"/>
            <w:vAlign w:val="top"/>
          </w:tcPr>
          <w:p>
            <w:r/>
            <w:r>
              <w:rPr>
                <w:rFonts w:ascii="Arial" w:hAnsi="Arial"/>
                <w:b w:val="0"/>
                <w:sz w:val="12"/>
              </w:rPr>
              <w:t>Helps include recent metadata changes.</w:t>
            </w:r>
          </w:p>
        </w:tc>
        <w:tc>
          <w:tcPr>
            <w:tcW w:type="dxa" w:w="2590"/>
            <w:vAlign w:val="top"/>
          </w:tcPr>
          <w:p>
            <w:r/>
            <w:r>
              <w:rPr>
                <w:rFonts w:ascii="Arial" w:hAnsi="Arial"/>
                <w:b w:val="0"/>
                <w:sz w:val="12"/>
              </w:rPr>
              <w:t>Improves reliability after script-created components.</w:t>
            </w:r>
          </w:p>
        </w:tc>
        <w:tc>
          <w:tcPr>
            <w:tcW w:type="dxa" w:w="2590"/>
            <w:vAlign w:val="top"/>
          </w:tcPr>
          <w:p>
            <w:r/>
            <w:r>
              <w:rPr>
                <w:rFonts w:ascii="Arial" w:hAnsi="Arial"/>
                <w:b w:val="0"/>
                <w:sz w:val="12"/>
              </w:rPr>
              <w:t>If false, recently created unpublished metadata might not be detected.</w:t>
            </w:r>
          </w:p>
        </w:tc>
      </w:tr>
      <w:tr>
        <w:tc>
          <w:tcPr>
            <w:tcW w:type="dxa" w:w="2590"/>
            <w:vAlign w:val="top"/>
          </w:tcPr>
          <w:p>
            <w:r/>
            <w:r>
              <w:rPr>
                <w:rFonts w:ascii="Arial" w:hAnsi="Arial"/>
                <w:b w:val="0"/>
                <w:sz w:val="12"/>
              </w:rPr>
              <w:t>241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242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243</w:t>
            </w:r>
          </w:p>
        </w:tc>
        <w:tc>
          <w:tcPr>
            <w:tcW w:type="dxa" w:w="2590"/>
            <w:vAlign w:val="top"/>
          </w:tcPr>
          <w:p>
            <w:r/>
            <w:r>
              <w:rPr>
                <w:rFonts w:ascii="Arial" w:hAnsi="Arial"/>
                <w:b w:val="0"/>
                <w:sz w:val="12"/>
              </w:rPr>
              <w:t xml:space="preserve">    return response.EntityMetadata.Attributes</w:t>
            </w:r>
          </w:p>
        </w:tc>
        <w:tc>
          <w:tcPr>
            <w:tcW w:type="dxa" w:w="2590"/>
            <w:vAlign w:val="top"/>
          </w:tcPr>
          <w:p>
            <w:r/>
            <w:r>
              <w:rPr>
                <w:rFonts w:ascii="Arial" w:hAnsi="Arial"/>
                <w:b w:val="0"/>
                <w:sz w:val="12"/>
              </w:rPr>
              <w:t>Starts building a list of existing attribute logical names.</w:t>
            </w:r>
          </w:p>
        </w:tc>
        <w:tc>
          <w:tcPr>
            <w:tcW w:type="dxa" w:w="2590"/>
            <w:vAlign w:val="top"/>
          </w:tcPr>
          <w:p>
            <w:r/>
            <w:r>
              <w:rPr>
                <w:rFonts w:ascii="Arial" w:hAnsi="Arial"/>
                <w:b w:val="0"/>
                <w:sz w:val="12"/>
              </w:rPr>
              <w:t>Reads the metadata response returned by Dataverse.</w:t>
            </w:r>
          </w:p>
        </w:tc>
        <w:tc>
          <w:tcPr>
            <w:tcW w:type="dxa" w:w="2590"/>
            <w:vAlign w:val="top"/>
          </w:tcPr>
          <w:p>
            <w:r/>
            <w:r>
              <w:rPr>
                <w:rFonts w:ascii="Arial" w:hAnsi="Arial"/>
                <w:b w:val="0"/>
                <w:sz w:val="12"/>
              </w:rPr>
              <w:t>Forms the basis of idempotency checks.</w:t>
            </w:r>
          </w:p>
        </w:tc>
        <w:tc>
          <w:tcPr>
            <w:tcW w:type="dxa" w:w="2590"/>
            <w:vAlign w:val="top"/>
          </w:tcPr>
          <w:p>
            <w:r/>
            <w:r>
              <w:rPr>
                <w:rFonts w:ascii="Arial" w:hAnsi="Arial"/>
                <w:b w:val="0"/>
                <w:sz w:val="12"/>
              </w:rPr>
              <w:t>If the response is null, the helper would fail.</w:t>
            </w:r>
          </w:p>
        </w:tc>
      </w:tr>
      <w:tr>
        <w:tc>
          <w:tcPr>
            <w:tcW w:type="dxa" w:w="2590"/>
            <w:vAlign w:val="top"/>
          </w:tcPr>
          <w:p>
            <w:r/>
            <w:r>
              <w:rPr>
                <w:rFonts w:ascii="Arial" w:hAnsi="Arial"/>
                <w:b w:val="0"/>
                <w:sz w:val="12"/>
              </w:rPr>
              <w:t>244</w:t>
            </w:r>
          </w:p>
        </w:tc>
        <w:tc>
          <w:tcPr>
            <w:tcW w:type="dxa" w:w="2590"/>
            <w:vAlign w:val="top"/>
          </w:tcPr>
          <w:p>
            <w:r/>
            <w:r>
              <w:rPr>
                <w:rFonts w:ascii="Arial" w:hAnsi="Arial"/>
                <w:b w:val="0"/>
                <w:sz w:val="12"/>
              </w:rPr>
              <w:t xml:space="preserve">        .Where(a =&gt; !string.IsNullOrWhiteSpace(a.LogicalName))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245</w:t>
            </w:r>
          </w:p>
        </w:tc>
        <w:tc>
          <w:tcPr>
            <w:tcW w:type="dxa" w:w="2590"/>
            <w:vAlign w:val="top"/>
          </w:tcPr>
          <w:p>
            <w:r/>
            <w:r>
              <w:rPr>
                <w:rFonts w:ascii="Arial" w:hAnsi="Arial"/>
                <w:b w:val="0"/>
                <w:sz w:val="12"/>
              </w:rPr>
              <w:t xml:space="preserve">        .Select(a =&gt; a.LogicalName!)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246</w:t>
            </w:r>
          </w:p>
        </w:tc>
        <w:tc>
          <w:tcPr>
            <w:tcW w:type="dxa" w:w="2590"/>
            <w:vAlign w:val="top"/>
          </w:tcPr>
          <w:p>
            <w:r/>
            <w:r>
              <w:rPr>
                <w:rFonts w:ascii="Arial" w:hAnsi="Arial"/>
                <w:b w:val="0"/>
                <w:sz w:val="12"/>
              </w:rPr>
              <w:t xml:space="preserve">        .ToHashSet(StringComparer.OrdinalIgnoreCase);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247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248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249</w:t>
            </w:r>
          </w:p>
        </w:tc>
        <w:tc>
          <w:tcPr>
            <w:tcW w:type="dxa" w:w="2590"/>
            <w:vAlign w:val="top"/>
          </w:tcPr>
          <w:p>
            <w:r/>
            <w:r>
              <w:rPr>
                <w:rFonts w:ascii="Arial" w:hAnsi="Arial"/>
                <w:b w:val="0"/>
                <w:sz w:val="12"/>
              </w:rPr>
              <w:t>static Label Label(string value) =&gt; new(value, LanguageCode);</w:t>
            </w:r>
          </w:p>
        </w:tc>
        <w:tc>
          <w:tcPr>
            <w:tcW w:type="dxa" w:w="2590"/>
            <w:vAlign w:val="top"/>
          </w:tcPr>
          <w:p>
            <w:r/>
            <w:r>
              <w:rPr>
                <w:rFonts w:ascii="Arial" w:hAnsi="Arial"/>
                <w:b w:val="0"/>
                <w:sz w:val="12"/>
              </w:rPr>
              <w:t>Defines a helper for localized labels.</w:t>
            </w:r>
          </w:p>
        </w:tc>
        <w:tc>
          <w:tcPr>
            <w:tcW w:type="dxa" w:w="2590"/>
            <w:vAlign w:val="top"/>
          </w:tcPr>
          <w:p>
            <w:r/>
            <w:r>
              <w:rPr>
                <w:rFonts w:ascii="Arial" w:hAnsi="Arial"/>
                <w:b w:val="0"/>
                <w:sz w:val="12"/>
              </w:rPr>
              <w:t>Creates Dataverse Label objects using the configured LanguageCode.</w:t>
            </w:r>
          </w:p>
        </w:tc>
        <w:tc>
          <w:tcPr>
            <w:tcW w:type="dxa" w:w="2590"/>
            <w:vAlign w:val="top"/>
          </w:tcPr>
          <w:p>
            <w:r/>
            <w:r>
              <w:rPr>
                <w:rFonts w:ascii="Arial" w:hAnsi="Arial"/>
                <w:b w:val="0"/>
                <w:sz w:val="12"/>
              </w:rPr>
              <w:t>Avoids repeating label creation logic everywhere.</w:t>
            </w:r>
          </w:p>
        </w:tc>
        <w:tc>
          <w:tcPr>
            <w:tcW w:type="dxa" w:w="2590"/>
            <w:vAlign w:val="top"/>
          </w:tcPr>
          <w:p>
            <w:r/>
            <w:r>
              <w:rPr>
                <w:rFonts w:ascii="Arial" w:hAnsi="Arial"/>
                <w:b w:val="0"/>
                <w:sz w:val="12"/>
              </w:rPr>
              <w:t>Using unsupported LanguageCode caused the initial lookup failure.</w:t>
            </w:r>
          </w:p>
        </w:tc>
      </w:tr>
      <w:tr>
        <w:tc>
          <w:tcPr>
            <w:tcW w:type="dxa" w:w="2590"/>
            <w:vAlign w:val="top"/>
          </w:tcPr>
          <w:p>
            <w:r/>
            <w:r>
              <w:rPr>
                <w:rFonts w:ascii="Arial" w:hAnsi="Arial"/>
                <w:b w:val="0"/>
                <w:sz w:val="12"/>
              </w:rPr>
              <w:t>250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251</w:t>
            </w:r>
          </w:p>
        </w:tc>
        <w:tc>
          <w:tcPr>
            <w:tcW w:type="dxa" w:w="2590"/>
            <w:vAlign w:val="top"/>
          </w:tcPr>
          <w:p>
            <w:r/>
            <w:r>
              <w:rPr>
                <w:rFonts w:ascii="Arial" w:hAnsi="Arial"/>
                <w:b w:val="0"/>
                <w:sz w:val="12"/>
              </w:rPr>
              <w:t>static AttributeRequiredLevelManagedProperty Optional()</w:t>
            </w:r>
          </w:p>
        </w:tc>
        <w:tc>
          <w:tcPr>
            <w:tcW w:type="dxa" w:w="2590"/>
            <w:vAlign w:val="top"/>
          </w:tcPr>
          <w:p>
            <w:r/>
            <w:r>
              <w:rPr>
                <w:rFonts w:ascii="Arial" w:hAnsi="Arial"/>
                <w:b w:val="0"/>
                <w:sz w:val="12"/>
              </w:rPr>
              <w:t>Defines a helper for optional fields.</w:t>
            </w:r>
          </w:p>
        </w:tc>
        <w:tc>
          <w:tcPr>
            <w:tcW w:type="dxa" w:w="2590"/>
            <w:vAlign w:val="top"/>
          </w:tcPr>
          <w:p>
            <w:r/>
            <w:r>
              <w:rPr>
                <w:rFonts w:ascii="Arial" w:hAnsi="Arial"/>
                <w:b w:val="0"/>
                <w:sz w:val="12"/>
              </w:rPr>
              <w:t>Returns AttributeRequiredLevel.None wrapped in a Dataverse managed property.</w:t>
            </w:r>
          </w:p>
        </w:tc>
        <w:tc>
          <w:tcPr>
            <w:tcW w:type="dxa" w:w="2590"/>
            <w:vAlign w:val="top"/>
          </w:tcPr>
          <w:p>
            <w:r/>
            <w:r>
              <w:rPr>
                <w:rFonts w:ascii="Arial" w:hAnsi="Arial"/>
                <w:b w:val="0"/>
                <w:sz w:val="12"/>
              </w:rPr>
              <w:t>Keeps most custom columns optional for MVP flexibility.</w:t>
            </w:r>
          </w:p>
        </w:tc>
        <w:tc>
          <w:tcPr>
            <w:tcW w:type="dxa" w:w="2590"/>
            <w:vAlign w:val="top"/>
          </w:tcPr>
          <w:p>
            <w:r/>
            <w:r>
              <w:rPr>
                <w:rFonts w:ascii="Arial" w:hAnsi="Arial"/>
                <w:b w:val="0"/>
                <w:sz w:val="12"/>
              </w:rPr>
              <w:t>Making fields required too early can break integrations and tests.</w:t>
            </w:r>
          </w:p>
        </w:tc>
      </w:tr>
      <w:tr>
        <w:tc>
          <w:tcPr>
            <w:tcW w:type="dxa" w:w="2590"/>
            <w:vAlign w:val="top"/>
          </w:tcPr>
          <w:p>
            <w:r/>
            <w:r>
              <w:rPr>
                <w:rFonts w:ascii="Arial" w:hAnsi="Arial"/>
                <w:b w:val="0"/>
                <w:sz w:val="12"/>
              </w:rPr>
              <w:t>252</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253</w:t>
            </w:r>
          </w:p>
        </w:tc>
        <w:tc>
          <w:tcPr>
            <w:tcW w:type="dxa" w:w="2590"/>
            <w:vAlign w:val="top"/>
          </w:tcPr>
          <w:p>
            <w:r/>
            <w:r>
              <w:rPr>
                <w:rFonts w:ascii="Arial" w:hAnsi="Arial"/>
                <w:b w:val="0"/>
                <w:sz w:val="12"/>
              </w:rPr>
              <w:t xml:space="preserve">    return new AttributeRequiredLevelManagedProperty(AttributeRequiredLevel.None);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254</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255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256</w:t>
            </w:r>
          </w:p>
        </w:tc>
        <w:tc>
          <w:tcPr>
            <w:tcW w:type="dxa" w:w="2590"/>
            <w:vAlign w:val="top"/>
          </w:tcPr>
          <w:p>
            <w:r/>
            <w:r>
              <w:rPr>
                <w:rFonts w:ascii="Arial" w:hAnsi="Arial"/>
                <w:b w:val="0"/>
                <w:sz w:val="12"/>
              </w:rPr>
              <w:t>static StringAttributeMetadata Text(string schemaName, string displayName, int maxLength, string description)</w:t>
            </w:r>
          </w:p>
        </w:tc>
        <w:tc>
          <w:tcPr>
            <w:tcW w:type="dxa" w:w="2590"/>
            <w:vAlign w:val="top"/>
          </w:tcPr>
          <w:p>
            <w:r/>
            <w:r>
              <w:rPr>
                <w:rFonts w:ascii="Arial" w:hAnsi="Arial"/>
                <w:b w:val="0"/>
                <w:sz w:val="12"/>
              </w:rPr>
              <w:t>Defines the helper for single-line text fields.</w:t>
            </w:r>
          </w:p>
        </w:tc>
        <w:tc>
          <w:tcPr>
            <w:tcW w:type="dxa" w:w="2590"/>
            <w:vAlign w:val="top"/>
          </w:tcPr>
          <w:p>
            <w:r/>
            <w:r>
              <w:rPr>
                <w:rFonts w:ascii="Arial" w:hAnsi="Arial"/>
                <w:b w:val="0"/>
                <w:sz w:val="12"/>
              </w:rPr>
              <w:t>Returns StringAttributeMetadata with schema, labels, description, requirement level, and max length.</w:t>
            </w:r>
          </w:p>
        </w:tc>
        <w:tc>
          <w:tcPr>
            <w:tcW w:type="dxa" w:w="2590"/>
            <w:vAlign w:val="top"/>
          </w:tcPr>
          <w:p>
            <w:r/>
            <w:r>
              <w:rPr>
                <w:rFonts w:ascii="Arial" w:hAnsi="Arial"/>
                <w:b w:val="0"/>
                <w:sz w:val="12"/>
              </w:rPr>
              <w:t>Avoids repetitive code for text columns.</w:t>
            </w:r>
          </w:p>
        </w:tc>
        <w:tc>
          <w:tcPr>
            <w:tcW w:type="dxa" w:w="2590"/>
            <w:vAlign w:val="top"/>
          </w:tcPr>
          <w:p>
            <w:r/>
            <w:r>
              <w:rPr>
                <w:rFonts w:ascii="Arial" w:hAnsi="Arial"/>
                <w:b w:val="0"/>
                <w:sz w:val="12"/>
              </w:rPr>
              <w:t>Incorrect max length or schema affects data quality.</w:t>
            </w:r>
          </w:p>
        </w:tc>
      </w:tr>
      <w:tr>
        <w:tc>
          <w:tcPr>
            <w:tcW w:type="dxa" w:w="2590"/>
            <w:vAlign w:val="top"/>
          </w:tcPr>
          <w:p>
            <w:r/>
            <w:r>
              <w:rPr>
                <w:rFonts w:ascii="Arial" w:hAnsi="Arial"/>
                <w:b w:val="0"/>
                <w:sz w:val="12"/>
              </w:rPr>
              <w:t>257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258</w:t>
            </w:r>
          </w:p>
        </w:tc>
        <w:tc>
          <w:tcPr>
            <w:tcW w:type="dxa" w:w="2590"/>
            <w:vAlign w:val="top"/>
          </w:tcPr>
          <w:p>
            <w:r/>
            <w:r>
              <w:rPr>
                <w:rFonts w:ascii="Arial" w:hAnsi="Arial"/>
                <w:b w:val="0"/>
                <w:sz w:val="12"/>
              </w:rPr>
              <w:t xml:space="preserve">    return new StringAttributeMetadata</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259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260</w:t>
            </w:r>
          </w:p>
        </w:tc>
        <w:tc>
          <w:tcPr>
            <w:tcW w:type="dxa" w:w="2590"/>
            <w:vAlign w:val="top"/>
          </w:tcPr>
          <w:p>
            <w:r/>
            <w:r>
              <w:rPr>
                <w:rFonts w:ascii="Arial" w:hAnsi="Arial"/>
                <w:b w:val="0"/>
                <w:sz w:val="12"/>
              </w:rPr>
              <w:t xml:space="preserve">        SchemaName = schemaName,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261</w:t>
            </w:r>
          </w:p>
        </w:tc>
        <w:tc>
          <w:tcPr>
            <w:tcW w:type="dxa" w:w="2590"/>
            <w:vAlign w:val="top"/>
          </w:tcPr>
          <w:p>
            <w:r/>
            <w:r>
              <w:rPr>
                <w:rFonts w:ascii="Arial" w:hAnsi="Arial"/>
                <w:b w:val="0"/>
                <w:sz w:val="12"/>
              </w:rPr>
              <w:t xml:space="preserve">        DisplayName = Label(displayName),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262</w:t>
            </w:r>
          </w:p>
        </w:tc>
        <w:tc>
          <w:tcPr>
            <w:tcW w:type="dxa" w:w="2590"/>
            <w:vAlign w:val="top"/>
          </w:tcPr>
          <w:p>
            <w:r/>
            <w:r>
              <w:rPr>
                <w:rFonts w:ascii="Arial" w:hAnsi="Arial"/>
                <w:b w:val="0"/>
                <w:sz w:val="12"/>
              </w:rPr>
              <w:t xml:space="preserve">        Description = Label(description),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263</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264</w:t>
            </w:r>
          </w:p>
        </w:tc>
        <w:tc>
          <w:tcPr>
            <w:tcW w:type="dxa" w:w="2590"/>
            <w:vAlign w:val="top"/>
          </w:tcPr>
          <w:p>
            <w:r/>
            <w:r>
              <w:rPr>
                <w:rFonts w:ascii="Arial" w:hAnsi="Arial"/>
                <w:b w:val="0"/>
                <w:sz w:val="12"/>
              </w:rPr>
              <w:t xml:space="preserve">        MaxLength = maxLength</w:t>
            </w:r>
          </w:p>
        </w:tc>
        <w:tc>
          <w:tcPr>
            <w:tcW w:type="dxa" w:w="2590"/>
            <w:vAlign w:val="top"/>
          </w:tcPr>
          <w:p>
            <w:r/>
            <w:r>
              <w:rPr>
                <w:rFonts w:ascii="Arial" w:hAnsi="Arial"/>
                <w:b w:val="0"/>
                <w:sz w:val="12"/>
              </w:rPr>
              <w:t>Sets the maximum text length.</w:t>
            </w:r>
          </w:p>
        </w:tc>
        <w:tc>
          <w:tcPr>
            <w:tcW w:type="dxa" w:w="2590"/>
            <w:vAlign w:val="top"/>
          </w:tcPr>
          <w:p>
            <w:r/>
            <w:r>
              <w:rPr>
                <w:rFonts w:ascii="Arial" w:hAnsi="Arial"/>
                <w:b w:val="0"/>
                <w:sz w:val="12"/>
              </w:rPr>
              <w:t>Dataverse validates text length at metadata and runtime levels.</w:t>
            </w:r>
          </w:p>
        </w:tc>
        <w:tc>
          <w:tcPr>
            <w:tcW w:type="dxa" w:w="2590"/>
            <w:vAlign w:val="top"/>
          </w:tcPr>
          <w:p>
            <w:r/>
            <w:r>
              <w:rPr>
                <w:rFonts w:ascii="Arial" w:hAnsi="Arial"/>
                <w:b w:val="0"/>
                <w:sz w:val="12"/>
              </w:rPr>
              <w:t>Prevents uncontrolled field sizes and follows the data model.</w:t>
            </w:r>
          </w:p>
        </w:tc>
        <w:tc>
          <w:tcPr>
            <w:tcW w:type="dxa" w:w="2590"/>
            <w:vAlign w:val="top"/>
          </w:tcPr>
          <w:p>
            <w:r/>
            <w:r>
              <w:rPr>
                <w:rFonts w:ascii="Arial" w:hAnsi="Arial"/>
                <w:b w:val="0"/>
                <w:sz w:val="12"/>
              </w:rPr>
              <w:t>Too small truncates useful data; too large may reduce data quality.</w:t>
            </w:r>
          </w:p>
        </w:tc>
      </w:tr>
      <w:tr>
        <w:tc>
          <w:tcPr>
            <w:tcW w:type="dxa" w:w="2590"/>
            <w:vAlign w:val="top"/>
          </w:tcPr>
          <w:p>
            <w:r/>
            <w:r>
              <w:rPr>
                <w:rFonts w:ascii="Arial" w:hAnsi="Arial"/>
                <w:b w:val="0"/>
                <w:sz w:val="12"/>
              </w:rPr>
              <w:t>265</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266</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267</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268</w:t>
            </w:r>
          </w:p>
        </w:tc>
        <w:tc>
          <w:tcPr>
            <w:tcW w:type="dxa" w:w="2590"/>
            <w:vAlign w:val="top"/>
          </w:tcPr>
          <w:p>
            <w:r/>
            <w:r>
              <w:rPr>
                <w:rFonts w:ascii="Arial" w:hAnsi="Arial"/>
                <w:b w:val="0"/>
                <w:sz w:val="12"/>
              </w:rPr>
              <w:t>static MemoAttributeMetadata Memo(string schemaName, string displayName, string description)</w:t>
            </w:r>
          </w:p>
        </w:tc>
        <w:tc>
          <w:tcPr>
            <w:tcW w:type="dxa" w:w="2590"/>
            <w:vAlign w:val="top"/>
          </w:tcPr>
          <w:p>
            <w:r/>
            <w:r>
              <w:rPr>
                <w:rFonts w:ascii="Arial" w:hAnsi="Arial"/>
                <w:b w:val="0"/>
                <w:sz w:val="12"/>
              </w:rPr>
              <w:t>Defines the helper for multiline text fields.</w:t>
            </w:r>
          </w:p>
        </w:tc>
        <w:tc>
          <w:tcPr>
            <w:tcW w:type="dxa" w:w="2590"/>
            <w:vAlign w:val="top"/>
          </w:tcPr>
          <w:p>
            <w:r/>
            <w:r>
              <w:rPr>
                <w:rFonts w:ascii="Arial" w:hAnsi="Arial"/>
                <w:b w:val="0"/>
                <w:sz w:val="12"/>
              </w:rPr>
              <w:t>Returns MemoAttributeMetadata with schema, labels, description, requirement level, and length.</w:t>
            </w:r>
          </w:p>
        </w:tc>
        <w:tc>
          <w:tcPr>
            <w:tcW w:type="dxa" w:w="2590"/>
            <w:vAlign w:val="top"/>
          </w:tcPr>
          <w:p>
            <w:r/>
            <w:r>
              <w:rPr>
                <w:rFonts w:ascii="Arial" w:hAnsi="Arial"/>
                <w:b w:val="0"/>
                <w:sz w:val="12"/>
              </w:rPr>
              <w:t>Used for payloads and error messages.</w:t>
            </w:r>
          </w:p>
        </w:tc>
        <w:tc>
          <w:tcPr>
            <w:tcW w:type="dxa" w:w="2590"/>
            <w:vAlign w:val="top"/>
          </w:tcPr>
          <w:p>
            <w:r/>
            <w:r>
              <w:rPr>
                <w:rFonts w:ascii="Arial" w:hAnsi="Arial"/>
                <w:b w:val="0"/>
                <w:sz w:val="12"/>
              </w:rPr>
              <w:t>Short text would not be sufficient for these values.</w:t>
            </w:r>
          </w:p>
        </w:tc>
      </w:tr>
      <w:tr>
        <w:tc>
          <w:tcPr>
            <w:tcW w:type="dxa" w:w="2590"/>
            <w:vAlign w:val="top"/>
          </w:tcPr>
          <w:p>
            <w:r/>
            <w:r>
              <w:rPr>
                <w:rFonts w:ascii="Arial" w:hAnsi="Arial"/>
                <w:b w:val="0"/>
                <w:sz w:val="12"/>
              </w:rPr>
              <w:t>269</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270</w:t>
            </w:r>
          </w:p>
        </w:tc>
        <w:tc>
          <w:tcPr>
            <w:tcW w:type="dxa" w:w="2590"/>
            <w:vAlign w:val="top"/>
          </w:tcPr>
          <w:p>
            <w:r/>
            <w:r>
              <w:rPr>
                <w:rFonts w:ascii="Arial" w:hAnsi="Arial"/>
                <w:b w:val="0"/>
                <w:sz w:val="12"/>
              </w:rPr>
              <w:t xml:space="preserve">    return new MemoAttributeMetadata</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272</w:t>
            </w:r>
          </w:p>
        </w:tc>
        <w:tc>
          <w:tcPr>
            <w:tcW w:type="dxa" w:w="2590"/>
            <w:vAlign w:val="top"/>
          </w:tcPr>
          <w:p>
            <w:r/>
            <w:r>
              <w:rPr>
                <w:rFonts w:ascii="Arial" w:hAnsi="Arial"/>
                <w:b w:val="0"/>
                <w:sz w:val="12"/>
              </w:rPr>
              <w:t xml:space="preserve">        SchemaName = schemaName,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273</w:t>
            </w:r>
          </w:p>
        </w:tc>
        <w:tc>
          <w:tcPr>
            <w:tcW w:type="dxa" w:w="2590"/>
            <w:vAlign w:val="top"/>
          </w:tcPr>
          <w:p>
            <w:r/>
            <w:r>
              <w:rPr>
                <w:rFonts w:ascii="Arial" w:hAnsi="Arial"/>
                <w:b w:val="0"/>
                <w:sz w:val="12"/>
              </w:rPr>
              <w:t xml:space="preserve">        DisplayName = Label(displayName),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274</w:t>
            </w:r>
          </w:p>
        </w:tc>
        <w:tc>
          <w:tcPr>
            <w:tcW w:type="dxa" w:w="2590"/>
            <w:vAlign w:val="top"/>
          </w:tcPr>
          <w:p>
            <w:r/>
            <w:r>
              <w:rPr>
                <w:rFonts w:ascii="Arial" w:hAnsi="Arial"/>
                <w:b w:val="0"/>
                <w:sz w:val="12"/>
              </w:rPr>
              <w:t xml:space="preserve">        Description = Label(description),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275</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276</w:t>
            </w:r>
          </w:p>
        </w:tc>
        <w:tc>
          <w:tcPr>
            <w:tcW w:type="dxa" w:w="2590"/>
            <w:vAlign w:val="top"/>
          </w:tcPr>
          <w:p>
            <w:r/>
            <w:r>
              <w:rPr>
                <w:rFonts w:ascii="Arial" w:hAnsi="Arial"/>
                <w:b w:val="0"/>
                <w:sz w:val="12"/>
              </w:rPr>
              <w:t xml:space="preserve">        MaxLength = 4000</w:t>
            </w:r>
          </w:p>
        </w:tc>
        <w:tc>
          <w:tcPr>
            <w:tcW w:type="dxa" w:w="2590"/>
            <w:vAlign w:val="top"/>
          </w:tcPr>
          <w:p>
            <w:r/>
            <w:r>
              <w:rPr>
                <w:rFonts w:ascii="Arial" w:hAnsi="Arial"/>
                <w:b w:val="0"/>
                <w:sz w:val="12"/>
              </w:rPr>
              <w:t>Sets the maximum text length.</w:t>
            </w:r>
          </w:p>
        </w:tc>
        <w:tc>
          <w:tcPr>
            <w:tcW w:type="dxa" w:w="2590"/>
            <w:vAlign w:val="top"/>
          </w:tcPr>
          <w:p>
            <w:r/>
            <w:r>
              <w:rPr>
                <w:rFonts w:ascii="Arial" w:hAnsi="Arial"/>
                <w:b w:val="0"/>
                <w:sz w:val="12"/>
              </w:rPr>
              <w:t>Dataverse validates text length at metadata and runtime levels.</w:t>
            </w:r>
          </w:p>
        </w:tc>
        <w:tc>
          <w:tcPr>
            <w:tcW w:type="dxa" w:w="2590"/>
            <w:vAlign w:val="top"/>
          </w:tcPr>
          <w:p>
            <w:r/>
            <w:r>
              <w:rPr>
                <w:rFonts w:ascii="Arial" w:hAnsi="Arial"/>
                <w:b w:val="0"/>
                <w:sz w:val="12"/>
              </w:rPr>
              <w:t>Prevents uncontrolled field sizes and follows the data model.</w:t>
            </w:r>
          </w:p>
        </w:tc>
        <w:tc>
          <w:tcPr>
            <w:tcW w:type="dxa" w:w="2590"/>
            <w:vAlign w:val="top"/>
          </w:tcPr>
          <w:p>
            <w:r/>
            <w:r>
              <w:rPr>
                <w:rFonts w:ascii="Arial" w:hAnsi="Arial"/>
                <w:b w:val="0"/>
                <w:sz w:val="12"/>
              </w:rPr>
              <w:t>Too small truncates useful data; too large may reduce data quality.</w:t>
            </w:r>
          </w:p>
        </w:tc>
      </w:tr>
      <w:tr>
        <w:tc>
          <w:tcPr>
            <w:tcW w:type="dxa" w:w="2590"/>
            <w:vAlign w:val="top"/>
          </w:tcPr>
          <w:p>
            <w:r/>
            <w:r>
              <w:rPr>
                <w:rFonts w:ascii="Arial" w:hAnsi="Arial"/>
                <w:b w:val="0"/>
                <w:sz w:val="12"/>
              </w:rPr>
              <w:t>277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278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279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280</w:t>
            </w:r>
          </w:p>
        </w:tc>
        <w:tc>
          <w:tcPr>
            <w:tcW w:type="dxa" w:w="2590"/>
            <w:vAlign w:val="top"/>
          </w:tcPr>
          <w:p>
            <w:r/>
            <w:r>
              <w:rPr>
                <w:rFonts w:ascii="Arial" w:hAnsi="Arial"/>
                <w:b w:val="0"/>
                <w:sz w:val="12"/>
              </w:rPr>
              <w:t>static DateTimeAttributeMetadata DateTimeField(string schemaName, string displayName, string description)</w:t>
            </w:r>
          </w:p>
        </w:tc>
        <w:tc>
          <w:tcPr>
            <w:tcW w:type="dxa" w:w="2590"/>
            <w:vAlign w:val="top"/>
          </w:tcPr>
          <w:p>
            <w:r/>
            <w:r>
              <w:rPr>
                <w:rFonts w:ascii="Arial" w:hAnsi="Arial"/>
                <w:b w:val="0"/>
                <w:sz w:val="12"/>
              </w:rPr>
              <w:t>Defines the helper for date/time fields.</w:t>
            </w:r>
          </w:p>
        </w:tc>
        <w:tc>
          <w:tcPr>
            <w:tcW w:type="dxa" w:w="2590"/>
            <w:vAlign w:val="top"/>
          </w:tcPr>
          <w:p>
            <w:r/>
            <w:r>
              <w:rPr>
                <w:rFonts w:ascii="Arial" w:hAnsi="Arial"/>
                <w:b w:val="0"/>
                <w:sz w:val="12"/>
              </w:rPr>
              <w:t>Returns DateTimeAttributeMetadata with DateAndTime format and UserLocal behavior.</w:t>
            </w:r>
          </w:p>
        </w:tc>
        <w:tc>
          <w:tcPr>
            <w:tcW w:type="dxa" w:w="2590"/>
            <w:vAlign w:val="top"/>
          </w:tcPr>
          <w:p>
            <w:r/>
            <w:r>
              <w:rPr>
                <w:rFonts w:ascii="Arial" w:hAnsi="Arial"/>
                <w:b w:val="0"/>
                <w:sz w:val="12"/>
              </w:rPr>
              <w:t>Used for Submitted On and other timestamps.</w:t>
            </w:r>
          </w:p>
        </w:tc>
        <w:tc>
          <w:tcPr>
            <w:tcW w:type="dxa" w:w="2590"/>
            <w:vAlign w:val="top"/>
          </w:tcPr>
          <w:p>
            <w:r/>
            <w:r>
              <w:rPr>
                <w:rFonts w:ascii="Arial" w:hAnsi="Arial"/>
                <w:b w:val="0"/>
                <w:sz w:val="12"/>
              </w:rPr>
              <w:t>Wrong behavior can confuse cross-time-zone users.</w:t>
            </w:r>
          </w:p>
        </w:tc>
      </w:tr>
      <w:tr>
        <w:tc>
          <w:tcPr>
            <w:tcW w:type="dxa" w:w="2590"/>
            <w:vAlign w:val="top"/>
          </w:tcPr>
          <w:p>
            <w:r/>
            <w:r>
              <w:rPr>
                <w:rFonts w:ascii="Arial" w:hAnsi="Arial"/>
                <w:b w:val="0"/>
                <w:sz w:val="12"/>
              </w:rPr>
              <w:t>281</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282</w:t>
            </w:r>
          </w:p>
        </w:tc>
        <w:tc>
          <w:tcPr>
            <w:tcW w:type="dxa" w:w="2590"/>
            <w:vAlign w:val="top"/>
          </w:tcPr>
          <w:p>
            <w:r/>
            <w:r>
              <w:rPr>
                <w:rFonts w:ascii="Arial" w:hAnsi="Arial"/>
                <w:b w:val="0"/>
                <w:sz w:val="12"/>
              </w:rPr>
              <w:t xml:space="preserve">    return new DateTimeAttributeMetadata</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283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284</w:t>
            </w:r>
          </w:p>
        </w:tc>
        <w:tc>
          <w:tcPr>
            <w:tcW w:type="dxa" w:w="2590"/>
            <w:vAlign w:val="top"/>
          </w:tcPr>
          <w:p>
            <w:r/>
            <w:r>
              <w:rPr>
                <w:rFonts w:ascii="Arial" w:hAnsi="Arial"/>
                <w:b w:val="0"/>
                <w:sz w:val="12"/>
              </w:rPr>
              <w:t xml:space="preserve">        SchemaName = schemaName,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285</w:t>
            </w:r>
          </w:p>
        </w:tc>
        <w:tc>
          <w:tcPr>
            <w:tcW w:type="dxa" w:w="2590"/>
            <w:vAlign w:val="top"/>
          </w:tcPr>
          <w:p>
            <w:r/>
            <w:r>
              <w:rPr>
                <w:rFonts w:ascii="Arial" w:hAnsi="Arial"/>
                <w:b w:val="0"/>
                <w:sz w:val="12"/>
              </w:rPr>
              <w:t xml:space="preserve">        DisplayName = Label(displayName),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286</w:t>
            </w:r>
          </w:p>
        </w:tc>
        <w:tc>
          <w:tcPr>
            <w:tcW w:type="dxa" w:w="2590"/>
            <w:vAlign w:val="top"/>
          </w:tcPr>
          <w:p>
            <w:r/>
            <w:r>
              <w:rPr>
                <w:rFonts w:ascii="Arial" w:hAnsi="Arial"/>
                <w:b w:val="0"/>
                <w:sz w:val="12"/>
              </w:rPr>
              <w:t xml:space="preserve">        Description = Label(description),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287</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288</w:t>
            </w:r>
          </w:p>
        </w:tc>
        <w:tc>
          <w:tcPr>
            <w:tcW w:type="dxa" w:w="2590"/>
            <w:vAlign w:val="top"/>
          </w:tcPr>
          <w:p>
            <w:r/>
            <w:r>
              <w:rPr>
                <w:rFonts w:ascii="Arial" w:hAnsi="Arial"/>
                <w:b w:val="0"/>
                <w:sz w:val="12"/>
              </w:rPr>
              <w:t xml:space="preserve">        Format = DateTimeFormat.DateAndTime,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289</w:t>
            </w:r>
          </w:p>
        </w:tc>
        <w:tc>
          <w:tcPr>
            <w:tcW w:type="dxa" w:w="2590"/>
            <w:vAlign w:val="top"/>
          </w:tcPr>
          <w:p>
            <w:r/>
            <w:r>
              <w:rPr>
                <w:rFonts w:ascii="Arial" w:hAnsi="Arial"/>
                <w:b w:val="0"/>
                <w:sz w:val="12"/>
              </w:rPr>
              <w:t xml:space="preserve">        DateTimeBehavior = DateTimeBehavior.UserLocal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290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291</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293</w:t>
            </w:r>
          </w:p>
        </w:tc>
        <w:tc>
          <w:tcPr>
            <w:tcW w:type="dxa" w:w="2590"/>
            <w:vAlign w:val="top"/>
          </w:tcPr>
          <w:p>
            <w:r/>
            <w:r>
              <w:rPr>
                <w:rFonts w:ascii="Arial" w:hAnsi="Arial"/>
                <w:b w:val="0"/>
                <w:sz w:val="12"/>
              </w:rPr>
              <w:t>static PicklistAttributeMetadata LocalChoice(string schemaName, string displayName, string[] values, string description)</w:t>
            </w:r>
          </w:p>
        </w:tc>
        <w:tc>
          <w:tcPr>
            <w:tcW w:type="dxa" w:w="2590"/>
            <w:vAlign w:val="top"/>
          </w:tcPr>
          <w:p>
            <w:r/>
            <w:r>
              <w:rPr>
                <w:rFonts w:ascii="Arial" w:hAnsi="Arial"/>
                <w:b w:val="0"/>
                <w:sz w:val="12"/>
              </w:rPr>
              <w:t>Defines the helper for local choice columns.</w:t>
            </w:r>
          </w:p>
        </w:tc>
        <w:tc>
          <w:tcPr>
            <w:tcW w:type="dxa" w:w="2590"/>
            <w:vAlign w:val="top"/>
          </w:tcPr>
          <w:p>
            <w:r/>
            <w:r>
              <w:rPr>
                <w:rFonts w:ascii="Arial" w:hAnsi="Arial"/>
                <w:b w:val="0"/>
                <w:sz w:val="12"/>
              </w:rPr>
              <w:t>Creates a PicklistAttributeMetadata object backed by a non-global OptionSetMetadata.</w:t>
            </w:r>
          </w:p>
        </w:tc>
        <w:tc>
          <w:tcPr>
            <w:tcW w:type="dxa" w:w="2590"/>
            <w:vAlign w:val="top"/>
          </w:tcPr>
          <w:p>
            <w:r/>
            <w:r>
              <w:rPr>
                <w:rFonts w:ascii="Arial" w:hAnsi="Arial"/>
                <w:b w:val="0"/>
                <w:sz w:val="12"/>
              </w:rPr>
              <w:t>Used for table-specific action/status choices.</w:t>
            </w:r>
          </w:p>
        </w:tc>
        <w:tc>
          <w:tcPr>
            <w:tcW w:type="dxa" w:w="2590"/>
            <w:vAlign w:val="top"/>
          </w:tcPr>
          <w:p>
            <w:r/>
            <w:r>
              <w:rPr>
                <w:rFonts w:ascii="Arial" w:hAnsi="Arial"/>
                <w:b w:val="0"/>
                <w:sz w:val="12"/>
              </w:rPr>
              <w:t>If a reusable taxonomy is needed later, a global choice may be preferable.</w:t>
            </w:r>
          </w:p>
        </w:tc>
      </w:tr>
      <w:tr>
        <w:tc>
          <w:tcPr>
            <w:tcW w:type="dxa" w:w="2590"/>
            <w:vAlign w:val="top"/>
          </w:tcPr>
          <w:p>
            <w:r/>
            <w:r>
              <w:rPr>
                <w:rFonts w:ascii="Arial" w:hAnsi="Arial"/>
                <w:b w:val="0"/>
                <w:sz w:val="12"/>
              </w:rPr>
              <w:t>294</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295</w:t>
            </w:r>
          </w:p>
        </w:tc>
        <w:tc>
          <w:tcPr>
            <w:tcW w:type="dxa" w:w="2590"/>
            <w:vAlign w:val="top"/>
          </w:tcPr>
          <w:p>
            <w:r/>
            <w:r>
              <w:rPr>
                <w:rFonts w:ascii="Arial" w:hAnsi="Arial"/>
                <w:b w:val="0"/>
                <w:sz w:val="12"/>
              </w:rPr>
              <w:t xml:space="preserve">    var optionSet = new OptionSetMetadata</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296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297</w:t>
            </w:r>
          </w:p>
        </w:tc>
        <w:tc>
          <w:tcPr>
            <w:tcW w:type="dxa" w:w="2590"/>
            <w:vAlign w:val="top"/>
          </w:tcPr>
          <w:p>
            <w:r/>
            <w:r>
              <w:rPr>
                <w:rFonts w:ascii="Arial" w:hAnsi="Arial"/>
                <w:b w:val="0"/>
                <w:sz w:val="12"/>
              </w:rPr>
              <w:t xml:space="preserve">        IsGlobal = false,</w:t>
            </w:r>
          </w:p>
        </w:tc>
        <w:tc>
          <w:tcPr>
            <w:tcW w:type="dxa" w:w="2590"/>
            <w:vAlign w:val="top"/>
          </w:tcPr>
          <w:p>
            <w:r/>
            <w:r>
              <w:rPr>
                <w:rFonts w:ascii="Arial" w:hAnsi="Arial"/>
                <w:b w:val="0"/>
                <w:sz w:val="12"/>
              </w:rPr>
              <w:t>Marks the option set as local to the column.</w:t>
            </w:r>
          </w:p>
        </w:tc>
        <w:tc>
          <w:tcPr>
            <w:tcW w:type="dxa" w:w="2590"/>
            <w:vAlign w:val="top"/>
          </w:tcPr>
          <w:p>
            <w:r/>
            <w:r>
              <w:rPr>
                <w:rFonts w:ascii="Arial" w:hAnsi="Arial"/>
                <w:b w:val="0"/>
                <w:sz w:val="12"/>
              </w:rPr>
              <w:t>The choice values live on this field only.</w:t>
            </w:r>
          </w:p>
        </w:tc>
        <w:tc>
          <w:tcPr>
            <w:tcW w:type="dxa" w:w="2590"/>
            <w:vAlign w:val="top"/>
          </w:tcPr>
          <w:p>
            <w:r/>
            <w:r>
              <w:rPr>
                <w:rFonts w:ascii="Arial" w:hAnsi="Arial"/>
                <w:b w:val="0"/>
                <w:sz w:val="12"/>
              </w:rPr>
              <w:t>Appropriate for Pending Commercial Action-specific choices.</w:t>
            </w:r>
          </w:p>
        </w:tc>
        <w:tc>
          <w:tcPr>
            <w:tcW w:type="dxa" w:w="2590"/>
            <w:vAlign w:val="top"/>
          </w:tcPr>
          <w:p>
            <w:r/>
            <w:r>
              <w:rPr>
                <w:rFonts w:ascii="Arial" w:hAnsi="Arial"/>
                <w:b w:val="0"/>
                <w:sz w:val="12"/>
              </w:rPr>
              <w:t>Do not use local choices when cross-table consistency is required.</w:t>
            </w:r>
          </w:p>
        </w:tc>
      </w:tr>
      <w:tr>
        <w:tc>
          <w:tcPr>
            <w:tcW w:type="dxa" w:w="2590"/>
            <w:vAlign w:val="top"/>
          </w:tcPr>
          <w:p>
            <w:r/>
            <w:r>
              <w:rPr>
                <w:rFonts w:ascii="Arial" w:hAnsi="Arial"/>
                <w:b w:val="0"/>
                <w:sz w:val="12"/>
              </w:rPr>
              <w:t>298</w:t>
            </w:r>
          </w:p>
        </w:tc>
        <w:tc>
          <w:tcPr>
            <w:tcW w:type="dxa" w:w="2590"/>
            <w:vAlign w:val="top"/>
          </w:tcPr>
          <w:p>
            <w:r/>
            <w:r>
              <w:rPr>
                <w:rFonts w:ascii="Arial" w:hAnsi="Arial"/>
                <w:b w:val="0"/>
                <w:sz w:val="12"/>
              </w:rPr>
              <w:t xml:space="preserve">        OptionSetType = OptionSetType.Picklist</w:t>
            </w:r>
          </w:p>
        </w:tc>
        <w:tc>
          <w:tcPr>
            <w:tcW w:type="dxa" w:w="2590"/>
            <w:vAlign w:val="top"/>
          </w:tcPr>
          <w:p>
            <w:r/>
            <w:r>
              <w:rPr>
                <w:rFonts w:ascii="Arial" w:hAnsi="Arial"/>
                <w:b w:val="0"/>
                <w:sz w:val="12"/>
              </w:rPr>
              <w:t>Specifies a standard choice/picklist option set.</w:t>
            </w:r>
          </w:p>
        </w:tc>
        <w:tc>
          <w:tcPr>
            <w:tcW w:type="dxa" w:w="2590"/>
            <w:vAlign w:val="top"/>
          </w:tcPr>
          <w:p>
            <w:r/>
            <w:r>
              <w:rPr>
                <w:rFonts w:ascii="Arial" w:hAnsi="Arial"/>
                <w:b w:val="0"/>
                <w:sz w:val="12"/>
              </w:rPr>
              <w:t>Dataverse supports multiple option set types; this one is for single-choice fields.</w:t>
            </w:r>
          </w:p>
        </w:tc>
        <w:tc>
          <w:tcPr>
            <w:tcW w:type="dxa" w:w="2590"/>
            <w:vAlign w:val="top"/>
          </w:tcPr>
          <w:p>
            <w:r/>
            <w:r>
              <w:rPr>
                <w:rFonts w:ascii="Arial" w:hAnsi="Arial"/>
                <w:b w:val="0"/>
                <w:sz w:val="12"/>
              </w:rPr>
              <w:t>Needed for Action Type and Status fields.</w:t>
            </w:r>
          </w:p>
        </w:tc>
        <w:tc>
          <w:tcPr>
            <w:tcW w:type="dxa" w:w="2590"/>
            <w:vAlign w:val="top"/>
          </w:tcPr>
          <w:p>
            <w:r/>
            <w:r>
              <w:rPr>
                <w:rFonts w:ascii="Arial" w:hAnsi="Arial"/>
                <w:b w:val="0"/>
                <w:sz w:val="12"/>
              </w:rPr>
              <w:t>Wrong option set type causes invalid metadata.</w:t>
            </w:r>
          </w:p>
        </w:tc>
      </w:tr>
      <w:tr>
        <w:tc>
          <w:tcPr>
            <w:tcW w:type="dxa" w:w="2590"/>
            <w:vAlign w:val="top"/>
          </w:tcPr>
          <w:p>
            <w:r/>
            <w:r>
              <w:rPr>
                <w:rFonts w:ascii="Arial" w:hAnsi="Arial"/>
                <w:b w:val="0"/>
                <w:sz w:val="12"/>
              </w:rPr>
              <w:t>299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300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301</w:t>
            </w:r>
          </w:p>
        </w:tc>
        <w:tc>
          <w:tcPr>
            <w:tcW w:type="dxa" w:w="2590"/>
            <w:vAlign w:val="top"/>
          </w:tcPr>
          <w:p>
            <w:r/>
            <w:r>
              <w:rPr>
                <w:rFonts w:ascii="Arial" w:hAnsi="Arial"/>
                <w:b w:val="0"/>
                <w:sz w:val="12"/>
              </w:rPr>
              <w:t xml:space="preserve">    foreach (var value in values)</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302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303</w:t>
            </w:r>
          </w:p>
        </w:tc>
        <w:tc>
          <w:tcPr>
            <w:tcW w:type="dxa" w:w="2590"/>
            <w:vAlign w:val="top"/>
          </w:tcPr>
          <w:p>
            <w:r/>
            <w:r>
              <w:rPr>
                <w:rFonts w:ascii="Arial" w:hAnsi="Arial"/>
                <w:b w:val="0"/>
                <w:sz w:val="12"/>
              </w:rPr>
              <w:t xml:space="preserve">        optionSet.Options.Add(new OptionMetadata(Label(value), null));</w:t>
            </w:r>
          </w:p>
        </w:tc>
        <w:tc>
          <w:tcPr>
            <w:tcW w:type="dxa" w:w="2590"/>
            <w:vAlign w:val="top"/>
          </w:tcPr>
          <w:p>
            <w:r/>
            <w:r>
              <w:rPr>
                <w:rFonts w:ascii="Arial" w:hAnsi="Arial"/>
                <w:b w:val="0"/>
                <w:sz w:val="12"/>
              </w:rPr>
              <w:t>Adds one option value to the choice field.</w:t>
            </w:r>
          </w:p>
        </w:tc>
        <w:tc>
          <w:tcPr>
            <w:tcW w:type="dxa" w:w="2590"/>
            <w:vAlign w:val="top"/>
          </w:tcPr>
          <w:p>
            <w:r/>
            <w:r>
              <w:rPr>
                <w:rFonts w:ascii="Arial" w:hAnsi="Arial"/>
                <w:b w:val="0"/>
                <w:sz w:val="12"/>
              </w:rPr>
              <w:t>Each string in the values array becomes an OptionMetadata entry.</w:t>
            </w:r>
          </w:p>
        </w:tc>
        <w:tc>
          <w:tcPr>
            <w:tcW w:type="dxa" w:w="2590"/>
            <w:vAlign w:val="top"/>
          </w:tcPr>
          <w:p>
            <w:r/>
            <w:r>
              <w:rPr>
                <w:rFonts w:ascii="Arial" w:hAnsi="Arial"/>
                <w:b w:val="0"/>
                <w:sz w:val="12"/>
              </w:rPr>
              <w:t>Creates the selectable values visible in Power Apps.</w:t>
            </w:r>
          </w:p>
        </w:tc>
        <w:tc>
          <w:tcPr>
            <w:tcW w:type="dxa" w:w="2590"/>
            <w:vAlign w:val="top"/>
          </w:tcPr>
          <w:p>
            <w:r/>
            <w:r>
              <w:rPr>
                <w:rFonts w:ascii="Arial" w:hAnsi="Arial"/>
                <w:b w:val="0"/>
                <w:sz w:val="12"/>
              </w:rPr>
              <w:t>Incorrect labels create wrong user-facing status/action values.</w:t>
            </w:r>
          </w:p>
        </w:tc>
      </w:tr>
      <w:tr>
        <w:tc>
          <w:tcPr>
            <w:tcW w:type="dxa" w:w="2590"/>
            <w:vAlign w:val="top"/>
          </w:tcPr>
          <w:p>
            <w:r/>
            <w:r>
              <w:rPr>
                <w:rFonts w:ascii="Arial" w:hAnsi="Arial"/>
                <w:b w:val="0"/>
                <w:sz w:val="12"/>
              </w:rPr>
              <w:t>304</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305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306</w:t>
            </w:r>
          </w:p>
        </w:tc>
        <w:tc>
          <w:tcPr>
            <w:tcW w:type="dxa" w:w="2590"/>
            <w:vAlign w:val="top"/>
          </w:tcPr>
          <w:p>
            <w:r/>
            <w:r>
              <w:rPr>
                <w:rFonts w:ascii="Arial" w:hAnsi="Arial"/>
                <w:b w:val="0"/>
                <w:sz w:val="12"/>
              </w:rPr>
              <w:t xml:space="preserve">    return new PicklistAttributeMetadata</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307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308</w:t>
            </w:r>
          </w:p>
        </w:tc>
        <w:tc>
          <w:tcPr>
            <w:tcW w:type="dxa" w:w="2590"/>
            <w:vAlign w:val="top"/>
          </w:tcPr>
          <w:p>
            <w:r/>
            <w:r>
              <w:rPr>
                <w:rFonts w:ascii="Arial" w:hAnsi="Arial"/>
                <w:b w:val="0"/>
                <w:sz w:val="12"/>
              </w:rPr>
              <w:t xml:space="preserve">        SchemaName = schemaName,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309</w:t>
            </w:r>
          </w:p>
        </w:tc>
        <w:tc>
          <w:tcPr>
            <w:tcW w:type="dxa" w:w="2590"/>
            <w:vAlign w:val="top"/>
          </w:tcPr>
          <w:p>
            <w:r/>
            <w:r>
              <w:rPr>
                <w:rFonts w:ascii="Arial" w:hAnsi="Arial"/>
                <w:b w:val="0"/>
                <w:sz w:val="12"/>
              </w:rPr>
              <w:t xml:space="preserve">        DisplayName = Label(displayName),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310</w:t>
            </w:r>
          </w:p>
        </w:tc>
        <w:tc>
          <w:tcPr>
            <w:tcW w:type="dxa" w:w="2590"/>
            <w:vAlign w:val="top"/>
          </w:tcPr>
          <w:p>
            <w:r/>
            <w:r>
              <w:rPr>
                <w:rFonts w:ascii="Arial" w:hAnsi="Arial"/>
                <w:b w:val="0"/>
                <w:sz w:val="12"/>
              </w:rPr>
              <w:t xml:space="preserve">        Description = Label(description),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311</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312</w:t>
            </w:r>
          </w:p>
        </w:tc>
        <w:tc>
          <w:tcPr>
            <w:tcW w:type="dxa" w:w="2590"/>
            <w:vAlign w:val="top"/>
          </w:tcPr>
          <w:p>
            <w:r/>
            <w:r>
              <w:rPr>
                <w:rFonts w:ascii="Arial" w:hAnsi="Arial"/>
                <w:b w:val="0"/>
                <w:sz w:val="12"/>
              </w:rPr>
              <w:t xml:space="preserve">        OptionSet = optionSet</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313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314</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315</w:t>
            </w:r>
          </w:p>
        </w:tc>
        <w:tc>
          <w:tcPr>
            <w:tcW w:type="dxa" w:w="2590"/>
            <w:vAlign w:val="top"/>
          </w:tcPr>
          <w:p>
            <w:r/>
            <w:r>
              <w:rPr>
                <w:rFonts w:ascii="Arial" w:hAnsi="Arial"/>
                <w:b w:val="0"/>
                <w:sz w:val="12"/>
              </w:rPr>
              <w:t>EOF</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bl>
    <w:p/>
    <w:p>
      <w:pPr>
        <w:pStyle w:val="Heading2"/>
      </w:pPr>
      <w:r>
        <w:t>Appendix - Full initial script</w:t>
      </w:r>
    </w:p>
    <w:p>
      <w:pPr>
        <w:pStyle w:val="NoSpacing"/>
      </w:pPr>
      <w:r>
        <w:rPr>
          <w:rFonts w:ascii="Courier New" w:hAnsi="Courier New"/>
          <w:sz w:val="12"/>
        </w:rPr>
        <w:t>001: using Microsoft.Crm.Sdk.Messages;</w:t>
      </w:r>
    </w:p>
    <w:p>
      <w:pPr>
        <w:pStyle w:val="NoSpacing"/>
      </w:pPr>
      <w:r>
        <w:rPr>
          <w:rFonts w:ascii="Courier New" w:hAnsi="Courier New"/>
          <w:sz w:val="12"/>
        </w:rPr>
        <w:t>002: using Microsoft.PowerPlatform.Dataverse.Client;</w:t>
      </w:r>
    </w:p>
    <w:p>
      <w:pPr>
        <w:pStyle w:val="NoSpacing"/>
      </w:pPr>
      <w:r>
        <w:rPr>
          <w:rFonts w:ascii="Courier New" w:hAnsi="Courier New"/>
          <w:sz w:val="12"/>
        </w:rPr>
        <w:t>003: using Microsoft.Xrm.Sdk;</w:t>
      </w:r>
    </w:p>
    <w:p>
      <w:pPr>
        <w:pStyle w:val="NoSpacing"/>
      </w:pPr>
      <w:r>
        <w:rPr>
          <w:rFonts w:ascii="Courier New" w:hAnsi="Courier New"/>
          <w:sz w:val="12"/>
        </w:rPr>
        <w:t>004: using Microsoft.Xrm.Sdk.Messages;</w:t>
      </w:r>
    </w:p>
    <w:p>
      <w:pPr>
        <w:pStyle w:val="NoSpacing"/>
      </w:pPr>
      <w:r>
        <w:rPr>
          <w:rFonts w:ascii="Courier New" w:hAnsi="Courier New"/>
          <w:sz w:val="12"/>
        </w:rPr>
        <w:t>005: using Microsoft.Xrm.Sdk.Metadata;</w:t>
      </w:r>
    </w:p>
    <w:p>
      <w:pPr>
        <w:pStyle w:val="NoSpacing"/>
      </w:pPr>
      <w:r>
        <w:rPr>
          <w:rFonts w:ascii="Courier New" w:hAnsi="Courier New"/>
          <w:sz w:val="12"/>
        </w:rPr>
        <w:t xml:space="preserve">006: </w:t>
      </w:r>
    </w:p>
    <w:p>
      <w:pPr>
        <w:pStyle w:val="NoSpacing"/>
      </w:pPr>
      <w:r>
        <w:rPr>
          <w:rFonts w:ascii="Courier New" w:hAnsi="Courier New"/>
          <w:sz w:val="12"/>
        </w:rPr>
        <w:t>007: const string DataverseUrl = "https://phoenicarix-ci.crm4.dynamics.com";</w:t>
      </w:r>
    </w:p>
    <w:p>
      <w:pPr>
        <w:pStyle w:val="NoSpacing"/>
      </w:pPr>
      <w:r>
        <w:rPr>
          <w:rFonts w:ascii="Courier New" w:hAnsi="Courier New"/>
          <w:sz w:val="12"/>
        </w:rPr>
        <w:t>008: const string SolutionUniqueName = "ASOCore";</w:t>
      </w:r>
    </w:p>
    <w:p>
      <w:pPr>
        <w:pStyle w:val="NoSpacing"/>
      </w:pPr>
      <w:r>
        <w:rPr>
          <w:rFonts w:ascii="Courier New" w:hAnsi="Courier New"/>
          <w:sz w:val="12"/>
        </w:rPr>
        <w:t>009: const string EntityLogicalName = "aso_pendingcommercialaction";</w:t>
      </w:r>
    </w:p>
    <w:p>
      <w:pPr>
        <w:pStyle w:val="NoSpacing"/>
      </w:pPr>
      <w:r>
        <w:rPr>
          <w:rFonts w:ascii="Courier New" w:hAnsi="Courier New"/>
          <w:sz w:val="12"/>
        </w:rPr>
        <w:t>010: const int LanguageCode = 1033;</w:t>
      </w:r>
    </w:p>
    <w:p>
      <w:pPr>
        <w:pStyle w:val="NoSpacing"/>
      </w:pPr>
      <w:r>
        <w:rPr>
          <w:rFonts w:ascii="Courier New" w:hAnsi="Courier New"/>
          <w:sz w:val="12"/>
        </w:rPr>
        <w:t xml:space="preserve">011: </w:t>
      </w:r>
    </w:p>
    <w:p>
      <w:pPr>
        <w:pStyle w:val="NoSpacing"/>
      </w:pPr>
      <w:r>
        <w:rPr>
          <w:rFonts w:ascii="Courier New" w:hAnsi="Courier New"/>
          <w:sz w:val="12"/>
        </w:rPr>
        <w:t>012: var connectionString =</w:t>
      </w:r>
    </w:p>
    <w:p>
      <w:pPr>
        <w:pStyle w:val="NoSpacing"/>
      </w:pPr>
      <w:r>
        <w:rPr>
          <w:rFonts w:ascii="Courier New" w:hAnsi="Courier New"/>
          <w:sz w:val="12"/>
        </w:rPr>
        <w:t>013:     $@"AuthType=OAuth;</w:t>
      </w:r>
    </w:p>
    <w:p>
      <w:pPr>
        <w:pStyle w:val="NoSpacing"/>
      </w:pPr>
      <w:r>
        <w:rPr>
          <w:rFonts w:ascii="Courier New" w:hAnsi="Courier New"/>
          <w:sz w:val="12"/>
        </w:rPr>
        <w:t>014:        Url={DataverseUrl};</w:t>
      </w:r>
    </w:p>
    <w:p>
      <w:pPr>
        <w:pStyle w:val="NoSpacing"/>
      </w:pPr>
      <w:r>
        <w:rPr>
          <w:rFonts w:ascii="Courier New" w:hAnsi="Courier New"/>
          <w:sz w:val="12"/>
        </w:rPr>
        <w:t>015:        LoginPrompt=Auto;</w:t>
      </w:r>
    </w:p>
    <w:p>
      <w:pPr>
        <w:pStyle w:val="NoSpacing"/>
      </w:pPr>
      <w:r>
        <w:rPr>
          <w:rFonts w:ascii="Courier New" w:hAnsi="Courier New"/>
          <w:sz w:val="12"/>
        </w:rPr>
        <w:t>016:        ClientId=51f81489-12ee-4a9e-aaae-a2591f45987d;</w:t>
      </w:r>
    </w:p>
    <w:p>
      <w:pPr>
        <w:pStyle w:val="NoSpacing"/>
      </w:pPr>
      <w:r>
        <w:rPr>
          <w:rFonts w:ascii="Courier New" w:hAnsi="Courier New"/>
          <w:sz w:val="12"/>
        </w:rPr>
        <w:t>017:        RedirectUri=http://localhost";</w:t>
      </w:r>
    </w:p>
    <w:p>
      <w:pPr>
        <w:pStyle w:val="NoSpacing"/>
      </w:pPr>
      <w:r>
        <w:rPr>
          <w:rFonts w:ascii="Courier New" w:hAnsi="Courier New"/>
          <w:sz w:val="12"/>
        </w:rPr>
        <w:t xml:space="preserve">018: </w:t>
      </w:r>
    </w:p>
    <w:p>
      <w:pPr>
        <w:pStyle w:val="NoSpacing"/>
      </w:pPr>
      <w:r>
        <w:rPr>
          <w:rFonts w:ascii="Courier New" w:hAnsi="Courier New"/>
          <w:sz w:val="12"/>
        </w:rPr>
        <w:t>019: using var service = new ServiceClient(connectionString);</w:t>
      </w:r>
    </w:p>
    <w:p>
      <w:pPr>
        <w:pStyle w:val="NoSpacing"/>
      </w:pPr>
      <w:r>
        <w:rPr>
          <w:rFonts w:ascii="Courier New" w:hAnsi="Courier New"/>
          <w:sz w:val="12"/>
        </w:rPr>
        <w:t xml:space="preserve">020: </w:t>
      </w:r>
    </w:p>
    <w:p>
      <w:pPr>
        <w:pStyle w:val="NoSpacing"/>
      </w:pPr>
      <w:r>
        <w:rPr>
          <w:rFonts w:ascii="Courier New" w:hAnsi="Courier New"/>
          <w:sz w:val="12"/>
        </w:rPr>
        <w:t>021: if (!service.IsReady)</w:t>
      </w:r>
    </w:p>
    <w:p>
      <w:pPr>
        <w:pStyle w:val="NoSpacing"/>
      </w:pPr>
      <w:r>
        <w:rPr>
          <w:rFonts w:ascii="Courier New" w:hAnsi="Courier New"/>
          <w:sz w:val="12"/>
        </w:rPr>
        <w:t>022: {</w:t>
      </w:r>
    </w:p>
    <w:p>
      <w:pPr>
        <w:pStyle w:val="NoSpacing"/>
      </w:pPr>
      <w:r>
        <w:rPr>
          <w:rFonts w:ascii="Courier New" w:hAnsi="Courier New"/>
          <w:sz w:val="12"/>
        </w:rPr>
        <w:t>023:     Console.ForegroundColor = ConsoleColor.Red;</w:t>
      </w:r>
    </w:p>
    <w:p>
      <w:pPr>
        <w:pStyle w:val="NoSpacing"/>
      </w:pPr>
      <w:r>
        <w:rPr>
          <w:rFonts w:ascii="Courier New" w:hAnsi="Courier New"/>
          <w:sz w:val="12"/>
        </w:rPr>
        <w:t>024:     Console.WriteLine("Connection failed:");</w:t>
      </w:r>
    </w:p>
    <w:p>
      <w:pPr>
        <w:pStyle w:val="NoSpacing"/>
      </w:pPr>
      <w:r>
        <w:rPr>
          <w:rFonts w:ascii="Courier New" w:hAnsi="Courier New"/>
          <w:sz w:val="12"/>
        </w:rPr>
        <w:t>025:     Console.WriteLine(service.LastError);</w:t>
      </w:r>
    </w:p>
    <w:p>
      <w:pPr>
        <w:pStyle w:val="NoSpacing"/>
      </w:pPr>
      <w:r>
        <w:rPr>
          <w:rFonts w:ascii="Courier New" w:hAnsi="Courier New"/>
          <w:sz w:val="12"/>
        </w:rPr>
        <w:t>026:     Console.ResetColor();</w:t>
      </w:r>
    </w:p>
    <w:p>
      <w:pPr>
        <w:pStyle w:val="NoSpacing"/>
      </w:pPr>
      <w:r>
        <w:rPr>
          <w:rFonts w:ascii="Courier New" w:hAnsi="Courier New"/>
          <w:sz w:val="12"/>
        </w:rPr>
        <w:t>027:     return;</w:t>
      </w:r>
    </w:p>
    <w:p>
      <w:pPr>
        <w:pStyle w:val="NoSpacing"/>
      </w:pPr>
      <w:r>
        <w:rPr>
          <w:rFonts w:ascii="Courier New" w:hAnsi="Courier New"/>
          <w:sz w:val="12"/>
        </w:rPr>
        <w:t>028: }</w:t>
      </w:r>
    </w:p>
    <w:p>
      <w:pPr>
        <w:pStyle w:val="NoSpacing"/>
      </w:pPr>
      <w:r>
        <w:rPr>
          <w:rFonts w:ascii="Courier New" w:hAnsi="Courier New"/>
          <w:sz w:val="12"/>
        </w:rPr>
        <w:t xml:space="preserve">029: </w:t>
      </w:r>
    </w:p>
    <w:p>
      <w:pPr>
        <w:pStyle w:val="NoSpacing"/>
      </w:pPr>
      <w:r>
        <w:rPr>
          <w:rFonts w:ascii="Courier New" w:hAnsi="Courier New"/>
          <w:sz w:val="12"/>
        </w:rPr>
        <w:t>030: Console.WriteLine($"Connected to: {DataverseUrl}");</w:t>
      </w:r>
    </w:p>
    <w:p>
      <w:pPr>
        <w:pStyle w:val="NoSpacing"/>
      </w:pPr>
      <w:r>
        <w:rPr>
          <w:rFonts w:ascii="Courier New" w:hAnsi="Courier New"/>
          <w:sz w:val="12"/>
        </w:rPr>
        <w:t>031: Console.WriteLine($"Target solution: {SolutionUniqueName}");</w:t>
      </w:r>
    </w:p>
    <w:p>
      <w:pPr>
        <w:pStyle w:val="NoSpacing"/>
      </w:pPr>
      <w:r>
        <w:rPr>
          <w:rFonts w:ascii="Courier New" w:hAnsi="Courier New"/>
          <w:sz w:val="12"/>
        </w:rPr>
        <w:t>032: Console.WriteLine($"Target table: {EntityLogicalName}");</w:t>
      </w:r>
    </w:p>
    <w:p>
      <w:pPr>
        <w:pStyle w:val="NoSpacing"/>
      </w:pPr>
      <w:r>
        <w:rPr>
          <w:rFonts w:ascii="Courier New" w:hAnsi="Courier New"/>
          <w:sz w:val="12"/>
        </w:rPr>
        <w:t>033: Console.WriteLine();</w:t>
      </w:r>
    </w:p>
    <w:p>
      <w:pPr>
        <w:pStyle w:val="NoSpacing"/>
      </w:pPr>
      <w:r>
        <w:rPr>
          <w:rFonts w:ascii="Courier New" w:hAnsi="Courier New"/>
          <w:sz w:val="12"/>
        </w:rPr>
        <w:t xml:space="preserve">034: </w:t>
      </w:r>
    </w:p>
    <w:p>
      <w:pPr>
        <w:pStyle w:val="NoSpacing"/>
      </w:pPr>
      <w:r>
        <w:rPr>
          <w:rFonts w:ascii="Courier New" w:hAnsi="Courier New"/>
          <w:sz w:val="12"/>
        </w:rPr>
        <w:t>035: if (!EntityExists(service, EntityLogicalName))</w:t>
      </w:r>
    </w:p>
    <w:p>
      <w:pPr>
        <w:pStyle w:val="NoSpacing"/>
      </w:pPr>
      <w:r>
        <w:rPr>
          <w:rFonts w:ascii="Courier New" w:hAnsi="Courier New"/>
          <w:sz w:val="12"/>
        </w:rPr>
        <w:t>036: {</w:t>
      </w:r>
    </w:p>
    <w:p>
      <w:pPr>
        <w:pStyle w:val="NoSpacing"/>
      </w:pPr>
      <w:r>
        <w:rPr>
          <w:rFonts w:ascii="Courier New" w:hAnsi="Courier New"/>
          <w:sz w:val="12"/>
        </w:rPr>
        <w:t>037:     Console.WriteLine("Creating Pending Commercial Action table...");</w:t>
      </w:r>
    </w:p>
    <w:p>
      <w:pPr>
        <w:pStyle w:val="NoSpacing"/>
      </w:pPr>
      <w:r>
        <w:rPr>
          <w:rFonts w:ascii="Courier New" w:hAnsi="Courier New"/>
          <w:sz w:val="12"/>
        </w:rPr>
        <w:t xml:space="preserve">038: </w:t>
      </w:r>
    </w:p>
    <w:p>
      <w:pPr>
        <w:pStyle w:val="NoSpacing"/>
      </w:pPr>
      <w:r>
        <w:rPr>
          <w:rFonts w:ascii="Courier New" w:hAnsi="Courier New"/>
          <w:sz w:val="12"/>
        </w:rPr>
        <w:t>039:     var createEntityRequest = new CreateEntityRequest</w:t>
      </w:r>
    </w:p>
    <w:p>
      <w:pPr>
        <w:pStyle w:val="NoSpacing"/>
      </w:pPr>
      <w:r>
        <w:rPr>
          <w:rFonts w:ascii="Courier New" w:hAnsi="Courier New"/>
          <w:sz w:val="12"/>
        </w:rPr>
        <w:t>040:     {</w:t>
      </w:r>
    </w:p>
    <w:p>
      <w:pPr>
        <w:pStyle w:val="NoSpacing"/>
      </w:pPr>
      <w:r>
        <w:rPr>
          <w:rFonts w:ascii="Courier New" w:hAnsi="Courier New"/>
          <w:sz w:val="12"/>
        </w:rPr>
        <w:t>041:         Entity = new EntityMetadata</w:t>
      </w:r>
    </w:p>
    <w:p>
      <w:pPr>
        <w:pStyle w:val="NoSpacing"/>
      </w:pPr>
      <w:r>
        <w:rPr>
          <w:rFonts w:ascii="Courier New" w:hAnsi="Courier New"/>
          <w:sz w:val="12"/>
        </w:rPr>
        <w:t>042:         {</w:t>
      </w:r>
    </w:p>
    <w:p>
      <w:pPr>
        <w:pStyle w:val="NoSpacing"/>
      </w:pPr>
      <w:r>
        <w:rPr>
          <w:rFonts w:ascii="Courier New" w:hAnsi="Courier New"/>
          <w:sz w:val="12"/>
        </w:rPr>
        <w:t>043:             SchemaName = "aso_pendingcommercialaction",</w:t>
      </w:r>
    </w:p>
    <w:p>
      <w:pPr>
        <w:pStyle w:val="NoSpacing"/>
      </w:pPr>
      <w:r>
        <w:rPr>
          <w:rFonts w:ascii="Courier New" w:hAnsi="Courier New"/>
          <w:sz w:val="12"/>
        </w:rPr>
        <w:t>044:             DisplayName = Label("Pending Commercial Action"),</w:t>
      </w:r>
    </w:p>
    <w:p>
      <w:pPr>
        <w:pStyle w:val="NoSpacing"/>
      </w:pPr>
      <w:r>
        <w:rPr>
          <w:rFonts w:ascii="Courier New" w:hAnsi="Courier New"/>
          <w:sz w:val="12"/>
        </w:rPr>
        <w:t>045:             DisplayCollectionName = Label("Pending Commercial Actions"),</w:t>
      </w:r>
    </w:p>
    <w:p>
      <w:pPr>
        <w:pStyle w:val="NoSpacing"/>
      </w:pPr>
      <w:r>
        <w:rPr>
          <w:rFonts w:ascii="Courier New" w:hAnsi="Courier New"/>
          <w:sz w:val="12"/>
        </w:rPr>
        <w:t>046:             Description = Label("Approval-gated commercial action staging table before SAP submit."),</w:t>
      </w:r>
    </w:p>
    <w:p>
      <w:pPr>
        <w:pStyle w:val="NoSpacing"/>
      </w:pPr>
      <w:r>
        <w:rPr>
          <w:rFonts w:ascii="Courier New" w:hAnsi="Courier New"/>
          <w:sz w:val="12"/>
        </w:rPr>
        <w:t>047:             OwnershipType = OwnershipTypes.UserOwned</w:t>
      </w:r>
    </w:p>
    <w:p>
      <w:pPr>
        <w:pStyle w:val="NoSpacing"/>
      </w:pPr>
      <w:r>
        <w:rPr>
          <w:rFonts w:ascii="Courier New" w:hAnsi="Courier New"/>
          <w:sz w:val="12"/>
        </w:rPr>
        <w:t>048:         },</w:t>
      </w:r>
    </w:p>
    <w:p>
      <w:pPr>
        <w:pStyle w:val="NoSpacing"/>
      </w:pPr>
      <w:r>
        <w:rPr>
          <w:rFonts w:ascii="Courier New" w:hAnsi="Courier New"/>
          <w:sz w:val="12"/>
        </w:rPr>
        <w:t>049:         PrimaryAttribute = new StringAttributeMetadata</w:t>
      </w:r>
    </w:p>
    <w:p>
      <w:pPr>
        <w:pStyle w:val="NoSpacing"/>
      </w:pPr>
      <w:r>
        <w:rPr>
          <w:rFonts w:ascii="Courier New" w:hAnsi="Courier New"/>
          <w:sz w:val="12"/>
        </w:rPr>
        <w:t>050:         {</w:t>
      </w:r>
    </w:p>
    <w:p>
      <w:pPr>
        <w:pStyle w:val="NoSpacing"/>
      </w:pPr>
      <w:r>
        <w:rPr>
          <w:rFonts w:ascii="Courier New" w:hAnsi="Courier New"/>
          <w:sz w:val="12"/>
        </w:rPr>
        <w:t>051:             SchemaName = "aso_name",</w:t>
      </w:r>
    </w:p>
    <w:p>
      <w:pPr>
        <w:pStyle w:val="NoSpacing"/>
      </w:pPr>
      <w:r>
        <w:rPr>
          <w:rFonts w:ascii="Courier New" w:hAnsi="Courier New"/>
          <w:sz w:val="12"/>
        </w:rPr>
        <w:t>052:             DisplayName = Label("Name"),</w:t>
      </w:r>
    </w:p>
    <w:p>
      <w:pPr>
        <w:pStyle w:val="NoSpacing"/>
      </w:pPr>
      <w:r>
        <w:rPr>
          <w:rFonts w:ascii="Courier New" w:hAnsi="Courier New"/>
          <w:sz w:val="12"/>
        </w:rPr>
        <w:t>053:             Description = Label("Primary name for the Pending Commercial Action record."),</w:t>
      </w:r>
    </w:p>
    <w:p>
      <w:pPr>
        <w:pStyle w:val="NoSpacing"/>
      </w:pPr>
      <w:r>
        <w:rPr>
          <w:rFonts w:ascii="Courier New" w:hAnsi="Courier New"/>
          <w:sz w:val="12"/>
        </w:rPr>
        <w:t>054:             RequiredLevel = new AttributeRequiredLevelManagedProperty(AttributeRequiredLevel.ApplicationRequired),</w:t>
      </w:r>
    </w:p>
    <w:p>
      <w:pPr>
        <w:pStyle w:val="NoSpacing"/>
      </w:pPr>
      <w:r>
        <w:rPr>
          <w:rFonts w:ascii="Courier New" w:hAnsi="Courier New"/>
          <w:sz w:val="12"/>
        </w:rPr>
        <w:t>055:             MaxLength = 200</w:t>
      </w:r>
    </w:p>
    <w:p>
      <w:pPr>
        <w:pStyle w:val="NoSpacing"/>
      </w:pPr>
      <w:r>
        <w:rPr>
          <w:rFonts w:ascii="Courier New" w:hAnsi="Courier New"/>
          <w:sz w:val="12"/>
        </w:rPr>
        <w:t>056:         },</w:t>
      </w:r>
    </w:p>
    <w:p>
      <w:pPr>
        <w:pStyle w:val="NoSpacing"/>
      </w:pPr>
      <w:r>
        <w:rPr>
          <w:rFonts w:ascii="Courier New" w:hAnsi="Courier New"/>
          <w:sz w:val="12"/>
        </w:rPr>
        <w:t>057:         SolutionUniqueName = SolutionUniqueName</w:t>
      </w:r>
    </w:p>
    <w:p>
      <w:pPr>
        <w:pStyle w:val="NoSpacing"/>
      </w:pPr>
      <w:r>
        <w:rPr>
          <w:rFonts w:ascii="Courier New" w:hAnsi="Courier New"/>
          <w:sz w:val="12"/>
        </w:rPr>
        <w:t>058:     };</w:t>
      </w:r>
    </w:p>
    <w:p>
      <w:pPr>
        <w:pStyle w:val="NoSpacing"/>
      </w:pPr>
      <w:r>
        <w:rPr>
          <w:rFonts w:ascii="Courier New" w:hAnsi="Courier New"/>
          <w:sz w:val="12"/>
        </w:rPr>
        <w:t xml:space="preserve">059: </w:t>
      </w:r>
    </w:p>
    <w:p>
      <w:pPr>
        <w:pStyle w:val="NoSpacing"/>
      </w:pPr>
      <w:r>
        <w:rPr>
          <w:rFonts w:ascii="Courier New" w:hAnsi="Courier New"/>
          <w:sz w:val="12"/>
        </w:rPr>
        <w:t>060:     service.Execute(createEntityRequest);</w:t>
      </w:r>
    </w:p>
    <w:p>
      <w:pPr>
        <w:pStyle w:val="NoSpacing"/>
      </w:pPr>
      <w:r>
        <w:rPr>
          <w:rFonts w:ascii="Courier New" w:hAnsi="Courier New"/>
          <w:sz w:val="12"/>
        </w:rPr>
        <w:t xml:space="preserve">061: </w:t>
      </w:r>
    </w:p>
    <w:p>
      <w:pPr>
        <w:pStyle w:val="NoSpacing"/>
      </w:pPr>
      <w:r>
        <w:rPr>
          <w:rFonts w:ascii="Courier New" w:hAnsi="Courier New"/>
          <w:sz w:val="12"/>
        </w:rPr>
        <w:t>062:     Console.ForegroundColor = ConsoleColor.Green;</w:t>
      </w:r>
    </w:p>
    <w:p>
      <w:pPr>
        <w:pStyle w:val="NoSpacing"/>
      </w:pPr>
      <w:r>
        <w:rPr>
          <w:rFonts w:ascii="Courier New" w:hAnsi="Courier New"/>
          <w:sz w:val="12"/>
        </w:rPr>
        <w:t>063:     Console.WriteLine("CREATED TABLE: aso_pendingcommercialaction");</w:t>
      </w:r>
    </w:p>
    <w:p>
      <w:pPr>
        <w:pStyle w:val="NoSpacing"/>
      </w:pPr>
      <w:r>
        <w:rPr>
          <w:rFonts w:ascii="Courier New" w:hAnsi="Courier New"/>
          <w:sz w:val="12"/>
        </w:rPr>
        <w:t>064:     Console.ResetColor();</w:t>
      </w:r>
    </w:p>
    <w:p>
      <w:pPr>
        <w:pStyle w:val="NoSpacing"/>
      </w:pPr>
      <w:r>
        <w:rPr>
          <w:rFonts w:ascii="Courier New" w:hAnsi="Courier New"/>
          <w:sz w:val="12"/>
        </w:rPr>
        <w:t>065: }</w:t>
      </w:r>
    </w:p>
    <w:p>
      <w:pPr>
        <w:pStyle w:val="NoSpacing"/>
      </w:pPr>
      <w:r>
        <w:rPr>
          <w:rFonts w:ascii="Courier New" w:hAnsi="Courier New"/>
          <w:sz w:val="12"/>
        </w:rPr>
        <w:t>066: else</w:t>
      </w:r>
    </w:p>
    <w:p>
      <w:pPr>
        <w:pStyle w:val="NoSpacing"/>
      </w:pPr>
      <w:r>
        <w:rPr>
          <w:rFonts w:ascii="Courier New" w:hAnsi="Courier New"/>
          <w:sz w:val="12"/>
        </w:rPr>
        <w:t>067: {</w:t>
      </w:r>
    </w:p>
    <w:p>
      <w:pPr>
        <w:pStyle w:val="NoSpacing"/>
      </w:pPr>
      <w:r>
        <w:rPr>
          <w:rFonts w:ascii="Courier New" w:hAnsi="Courier New"/>
          <w:sz w:val="12"/>
        </w:rPr>
        <w:t>068:     Console.ForegroundColor = ConsoleColor.Yellow;</w:t>
      </w:r>
    </w:p>
    <w:p>
      <w:pPr>
        <w:pStyle w:val="NoSpacing"/>
      </w:pPr>
      <w:r>
        <w:rPr>
          <w:rFonts w:ascii="Courier New" w:hAnsi="Courier New"/>
          <w:sz w:val="12"/>
        </w:rPr>
        <w:t>069:     Console.WriteLine("SKIP existing table: aso_pendingcommercialaction");</w:t>
      </w:r>
    </w:p>
    <w:p>
      <w:pPr>
        <w:pStyle w:val="NoSpacing"/>
      </w:pPr>
      <w:r>
        <w:rPr>
          <w:rFonts w:ascii="Courier New" w:hAnsi="Courier New"/>
          <w:sz w:val="12"/>
        </w:rPr>
        <w:t>070:     Console.ResetColor();</w:t>
      </w:r>
    </w:p>
    <w:p>
      <w:pPr>
        <w:pStyle w:val="NoSpacing"/>
      </w:pPr>
      <w:r>
        <w:rPr>
          <w:rFonts w:ascii="Courier New" w:hAnsi="Courier New"/>
          <w:sz w:val="12"/>
        </w:rPr>
        <w:t>071: }</w:t>
      </w:r>
    </w:p>
    <w:p>
      <w:pPr>
        <w:pStyle w:val="NoSpacing"/>
      </w:pPr>
      <w:r>
        <w:rPr>
          <w:rFonts w:ascii="Courier New" w:hAnsi="Courier New"/>
          <w:sz w:val="12"/>
        </w:rPr>
        <w:t xml:space="preserve">072: </w:t>
      </w:r>
    </w:p>
    <w:p>
      <w:pPr>
        <w:pStyle w:val="NoSpacing"/>
      </w:pPr>
      <w:r>
        <w:rPr>
          <w:rFonts w:ascii="Courier New" w:hAnsi="Courier New"/>
          <w:sz w:val="12"/>
        </w:rPr>
        <w:t>073: CreateOpportunityLookupIfMissing(service);</w:t>
      </w:r>
    </w:p>
    <w:p>
      <w:pPr>
        <w:pStyle w:val="NoSpacing"/>
      </w:pPr>
      <w:r>
        <w:rPr>
          <w:rFonts w:ascii="Courier New" w:hAnsi="Courier New"/>
          <w:sz w:val="12"/>
        </w:rPr>
        <w:t xml:space="preserve">074: </w:t>
      </w:r>
    </w:p>
    <w:p>
      <w:pPr>
        <w:pStyle w:val="NoSpacing"/>
      </w:pPr>
      <w:r>
        <w:rPr>
          <w:rFonts w:ascii="Courier New" w:hAnsi="Courier New"/>
          <w:sz w:val="12"/>
        </w:rPr>
        <w:t>075: var existingAttributes = GetExistingAttributeLogicalNames(service, EntityLogicalName);</w:t>
      </w:r>
    </w:p>
    <w:p>
      <w:pPr>
        <w:pStyle w:val="NoSpacing"/>
      </w:pPr>
      <w:r>
        <w:rPr>
          <w:rFonts w:ascii="Courier New" w:hAnsi="Courier New"/>
          <w:sz w:val="12"/>
        </w:rPr>
        <w:t xml:space="preserve">076: </w:t>
      </w:r>
    </w:p>
    <w:p>
      <w:pPr>
        <w:pStyle w:val="NoSpacing"/>
      </w:pPr>
      <w:r>
        <w:rPr>
          <w:rFonts w:ascii="Courier New" w:hAnsi="Courier New"/>
          <w:sz w:val="12"/>
        </w:rPr>
        <w:t>077: var fields = new List&lt;AttributeMetadata&gt;</w:t>
      </w:r>
    </w:p>
    <w:p>
      <w:pPr>
        <w:pStyle w:val="NoSpacing"/>
      </w:pPr>
      <w:r>
        <w:rPr>
          <w:rFonts w:ascii="Courier New" w:hAnsi="Courier New"/>
          <w:sz w:val="12"/>
        </w:rPr>
        <w:t>078: {</w:t>
      </w:r>
    </w:p>
    <w:p>
      <w:pPr>
        <w:pStyle w:val="NoSpacing"/>
      </w:pPr>
      <w:r>
        <w:rPr>
          <w:rFonts w:ascii="Courier New" w:hAnsi="Courier New"/>
          <w:sz w:val="12"/>
        </w:rPr>
        <w:t>079:     LocalChoice("aso_actiontype", "Action Type",</w:t>
      </w:r>
    </w:p>
    <w:p>
      <w:pPr>
        <w:pStyle w:val="NoSpacing"/>
      </w:pPr>
      <w:r>
        <w:rPr>
          <w:rFonts w:ascii="Courier New" w:hAnsi="Courier New"/>
          <w:sz w:val="12"/>
        </w:rPr>
        <w:t>080:         new[] { "CreateOrder", "UpdateCommercialReference", "ReviewPricingContext" },</w:t>
      </w:r>
    </w:p>
    <w:p>
      <w:pPr>
        <w:pStyle w:val="NoSpacing"/>
      </w:pPr>
      <w:r>
        <w:rPr>
          <w:rFonts w:ascii="Courier New" w:hAnsi="Courier New"/>
          <w:sz w:val="12"/>
        </w:rPr>
        <w:t>081:         "Commercial action type staged for approval before SAP submission."),</w:t>
      </w:r>
    </w:p>
    <w:p>
      <w:pPr>
        <w:pStyle w:val="NoSpacing"/>
      </w:pPr>
      <w:r>
        <w:rPr>
          <w:rFonts w:ascii="Courier New" w:hAnsi="Courier New"/>
          <w:sz w:val="12"/>
        </w:rPr>
        <w:t xml:space="preserve">082: </w:t>
      </w:r>
    </w:p>
    <w:p>
      <w:pPr>
        <w:pStyle w:val="NoSpacing"/>
      </w:pPr>
      <w:r>
        <w:rPr>
          <w:rFonts w:ascii="Courier New" w:hAnsi="Courier New"/>
          <w:sz w:val="12"/>
        </w:rPr>
        <w:t>083:     Memo("aso_payload", "Payload", "Commercial action payload staged before approval and SAP submission."),</w:t>
      </w:r>
    </w:p>
    <w:p>
      <w:pPr>
        <w:pStyle w:val="NoSpacing"/>
      </w:pPr>
      <w:r>
        <w:rPr>
          <w:rFonts w:ascii="Courier New" w:hAnsi="Courier New"/>
          <w:sz w:val="12"/>
        </w:rPr>
        <w:t xml:space="preserve">084: </w:t>
      </w:r>
    </w:p>
    <w:p>
      <w:pPr>
        <w:pStyle w:val="NoSpacing"/>
      </w:pPr>
      <w:r>
        <w:rPr>
          <w:rFonts w:ascii="Courier New" w:hAnsi="Courier New"/>
          <w:sz w:val="12"/>
        </w:rPr>
        <w:t>085:     LocalChoice("aso_status", "Status",</w:t>
      </w:r>
    </w:p>
    <w:p>
      <w:pPr>
        <w:pStyle w:val="NoSpacing"/>
      </w:pPr>
      <w:r>
        <w:rPr>
          <w:rFonts w:ascii="Courier New" w:hAnsi="Courier New"/>
          <w:sz w:val="12"/>
        </w:rPr>
        <w:t>086:         new[] { "Draft", "AwaitingApproval", "Approved", "Submitted", "Failed", "Cancelled" },</w:t>
      </w:r>
    </w:p>
    <w:p>
      <w:pPr>
        <w:pStyle w:val="NoSpacing"/>
      </w:pPr>
      <w:r>
        <w:rPr>
          <w:rFonts w:ascii="Courier New" w:hAnsi="Courier New"/>
          <w:sz w:val="12"/>
        </w:rPr>
        <w:t>087:         "Approval and submission status of the pending commercial action."),</w:t>
      </w:r>
    </w:p>
    <w:p>
      <w:pPr>
        <w:pStyle w:val="NoSpacing"/>
      </w:pPr>
      <w:r>
        <w:rPr>
          <w:rFonts w:ascii="Courier New" w:hAnsi="Courier New"/>
          <w:sz w:val="12"/>
        </w:rPr>
        <w:t xml:space="preserve">088: </w:t>
      </w:r>
    </w:p>
    <w:p>
      <w:pPr>
        <w:pStyle w:val="NoSpacing"/>
      </w:pPr>
      <w:r>
        <w:rPr>
          <w:rFonts w:ascii="Courier New" w:hAnsi="Courier New"/>
          <w:sz w:val="12"/>
        </w:rPr>
        <w:t>089:     Text("aso_sapdocumentid", "SAP Document ID", 100, "SAP document identifier returned after governed SAP submit."),</w:t>
      </w:r>
    </w:p>
    <w:p>
      <w:pPr>
        <w:pStyle w:val="NoSpacing"/>
      </w:pPr>
      <w:r>
        <w:rPr>
          <w:rFonts w:ascii="Courier New" w:hAnsi="Courier New"/>
          <w:sz w:val="12"/>
        </w:rPr>
        <w:t>090:     Memo("aso_errormessage", "Error Message", "Error details if approval or SAP submission fails."),</w:t>
      </w:r>
    </w:p>
    <w:p>
      <w:pPr>
        <w:pStyle w:val="NoSpacing"/>
      </w:pPr>
      <w:r>
        <w:rPr>
          <w:rFonts w:ascii="Courier New" w:hAnsi="Courier New"/>
          <w:sz w:val="12"/>
        </w:rPr>
        <w:t>091:     Text("aso_approvalid", "Approval ID", 100, "Power Automate or approval process identifier."),</w:t>
      </w:r>
    </w:p>
    <w:p>
      <w:pPr>
        <w:pStyle w:val="NoSpacing"/>
      </w:pPr>
      <w:r>
        <w:rPr>
          <w:rFonts w:ascii="Courier New" w:hAnsi="Courier New"/>
          <w:sz w:val="12"/>
        </w:rPr>
        <w:t>092:     Text("aso_idempotencykey", "Idempotency Key", 200, "Key used to prevent duplicate commercial submission."),</w:t>
      </w:r>
    </w:p>
    <w:p>
      <w:pPr>
        <w:pStyle w:val="NoSpacing"/>
      </w:pPr>
      <w:r>
        <w:rPr>
          <w:rFonts w:ascii="Courier New" w:hAnsi="Courier New"/>
          <w:sz w:val="12"/>
        </w:rPr>
        <w:t>093:     DateTimeField("aso_submittedon", "Submitted On", "Timestamp when the commercial action was submitted.")</w:t>
      </w:r>
    </w:p>
    <w:p>
      <w:pPr>
        <w:pStyle w:val="NoSpacing"/>
      </w:pPr>
      <w:r>
        <w:rPr>
          <w:rFonts w:ascii="Courier New" w:hAnsi="Courier New"/>
          <w:sz w:val="12"/>
        </w:rPr>
        <w:t>094: };</w:t>
      </w:r>
    </w:p>
    <w:p>
      <w:pPr>
        <w:pStyle w:val="NoSpacing"/>
      </w:pPr>
      <w:r>
        <w:rPr>
          <w:rFonts w:ascii="Courier New" w:hAnsi="Courier New"/>
          <w:sz w:val="12"/>
        </w:rPr>
        <w:t xml:space="preserve">095: </w:t>
      </w:r>
    </w:p>
    <w:p>
      <w:pPr>
        <w:pStyle w:val="NoSpacing"/>
      </w:pPr>
      <w:r>
        <w:rPr>
          <w:rFonts w:ascii="Courier New" w:hAnsi="Courier New"/>
          <w:sz w:val="12"/>
        </w:rPr>
        <w:t>096: foreach (var field in fields)</w:t>
      </w:r>
    </w:p>
    <w:p>
      <w:pPr>
        <w:pStyle w:val="NoSpacing"/>
      </w:pPr>
      <w:r>
        <w:rPr>
          <w:rFonts w:ascii="Courier New" w:hAnsi="Courier New"/>
          <w:sz w:val="12"/>
        </w:rPr>
        <w:t>097: {</w:t>
      </w:r>
    </w:p>
    <w:p>
      <w:pPr>
        <w:pStyle w:val="NoSpacing"/>
      </w:pPr>
      <w:r>
        <w:rPr>
          <w:rFonts w:ascii="Courier New" w:hAnsi="Courier New"/>
          <w:sz w:val="12"/>
        </w:rPr>
        <w:t>098:     var logicalName = field.SchemaName!.ToLowerInvariant();</w:t>
      </w:r>
    </w:p>
    <w:p>
      <w:pPr>
        <w:pStyle w:val="NoSpacing"/>
      </w:pPr>
      <w:r>
        <w:rPr>
          <w:rFonts w:ascii="Courier New" w:hAnsi="Courier New"/>
          <w:sz w:val="12"/>
        </w:rPr>
        <w:t xml:space="preserve">099: </w:t>
      </w:r>
    </w:p>
    <w:p>
      <w:pPr>
        <w:pStyle w:val="NoSpacing"/>
      </w:pPr>
      <w:r>
        <w:rPr>
          <w:rFonts w:ascii="Courier New" w:hAnsi="Courier New"/>
          <w:sz w:val="12"/>
        </w:rPr>
        <w:t>100:     if (existingAttributes.Contains(logicalName))</w:t>
      </w:r>
    </w:p>
    <w:p>
      <w:pPr>
        <w:pStyle w:val="NoSpacing"/>
      </w:pPr>
      <w:r>
        <w:rPr>
          <w:rFonts w:ascii="Courier New" w:hAnsi="Courier New"/>
          <w:sz w:val="12"/>
        </w:rPr>
        <w:t>101:     {</w:t>
      </w:r>
    </w:p>
    <w:p>
      <w:pPr>
        <w:pStyle w:val="NoSpacing"/>
      </w:pPr>
      <w:r>
        <w:rPr>
          <w:rFonts w:ascii="Courier New" w:hAnsi="Courier New"/>
          <w:sz w:val="12"/>
        </w:rPr>
        <w:t>102:         Console.ForegroundColor = ConsoleColor.Yellow;</w:t>
      </w:r>
    </w:p>
    <w:p>
      <w:pPr>
        <w:pStyle w:val="NoSpacing"/>
      </w:pPr>
      <w:r>
        <w:rPr>
          <w:rFonts w:ascii="Courier New" w:hAnsi="Courier New"/>
          <w:sz w:val="12"/>
        </w:rPr>
        <w:t>103:         Console.WriteLine($"SKIP existing: {logicalName}");</w:t>
      </w:r>
    </w:p>
    <w:p>
      <w:pPr>
        <w:pStyle w:val="NoSpacing"/>
      </w:pPr>
      <w:r>
        <w:rPr>
          <w:rFonts w:ascii="Courier New" w:hAnsi="Courier New"/>
          <w:sz w:val="12"/>
        </w:rPr>
        <w:t>104:         Console.ResetColor();</w:t>
      </w:r>
    </w:p>
    <w:p>
      <w:pPr>
        <w:pStyle w:val="NoSpacing"/>
      </w:pPr>
      <w:r>
        <w:rPr>
          <w:rFonts w:ascii="Courier New" w:hAnsi="Courier New"/>
          <w:sz w:val="12"/>
        </w:rPr>
        <w:t>105:         continue;</w:t>
      </w:r>
    </w:p>
    <w:p>
      <w:pPr>
        <w:pStyle w:val="NoSpacing"/>
      </w:pPr>
      <w:r>
        <w:rPr>
          <w:rFonts w:ascii="Courier New" w:hAnsi="Courier New"/>
          <w:sz w:val="12"/>
        </w:rPr>
        <w:t>106:     }</w:t>
      </w:r>
    </w:p>
    <w:p>
      <w:pPr>
        <w:pStyle w:val="NoSpacing"/>
      </w:pPr>
      <w:r>
        <w:rPr>
          <w:rFonts w:ascii="Courier New" w:hAnsi="Courier New"/>
          <w:sz w:val="12"/>
        </w:rPr>
        <w:t xml:space="preserve">107: </w:t>
      </w:r>
    </w:p>
    <w:p>
      <w:pPr>
        <w:pStyle w:val="NoSpacing"/>
      </w:pPr>
      <w:r>
        <w:rPr>
          <w:rFonts w:ascii="Courier New" w:hAnsi="Courier New"/>
          <w:sz w:val="12"/>
        </w:rPr>
        <w:t>108:     try</w:t>
      </w:r>
    </w:p>
    <w:p>
      <w:pPr>
        <w:pStyle w:val="NoSpacing"/>
      </w:pPr>
      <w:r>
        <w:rPr>
          <w:rFonts w:ascii="Courier New" w:hAnsi="Courier New"/>
          <w:sz w:val="12"/>
        </w:rPr>
        <w:t>109:     {</w:t>
      </w:r>
    </w:p>
    <w:p>
      <w:pPr>
        <w:pStyle w:val="NoSpacing"/>
      </w:pPr>
      <w:r>
        <w:rPr>
          <w:rFonts w:ascii="Courier New" w:hAnsi="Courier New"/>
          <w:sz w:val="12"/>
        </w:rPr>
        <w:t>110:         Console.WriteLine($"Creating: {logicalName} ...");</w:t>
      </w:r>
    </w:p>
    <w:p>
      <w:pPr>
        <w:pStyle w:val="NoSpacing"/>
      </w:pPr>
      <w:r>
        <w:rPr>
          <w:rFonts w:ascii="Courier New" w:hAnsi="Courier New"/>
          <w:sz w:val="12"/>
        </w:rPr>
        <w:t xml:space="preserve">111: </w:t>
      </w:r>
    </w:p>
    <w:p>
      <w:pPr>
        <w:pStyle w:val="NoSpacing"/>
      </w:pPr>
      <w:r>
        <w:rPr>
          <w:rFonts w:ascii="Courier New" w:hAnsi="Courier New"/>
          <w:sz w:val="12"/>
        </w:rPr>
        <w:t>112:         var request = new CreateAttributeRequest</w:t>
      </w:r>
    </w:p>
    <w:p>
      <w:pPr>
        <w:pStyle w:val="NoSpacing"/>
      </w:pPr>
      <w:r>
        <w:rPr>
          <w:rFonts w:ascii="Courier New" w:hAnsi="Courier New"/>
          <w:sz w:val="12"/>
        </w:rPr>
        <w:t>113:         {</w:t>
      </w:r>
    </w:p>
    <w:p>
      <w:pPr>
        <w:pStyle w:val="NoSpacing"/>
      </w:pPr>
      <w:r>
        <w:rPr>
          <w:rFonts w:ascii="Courier New" w:hAnsi="Courier New"/>
          <w:sz w:val="12"/>
        </w:rPr>
        <w:t>114:             EntityName = EntityLogicalName,</w:t>
      </w:r>
    </w:p>
    <w:p>
      <w:pPr>
        <w:pStyle w:val="NoSpacing"/>
      </w:pPr>
      <w:r>
        <w:rPr>
          <w:rFonts w:ascii="Courier New" w:hAnsi="Courier New"/>
          <w:sz w:val="12"/>
        </w:rPr>
        <w:t>115:             Attribute = field,</w:t>
      </w:r>
    </w:p>
    <w:p>
      <w:pPr>
        <w:pStyle w:val="NoSpacing"/>
      </w:pPr>
      <w:r>
        <w:rPr>
          <w:rFonts w:ascii="Courier New" w:hAnsi="Courier New"/>
          <w:sz w:val="12"/>
        </w:rPr>
        <w:t>116:             SolutionUniqueName = SolutionUniqueName</w:t>
      </w:r>
    </w:p>
    <w:p>
      <w:pPr>
        <w:pStyle w:val="NoSpacing"/>
      </w:pPr>
      <w:r>
        <w:rPr>
          <w:rFonts w:ascii="Courier New" w:hAnsi="Courier New"/>
          <w:sz w:val="12"/>
        </w:rPr>
        <w:t>117:         };</w:t>
      </w:r>
    </w:p>
    <w:p>
      <w:pPr>
        <w:pStyle w:val="NoSpacing"/>
      </w:pPr>
      <w:r>
        <w:rPr>
          <w:rFonts w:ascii="Courier New" w:hAnsi="Courier New"/>
          <w:sz w:val="12"/>
        </w:rPr>
        <w:t xml:space="preserve">118: </w:t>
      </w:r>
    </w:p>
    <w:p>
      <w:pPr>
        <w:pStyle w:val="NoSpacing"/>
      </w:pPr>
      <w:r>
        <w:rPr>
          <w:rFonts w:ascii="Courier New" w:hAnsi="Courier New"/>
          <w:sz w:val="12"/>
        </w:rPr>
        <w:t>119:         service.Execute(request);</w:t>
      </w:r>
    </w:p>
    <w:p>
      <w:pPr>
        <w:pStyle w:val="NoSpacing"/>
      </w:pPr>
      <w:r>
        <w:rPr>
          <w:rFonts w:ascii="Courier New" w:hAnsi="Courier New"/>
          <w:sz w:val="12"/>
        </w:rPr>
        <w:t xml:space="preserve">120: </w:t>
      </w:r>
    </w:p>
    <w:p>
      <w:pPr>
        <w:pStyle w:val="NoSpacing"/>
      </w:pPr>
      <w:r>
        <w:rPr>
          <w:rFonts w:ascii="Courier New" w:hAnsi="Courier New"/>
          <w:sz w:val="12"/>
        </w:rPr>
        <w:t>121:         Console.ForegroundColor = ConsoleColor.Green;</w:t>
      </w:r>
    </w:p>
    <w:p>
      <w:pPr>
        <w:pStyle w:val="NoSpacing"/>
      </w:pPr>
      <w:r>
        <w:rPr>
          <w:rFonts w:ascii="Courier New" w:hAnsi="Courier New"/>
          <w:sz w:val="12"/>
        </w:rPr>
        <w:t>122:         Console.WriteLine($"CREATED: {logicalName}");</w:t>
      </w:r>
    </w:p>
    <w:p>
      <w:pPr>
        <w:pStyle w:val="NoSpacing"/>
      </w:pPr>
      <w:r>
        <w:rPr>
          <w:rFonts w:ascii="Courier New" w:hAnsi="Courier New"/>
          <w:sz w:val="12"/>
        </w:rPr>
        <w:t>123:         Console.ResetColor();</w:t>
      </w:r>
    </w:p>
    <w:p>
      <w:pPr>
        <w:pStyle w:val="NoSpacing"/>
      </w:pPr>
      <w:r>
        <w:rPr>
          <w:rFonts w:ascii="Courier New" w:hAnsi="Courier New"/>
          <w:sz w:val="12"/>
        </w:rPr>
        <w:t>124:     }</w:t>
      </w:r>
    </w:p>
    <w:p>
      <w:pPr>
        <w:pStyle w:val="NoSpacing"/>
      </w:pPr>
      <w:r>
        <w:rPr>
          <w:rFonts w:ascii="Courier New" w:hAnsi="Courier New"/>
          <w:sz w:val="12"/>
        </w:rPr>
        <w:t>125:     catch (Exception ex)</w:t>
      </w:r>
    </w:p>
    <w:p>
      <w:pPr>
        <w:pStyle w:val="NoSpacing"/>
      </w:pPr>
      <w:r>
        <w:rPr>
          <w:rFonts w:ascii="Courier New" w:hAnsi="Courier New"/>
          <w:sz w:val="12"/>
        </w:rPr>
        <w:t>126:     {</w:t>
      </w:r>
    </w:p>
    <w:p>
      <w:pPr>
        <w:pStyle w:val="NoSpacing"/>
      </w:pPr>
      <w:r>
        <w:rPr>
          <w:rFonts w:ascii="Courier New" w:hAnsi="Courier New"/>
          <w:sz w:val="12"/>
        </w:rPr>
        <w:t>127:         Console.ForegroundColor = ConsoleColor.Red;</w:t>
      </w:r>
    </w:p>
    <w:p>
      <w:pPr>
        <w:pStyle w:val="NoSpacing"/>
      </w:pPr>
      <w:r>
        <w:rPr>
          <w:rFonts w:ascii="Courier New" w:hAnsi="Courier New"/>
          <w:sz w:val="12"/>
        </w:rPr>
        <w:t>128:         Console.WriteLine($"FAILED: {logicalName}");</w:t>
      </w:r>
    </w:p>
    <w:p>
      <w:pPr>
        <w:pStyle w:val="NoSpacing"/>
      </w:pPr>
      <w:r>
        <w:rPr>
          <w:rFonts w:ascii="Courier New" w:hAnsi="Courier New"/>
          <w:sz w:val="12"/>
        </w:rPr>
        <w:t>129:         Console.WriteLine(ex.Message);</w:t>
      </w:r>
    </w:p>
    <w:p>
      <w:pPr>
        <w:pStyle w:val="NoSpacing"/>
      </w:pPr>
      <w:r>
        <w:rPr>
          <w:rFonts w:ascii="Courier New" w:hAnsi="Courier New"/>
          <w:sz w:val="12"/>
        </w:rPr>
        <w:t>130:         Console.ResetColor();</w:t>
      </w:r>
    </w:p>
    <w:p>
      <w:pPr>
        <w:pStyle w:val="NoSpacing"/>
      </w:pPr>
      <w:r>
        <w:rPr>
          <w:rFonts w:ascii="Courier New" w:hAnsi="Courier New"/>
          <w:sz w:val="12"/>
        </w:rPr>
        <w:t>131:     }</w:t>
      </w:r>
    </w:p>
    <w:p>
      <w:pPr>
        <w:pStyle w:val="NoSpacing"/>
      </w:pPr>
      <w:r>
        <w:rPr>
          <w:rFonts w:ascii="Courier New" w:hAnsi="Courier New"/>
          <w:sz w:val="12"/>
        </w:rPr>
        <w:t>132: }</w:t>
      </w:r>
    </w:p>
    <w:p>
      <w:pPr>
        <w:pStyle w:val="NoSpacing"/>
      </w:pPr>
      <w:r>
        <w:rPr>
          <w:rFonts w:ascii="Courier New" w:hAnsi="Courier New"/>
          <w:sz w:val="12"/>
        </w:rPr>
        <w:t xml:space="preserve">133: </w:t>
      </w:r>
    </w:p>
    <w:p>
      <w:pPr>
        <w:pStyle w:val="NoSpacing"/>
      </w:pPr>
      <w:r>
        <w:rPr>
          <w:rFonts w:ascii="Courier New" w:hAnsi="Courier New"/>
          <w:sz w:val="12"/>
        </w:rPr>
        <w:t>134: Console.WriteLine();</w:t>
      </w:r>
    </w:p>
    <w:p>
      <w:pPr>
        <w:pStyle w:val="NoSpacing"/>
      </w:pPr>
      <w:r>
        <w:rPr>
          <w:rFonts w:ascii="Courier New" w:hAnsi="Courier New"/>
          <w:sz w:val="12"/>
        </w:rPr>
        <w:t>135: Console.WriteLine("Publishing Pending Commercial Action table customizations...");</w:t>
      </w:r>
    </w:p>
    <w:p>
      <w:pPr>
        <w:pStyle w:val="NoSpacing"/>
      </w:pPr>
      <w:r>
        <w:rPr>
          <w:rFonts w:ascii="Courier New" w:hAnsi="Courier New"/>
          <w:sz w:val="12"/>
        </w:rPr>
        <w:t xml:space="preserve">136: </w:t>
      </w:r>
    </w:p>
    <w:p>
      <w:pPr>
        <w:pStyle w:val="NoSpacing"/>
      </w:pPr>
      <w:r>
        <w:rPr>
          <w:rFonts w:ascii="Courier New" w:hAnsi="Courier New"/>
          <w:sz w:val="12"/>
        </w:rPr>
        <w:t>137: service.Execute(new PublishXmlRequest</w:t>
      </w:r>
    </w:p>
    <w:p>
      <w:pPr>
        <w:pStyle w:val="NoSpacing"/>
      </w:pPr>
      <w:r>
        <w:rPr>
          <w:rFonts w:ascii="Courier New" w:hAnsi="Courier New"/>
          <w:sz w:val="12"/>
        </w:rPr>
        <w:t>138: {</w:t>
      </w:r>
    </w:p>
    <w:p>
      <w:pPr>
        <w:pStyle w:val="NoSpacing"/>
      </w:pPr>
      <w:r>
        <w:rPr>
          <w:rFonts w:ascii="Courier New" w:hAnsi="Courier New"/>
          <w:sz w:val="12"/>
        </w:rPr>
        <w:t>139:     ParameterXml = "&lt;importexportxml&gt;&lt;entities&gt;&lt;entity&gt;aso_pendingcommercialaction&lt;/entity&gt;&lt;entity&gt;opportunity&lt;/entity&gt;&lt;/entities&gt;&lt;/importexportxml&gt;"</w:t>
      </w:r>
    </w:p>
    <w:p>
      <w:pPr>
        <w:pStyle w:val="NoSpacing"/>
      </w:pPr>
      <w:r>
        <w:rPr>
          <w:rFonts w:ascii="Courier New" w:hAnsi="Courier New"/>
          <w:sz w:val="12"/>
        </w:rPr>
        <w:t>140: });</w:t>
      </w:r>
    </w:p>
    <w:p>
      <w:pPr>
        <w:pStyle w:val="NoSpacing"/>
      </w:pPr>
      <w:r>
        <w:rPr>
          <w:rFonts w:ascii="Courier New" w:hAnsi="Courier New"/>
          <w:sz w:val="12"/>
        </w:rPr>
        <w:t xml:space="preserve">141: </w:t>
      </w:r>
    </w:p>
    <w:p>
      <w:pPr>
        <w:pStyle w:val="NoSpacing"/>
      </w:pPr>
      <w:r>
        <w:rPr>
          <w:rFonts w:ascii="Courier New" w:hAnsi="Courier New"/>
          <w:sz w:val="12"/>
        </w:rPr>
        <w:t>142: Console.ForegroundColor = ConsoleColor.Green;</w:t>
      </w:r>
    </w:p>
    <w:p>
      <w:pPr>
        <w:pStyle w:val="NoSpacing"/>
      </w:pPr>
      <w:r>
        <w:rPr>
          <w:rFonts w:ascii="Courier New" w:hAnsi="Courier New"/>
          <w:sz w:val="12"/>
        </w:rPr>
        <w:t>143: Console.WriteLine("Done. Validate in ASO.Core -&gt; Tables -&gt; Pending Commercial Action -&gt; Columns.");</w:t>
      </w:r>
    </w:p>
    <w:p>
      <w:pPr>
        <w:pStyle w:val="NoSpacing"/>
      </w:pPr>
      <w:r>
        <w:rPr>
          <w:rFonts w:ascii="Courier New" w:hAnsi="Courier New"/>
          <w:sz w:val="12"/>
        </w:rPr>
        <w:t>144: Console.ResetColor();</w:t>
      </w:r>
    </w:p>
    <w:p>
      <w:pPr>
        <w:pStyle w:val="NoSpacing"/>
      </w:pPr>
      <w:r>
        <w:rPr>
          <w:rFonts w:ascii="Courier New" w:hAnsi="Courier New"/>
          <w:sz w:val="12"/>
        </w:rPr>
        <w:t xml:space="preserve">145: </w:t>
      </w:r>
    </w:p>
    <w:p>
      <w:pPr>
        <w:pStyle w:val="NoSpacing"/>
      </w:pPr>
      <w:r>
        <w:rPr>
          <w:rFonts w:ascii="Courier New" w:hAnsi="Courier New"/>
          <w:sz w:val="12"/>
        </w:rPr>
        <w:t>146: void CreateOpportunityLookupIfMissing(ServiceClient service)</w:t>
      </w:r>
    </w:p>
    <w:p>
      <w:pPr>
        <w:pStyle w:val="NoSpacing"/>
      </w:pPr>
      <w:r>
        <w:rPr>
          <w:rFonts w:ascii="Courier New" w:hAnsi="Courier New"/>
          <w:sz w:val="12"/>
        </w:rPr>
        <w:t>147: {</w:t>
      </w:r>
    </w:p>
    <w:p>
      <w:pPr>
        <w:pStyle w:val="NoSpacing"/>
      </w:pPr>
      <w:r>
        <w:rPr>
          <w:rFonts w:ascii="Courier New" w:hAnsi="Courier New"/>
          <w:sz w:val="12"/>
        </w:rPr>
        <w:t>148:     var existingAttributes = GetExistingAttributeLogicalNames(service, EntityLogicalName);</w:t>
      </w:r>
    </w:p>
    <w:p>
      <w:pPr>
        <w:pStyle w:val="NoSpacing"/>
      </w:pPr>
      <w:r>
        <w:rPr>
          <w:rFonts w:ascii="Courier New" w:hAnsi="Courier New"/>
          <w:sz w:val="12"/>
        </w:rPr>
        <w:t xml:space="preserve">149: </w:t>
      </w:r>
    </w:p>
    <w:p>
      <w:pPr>
        <w:pStyle w:val="NoSpacing"/>
      </w:pPr>
      <w:r>
        <w:rPr>
          <w:rFonts w:ascii="Courier New" w:hAnsi="Courier New"/>
          <w:sz w:val="12"/>
        </w:rPr>
        <w:t>150:     if (existingAttributes.Contains("aso_opportunityid"))</w:t>
      </w:r>
    </w:p>
    <w:p>
      <w:pPr>
        <w:pStyle w:val="NoSpacing"/>
      </w:pPr>
      <w:r>
        <w:rPr>
          <w:rFonts w:ascii="Courier New" w:hAnsi="Courier New"/>
          <w:sz w:val="12"/>
        </w:rPr>
        <w:t>151:     {</w:t>
      </w:r>
    </w:p>
    <w:p>
      <w:pPr>
        <w:pStyle w:val="NoSpacing"/>
      </w:pPr>
      <w:r>
        <w:rPr>
          <w:rFonts w:ascii="Courier New" w:hAnsi="Courier New"/>
          <w:sz w:val="12"/>
        </w:rPr>
        <w:t>152:         Console.ForegroundColor = ConsoleColor.Yellow;</w:t>
      </w:r>
    </w:p>
    <w:p>
      <w:pPr>
        <w:pStyle w:val="NoSpacing"/>
      </w:pPr>
      <w:r>
        <w:rPr>
          <w:rFonts w:ascii="Courier New" w:hAnsi="Courier New"/>
          <w:sz w:val="12"/>
        </w:rPr>
        <w:t>153:         Console.WriteLine("SKIP existing lookup: aso_opportunityid");</w:t>
      </w:r>
    </w:p>
    <w:p>
      <w:pPr>
        <w:pStyle w:val="NoSpacing"/>
      </w:pPr>
      <w:r>
        <w:rPr>
          <w:rFonts w:ascii="Courier New" w:hAnsi="Courier New"/>
          <w:sz w:val="12"/>
        </w:rPr>
        <w:t>154:         Console.ResetColor();</w:t>
      </w:r>
    </w:p>
    <w:p>
      <w:pPr>
        <w:pStyle w:val="NoSpacing"/>
      </w:pPr>
      <w:r>
        <w:rPr>
          <w:rFonts w:ascii="Courier New" w:hAnsi="Courier New"/>
          <w:sz w:val="12"/>
        </w:rPr>
        <w:t>155:         return;</w:t>
      </w:r>
    </w:p>
    <w:p>
      <w:pPr>
        <w:pStyle w:val="NoSpacing"/>
      </w:pPr>
      <w:r>
        <w:rPr>
          <w:rFonts w:ascii="Courier New" w:hAnsi="Courier New"/>
          <w:sz w:val="12"/>
        </w:rPr>
        <w:t>156:     }</w:t>
      </w:r>
    </w:p>
    <w:p>
      <w:pPr>
        <w:pStyle w:val="NoSpacing"/>
      </w:pPr>
      <w:r>
        <w:rPr>
          <w:rFonts w:ascii="Courier New" w:hAnsi="Courier New"/>
          <w:sz w:val="12"/>
        </w:rPr>
        <w:t xml:space="preserve">157: </w:t>
      </w:r>
    </w:p>
    <w:p>
      <w:pPr>
        <w:pStyle w:val="NoSpacing"/>
      </w:pPr>
      <w:r>
        <w:rPr>
          <w:rFonts w:ascii="Courier New" w:hAnsi="Courier New"/>
          <w:sz w:val="12"/>
        </w:rPr>
        <w:t>158:     try</w:t>
      </w:r>
    </w:p>
    <w:p>
      <w:pPr>
        <w:pStyle w:val="NoSpacing"/>
      </w:pPr>
      <w:r>
        <w:rPr>
          <w:rFonts w:ascii="Courier New" w:hAnsi="Courier New"/>
          <w:sz w:val="12"/>
        </w:rPr>
        <w:t>159:     {</w:t>
      </w:r>
    </w:p>
    <w:p>
      <w:pPr>
        <w:pStyle w:val="NoSpacing"/>
      </w:pPr>
      <w:r>
        <w:rPr>
          <w:rFonts w:ascii="Courier New" w:hAnsi="Courier New"/>
          <w:sz w:val="12"/>
        </w:rPr>
        <w:t>160:         Console.WriteLine("Creating Opportunity lookup relationship...");</w:t>
      </w:r>
    </w:p>
    <w:p>
      <w:pPr>
        <w:pStyle w:val="NoSpacing"/>
      </w:pPr>
      <w:r>
        <w:rPr>
          <w:rFonts w:ascii="Courier New" w:hAnsi="Courier New"/>
          <w:sz w:val="12"/>
        </w:rPr>
        <w:t xml:space="preserve">161: </w:t>
      </w:r>
    </w:p>
    <w:p>
      <w:pPr>
        <w:pStyle w:val="NoSpacing"/>
      </w:pPr>
      <w:r>
        <w:rPr>
          <w:rFonts w:ascii="Courier New" w:hAnsi="Courier New"/>
          <w:sz w:val="12"/>
        </w:rPr>
        <w:t>162:         var relationship = new OneToManyRelationshipMetadata</w:t>
      </w:r>
    </w:p>
    <w:p>
      <w:pPr>
        <w:pStyle w:val="NoSpacing"/>
      </w:pPr>
      <w:r>
        <w:rPr>
          <w:rFonts w:ascii="Courier New" w:hAnsi="Courier New"/>
          <w:sz w:val="12"/>
        </w:rPr>
        <w:t>163:         {</w:t>
      </w:r>
    </w:p>
    <w:p>
      <w:pPr>
        <w:pStyle w:val="NoSpacing"/>
      </w:pPr>
      <w:r>
        <w:rPr>
          <w:rFonts w:ascii="Courier New" w:hAnsi="Courier New"/>
          <w:sz w:val="12"/>
        </w:rPr>
        <w:t>164:             SchemaName = "aso_opportunity_aso_pendingcommercialaction",</w:t>
      </w:r>
    </w:p>
    <w:p>
      <w:pPr>
        <w:pStyle w:val="NoSpacing"/>
      </w:pPr>
      <w:r>
        <w:rPr>
          <w:rFonts w:ascii="Courier New" w:hAnsi="Courier New"/>
          <w:sz w:val="12"/>
        </w:rPr>
        <w:t>165:             ReferencedEntity = "opportunity",</w:t>
      </w:r>
    </w:p>
    <w:p>
      <w:pPr>
        <w:pStyle w:val="NoSpacing"/>
      </w:pPr>
      <w:r>
        <w:rPr>
          <w:rFonts w:ascii="Courier New" w:hAnsi="Courier New"/>
          <w:sz w:val="12"/>
        </w:rPr>
        <w:t>166:             ReferencingEntity = EntityLogicalName,</w:t>
      </w:r>
    </w:p>
    <w:p>
      <w:pPr>
        <w:pStyle w:val="NoSpacing"/>
      </w:pPr>
      <w:r>
        <w:rPr>
          <w:rFonts w:ascii="Courier New" w:hAnsi="Courier New"/>
          <w:sz w:val="12"/>
        </w:rPr>
        <w:t>167:             AssociatedMenuConfiguration = new AssociatedMenuConfiguration</w:t>
      </w:r>
    </w:p>
    <w:p>
      <w:pPr>
        <w:pStyle w:val="NoSpacing"/>
      </w:pPr>
      <w:r>
        <w:rPr>
          <w:rFonts w:ascii="Courier New" w:hAnsi="Courier New"/>
          <w:sz w:val="12"/>
        </w:rPr>
        <w:t>168:             {</w:t>
      </w:r>
    </w:p>
    <w:p>
      <w:pPr>
        <w:pStyle w:val="NoSpacing"/>
      </w:pPr>
      <w:r>
        <w:rPr>
          <w:rFonts w:ascii="Courier New" w:hAnsi="Courier New"/>
          <w:sz w:val="12"/>
        </w:rPr>
        <w:t>169:                 Behavior = AssociatedMenuBehavior.UseLabel,</w:t>
      </w:r>
    </w:p>
    <w:p>
      <w:pPr>
        <w:pStyle w:val="NoSpacing"/>
      </w:pPr>
      <w:r>
        <w:rPr>
          <w:rFonts w:ascii="Courier New" w:hAnsi="Courier New"/>
          <w:sz w:val="12"/>
        </w:rPr>
        <w:t>170:                 Group = AssociatedMenuGroup.Details,</w:t>
      </w:r>
    </w:p>
    <w:p>
      <w:pPr>
        <w:pStyle w:val="NoSpacing"/>
      </w:pPr>
      <w:r>
        <w:rPr>
          <w:rFonts w:ascii="Courier New" w:hAnsi="Courier New"/>
          <w:sz w:val="12"/>
        </w:rPr>
        <w:t>171:                 Label = Label("Pending Commercial Actions"),</w:t>
      </w:r>
    </w:p>
    <w:p>
      <w:pPr>
        <w:pStyle w:val="NoSpacing"/>
      </w:pPr>
      <w:r>
        <w:rPr>
          <w:rFonts w:ascii="Courier New" w:hAnsi="Courier New"/>
          <w:sz w:val="12"/>
        </w:rPr>
        <w:t>172:                 Order = 10000</w:t>
      </w:r>
    </w:p>
    <w:p>
      <w:pPr>
        <w:pStyle w:val="NoSpacing"/>
      </w:pPr>
      <w:r>
        <w:rPr>
          <w:rFonts w:ascii="Courier New" w:hAnsi="Courier New"/>
          <w:sz w:val="12"/>
        </w:rPr>
        <w:t>173:             },</w:t>
      </w:r>
    </w:p>
    <w:p>
      <w:pPr>
        <w:pStyle w:val="NoSpacing"/>
      </w:pPr>
      <w:r>
        <w:rPr>
          <w:rFonts w:ascii="Courier New" w:hAnsi="Courier New"/>
          <w:sz w:val="12"/>
        </w:rPr>
        <w:t>174:             CascadeConfiguration = new CascadeConfiguration</w:t>
      </w:r>
    </w:p>
    <w:p>
      <w:pPr>
        <w:pStyle w:val="NoSpacing"/>
      </w:pPr>
      <w:r>
        <w:rPr>
          <w:rFonts w:ascii="Courier New" w:hAnsi="Courier New"/>
          <w:sz w:val="12"/>
        </w:rPr>
        <w:t>175:             {</w:t>
      </w:r>
    </w:p>
    <w:p>
      <w:pPr>
        <w:pStyle w:val="NoSpacing"/>
      </w:pPr>
      <w:r>
        <w:rPr>
          <w:rFonts w:ascii="Courier New" w:hAnsi="Courier New"/>
          <w:sz w:val="12"/>
        </w:rPr>
        <w:t>176:                 Assign = CascadeType.NoCascade,</w:t>
      </w:r>
    </w:p>
    <w:p>
      <w:pPr>
        <w:pStyle w:val="NoSpacing"/>
      </w:pPr>
      <w:r>
        <w:rPr>
          <w:rFonts w:ascii="Courier New" w:hAnsi="Courier New"/>
          <w:sz w:val="12"/>
        </w:rPr>
        <w:t>177:                 Delete = CascadeType.RemoveLink,</w:t>
      </w:r>
    </w:p>
    <w:p>
      <w:pPr>
        <w:pStyle w:val="NoSpacing"/>
      </w:pPr>
      <w:r>
        <w:rPr>
          <w:rFonts w:ascii="Courier New" w:hAnsi="Courier New"/>
          <w:sz w:val="12"/>
        </w:rPr>
        <w:t>178:                 Merge = CascadeType.NoCascade,</w:t>
      </w:r>
    </w:p>
    <w:p>
      <w:pPr>
        <w:pStyle w:val="NoSpacing"/>
      </w:pPr>
      <w:r>
        <w:rPr>
          <w:rFonts w:ascii="Courier New" w:hAnsi="Courier New"/>
          <w:sz w:val="12"/>
        </w:rPr>
        <w:t>179:                 Reparent = CascadeType.NoCascade,</w:t>
      </w:r>
    </w:p>
    <w:p>
      <w:pPr>
        <w:pStyle w:val="NoSpacing"/>
      </w:pPr>
      <w:r>
        <w:rPr>
          <w:rFonts w:ascii="Courier New" w:hAnsi="Courier New"/>
          <w:sz w:val="12"/>
        </w:rPr>
        <w:t>180:                 Share = CascadeType.NoCascade,</w:t>
      </w:r>
    </w:p>
    <w:p>
      <w:pPr>
        <w:pStyle w:val="NoSpacing"/>
      </w:pPr>
      <w:r>
        <w:rPr>
          <w:rFonts w:ascii="Courier New" w:hAnsi="Courier New"/>
          <w:sz w:val="12"/>
        </w:rPr>
        <w:t>181:                 Unshare = CascadeType.NoCascade</w:t>
      </w:r>
    </w:p>
    <w:p>
      <w:pPr>
        <w:pStyle w:val="NoSpacing"/>
      </w:pPr>
      <w:r>
        <w:rPr>
          <w:rFonts w:ascii="Courier New" w:hAnsi="Courier New"/>
          <w:sz w:val="12"/>
        </w:rPr>
        <w:t>182:             }</w:t>
      </w:r>
    </w:p>
    <w:p>
      <w:pPr>
        <w:pStyle w:val="NoSpacing"/>
      </w:pPr>
      <w:r>
        <w:rPr>
          <w:rFonts w:ascii="Courier New" w:hAnsi="Courier New"/>
          <w:sz w:val="12"/>
        </w:rPr>
        <w:t>183:         };</w:t>
      </w:r>
    </w:p>
    <w:p>
      <w:pPr>
        <w:pStyle w:val="NoSpacing"/>
      </w:pPr>
      <w:r>
        <w:rPr>
          <w:rFonts w:ascii="Courier New" w:hAnsi="Courier New"/>
          <w:sz w:val="12"/>
        </w:rPr>
        <w:t xml:space="preserve">184: </w:t>
      </w:r>
    </w:p>
    <w:p>
      <w:pPr>
        <w:pStyle w:val="NoSpacing"/>
      </w:pPr>
      <w:r>
        <w:rPr>
          <w:rFonts w:ascii="Courier New" w:hAnsi="Courier New"/>
          <w:sz w:val="12"/>
        </w:rPr>
        <w:t>185:         var lookup = new LookupAttributeMetadata</w:t>
      </w:r>
    </w:p>
    <w:p>
      <w:pPr>
        <w:pStyle w:val="NoSpacing"/>
      </w:pPr>
      <w:r>
        <w:rPr>
          <w:rFonts w:ascii="Courier New" w:hAnsi="Courier New"/>
          <w:sz w:val="12"/>
        </w:rPr>
        <w:t>186:         {</w:t>
      </w:r>
    </w:p>
    <w:p>
      <w:pPr>
        <w:pStyle w:val="NoSpacing"/>
      </w:pPr>
      <w:r>
        <w:rPr>
          <w:rFonts w:ascii="Courier New" w:hAnsi="Courier New"/>
          <w:sz w:val="12"/>
        </w:rPr>
        <w:t>187:             SchemaName = "aso_opportunityid",</w:t>
      </w:r>
    </w:p>
    <w:p>
      <w:pPr>
        <w:pStyle w:val="NoSpacing"/>
      </w:pPr>
      <w:r>
        <w:rPr>
          <w:rFonts w:ascii="Courier New" w:hAnsi="Courier New"/>
          <w:sz w:val="12"/>
        </w:rPr>
        <w:t>188:             DisplayName = Label("Opportunity"),</w:t>
      </w:r>
    </w:p>
    <w:p>
      <w:pPr>
        <w:pStyle w:val="NoSpacing"/>
      </w:pPr>
      <w:r>
        <w:rPr>
          <w:rFonts w:ascii="Courier New" w:hAnsi="Courier New"/>
          <w:sz w:val="12"/>
        </w:rPr>
        <w:t>189:             Description = Label("Related Opportunity for the pending commercial action."),</w:t>
      </w:r>
    </w:p>
    <w:p>
      <w:pPr>
        <w:pStyle w:val="NoSpacing"/>
      </w:pPr>
      <w:r>
        <w:rPr>
          <w:rFonts w:ascii="Courier New" w:hAnsi="Courier New"/>
          <w:sz w:val="12"/>
        </w:rPr>
        <w:t>190:             RequiredLevel = Optional()</w:t>
      </w:r>
    </w:p>
    <w:p>
      <w:pPr>
        <w:pStyle w:val="NoSpacing"/>
      </w:pPr>
      <w:r>
        <w:rPr>
          <w:rFonts w:ascii="Courier New" w:hAnsi="Courier New"/>
          <w:sz w:val="12"/>
        </w:rPr>
        <w:t>191:         };</w:t>
      </w:r>
    </w:p>
    <w:p>
      <w:pPr>
        <w:pStyle w:val="NoSpacing"/>
      </w:pPr>
      <w:r>
        <w:rPr>
          <w:rFonts w:ascii="Courier New" w:hAnsi="Courier New"/>
          <w:sz w:val="12"/>
        </w:rPr>
        <w:t xml:space="preserve">192: </w:t>
      </w:r>
    </w:p>
    <w:p>
      <w:pPr>
        <w:pStyle w:val="NoSpacing"/>
      </w:pPr>
      <w:r>
        <w:rPr>
          <w:rFonts w:ascii="Courier New" w:hAnsi="Courier New"/>
          <w:sz w:val="12"/>
        </w:rPr>
        <w:t>193:         var request = new CreateOneToManyRequest</w:t>
      </w:r>
    </w:p>
    <w:p>
      <w:pPr>
        <w:pStyle w:val="NoSpacing"/>
      </w:pPr>
      <w:r>
        <w:rPr>
          <w:rFonts w:ascii="Courier New" w:hAnsi="Courier New"/>
          <w:sz w:val="12"/>
        </w:rPr>
        <w:t>194:         {</w:t>
      </w:r>
    </w:p>
    <w:p>
      <w:pPr>
        <w:pStyle w:val="NoSpacing"/>
      </w:pPr>
      <w:r>
        <w:rPr>
          <w:rFonts w:ascii="Courier New" w:hAnsi="Courier New"/>
          <w:sz w:val="12"/>
        </w:rPr>
        <w:t>195:             OneToManyRelationship = relationship,</w:t>
      </w:r>
    </w:p>
    <w:p>
      <w:pPr>
        <w:pStyle w:val="NoSpacing"/>
      </w:pPr>
      <w:r>
        <w:rPr>
          <w:rFonts w:ascii="Courier New" w:hAnsi="Courier New"/>
          <w:sz w:val="12"/>
        </w:rPr>
        <w:t>196:             Lookup = lookup,</w:t>
      </w:r>
    </w:p>
    <w:p>
      <w:pPr>
        <w:pStyle w:val="NoSpacing"/>
      </w:pPr>
      <w:r>
        <w:rPr>
          <w:rFonts w:ascii="Courier New" w:hAnsi="Courier New"/>
          <w:sz w:val="12"/>
        </w:rPr>
        <w:t>197:             SolutionUniqueName = SolutionUniqueName</w:t>
      </w:r>
    </w:p>
    <w:p>
      <w:pPr>
        <w:pStyle w:val="NoSpacing"/>
      </w:pPr>
      <w:r>
        <w:rPr>
          <w:rFonts w:ascii="Courier New" w:hAnsi="Courier New"/>
          <w:sz w:val="12"/>
        </w:rPr>
        <w:t>198:         };</w:t>
      </w:r>
    </w:p>
    <w:p>
      <w:pPr>
        <w:pStyle w:val="NoSpacing"/>
      </w:pPr>
      <w:r>
        <w:rPr>
          <w:rFonts w:ascii="Courier New" w:hAnsi="Courier New"/>
          <w:sz w:val="12"/>
        </w:rPr>
        <w:t xml:space="preserve">199: </w:t>
      </w:r>
    </w:p>
    <w:p>
      <w:pPr>
        <w:pStyle w:val="NoSpacing"/>
      </w:pPr>
      <w:r>
        <w:rPr>
          <w:rFonts w:ascii="Courier New" w:hAnsi="Courier New"/>
          <w:sz w:val="12"/>
        </w:rPr>
        <w:t>200:         service.Execute(request);</w:t>
      </w:r>
    </w:p>
    <w:p>
      <w:pPr>
        <w:pStyle w:val="NoSpacing"/>
      </w:pPr>
      <w:r>
        <w:rPr>
          <w:rFonts w:ascii="Courier New" w:hAnsi="Courier New"/>
          <w:sz w:val="12"/>
        </w:rPr>
        <w:t xml:space="preserve">201: </w:t>
      </w:r>
    </w:p>
    <w:p>
      <w:pPr>
        <w:pStyle w:val="NoSpacing"/>
      </w:pPr>
      <w:r>
        <w:rPr>
          <w:rFonts w:ascii="Courier New" w:hAnsi="Courier New"/>
          <w:sz w:val="12"/>
        </w:rPr>
        <w:t>202:         Console.ForegroundColor = ConsoleColor.Green;</w:t>
      </w:r>
    </w:p>
    <w:p>
      <w:pPr>
        <w:pStyle w:val="NoSpacing"/>
      </w:pPr>
      <w:r>
        <w:rPr>
          <w:rFonts w:ascii="Courier New" w:hAnsi="Courier New"/>
          <w:sz w:val="12"/>
        </w:rPr>
        <w:t>203:         Console.WriteLine("CREATED LOOKUP: aso_opportunityid");</w:t>
      </w:r>
    </w:p>
    <w:p>
      <w:pPr>
        <w:pStyle w:val="NoSpacing"/>
      </w:pPr>
      <w:r>
        <w:rPr>
          <w:rFonts w:ascii="Courier New" w:hAnsi="Courier New"/>
          <w:sz w:val="12"/>
        </w:rPr>
        <w:t>204:         Console.ResetColor();</w:t>
      </w:r>
    </w:p>
    <w:p>
      <w:pPr>
        <w:pStyle w:val="NoSpacing"/>
      </w:pPr>
      <w:r>
        <w:rPr>
          <w:rFonts w:ascii="Courier New" w:hAnsi="Courier New"/>
          <w:sz w:val="12"/>
        </w:rPr>
        <w:t>205:     }</w:t>
      </w:r>
    </w:p>
    <w:p>
      <w:pPr>
        <w:pStyle w:val="NoSpacing"/>
      </w:pPr>
      <w:r>
        <w:rPr>
          <w:rFonts w:ascii="Courier New" w:hAnsi="Courier New"/>
          <w:sz w:val="12"/>
        </w:rPr>
        <w:t>206:     catch (Exception ex)</w:t>
      </w:r>
    </w:p>
    <w:p>
      <w:pPr>
        <w:pStyle w:val="NoSpacing"/>
      </w:pPr>
      <w:r>
        <w:rPr>
          <w:rFonts w:ascii="Courier New" w:hAnsi="Courier New"/>
          <w:sz w:val="12"/>
        </w:rPr>
        <w:t>207:     {</w:t>
      </w:r>
    </w:p>
    <w:p>
      <w:pPr>
        <w:pStyle w:val="NoSpacing"/>
      </w:pPr>
      <w:r>
        <w:rPr>
          <w:rFonts w:ascii="Courier New" w:hAnsi="Courier New"/>
          <w:sz w:val="12"/>
        </w:rPr>
        <w:t>208:         Console.ForegroundColor = ConsoleColor.Red;</w:t>
      </w:r>
    </w:p>
    <w:p>
      <w:pPr>
        <w:pStyle w:val="NoSpacing"/>
      </w:pPr>
      <w:r>
        <w:rPr>
          <w:rFonts w:ascii="Courier New" w:hAnsi="Courier New"/>
          <w:sz w:val="12"/>
        </w:rPr>
        <w:t>209:         Console.WriteLine("FAILED LOOKUP: aso_opportunityid");</w:t>
      </w:r>
    </w:p>
    <w:p>
      <w:pPr>
        <w:pStyle w:val="NoSpacing"/>
      </w:pPr>
      <w:r>
        <w:rPr>
          <w:rFonts w:ascii="Courier New" w:hAnsi="Courier New"/>
          <w:sz w:val="12"/>
        </w:rPr>
        <w:t>210:         Console.WriteLine(ex.Message);</w:t>
      </w:r>
    </w:p>
    <w:p>
      <w:pPr>
        <w:pStyle w:val="NoSpacing"/>
      </w:pPr>
      <w:r>
        <w:rPr>
          <w:rFonts w:ascii="Courier New" w:hAnsi="Courier New"/>
          <w:sz w:val="12"/>
        </w:rPr>
        <w:t>211:         Console.ResetColor();</w:t>
      </w:r>
    </w:p>
    <w:p>
      <w:pPr>
        <w:pStyle w:val="NoSpacing"/>
      </w:pPr>
      <w:r>
        <w:rPr>
          <w:rFonts w:ascii="Courier New" w:hAnsi="Courier New"/>
          <w:sz w:val="12"/>
        </w:rPr>
        <w:t>212:     }</w:t>
      </w:r>
    </w:p>
    <w:p>
      <w:pPr>
        <w:pStyle w:val="NoSpacing"/>
      </w:pPr>
      <w:r>
        <w:rPr>
          <w:rFonts w:ascii="Courier New" w:hAnsi="Courier New"/>
          <w:sz w:val="12"/>
        </w:rPr>
        <w:t>213: }</w:t>
      </w:r>
    </w:p>
    <w:p>
      <w:pPr>
        <w:pStyle w:val="NoSpacing"/>
      </w:pPr>
      <w:r>
        <w:rPr>
          <w:rFonts w:ascii="Courier New" w:hAnsi="Courier New"/>
          <w:sz w:val="12"/>
        </w:rPr>
        <w:t xml:space="preserve">214: </w:t>
      </w:r>
    </w:p>
    <w:p>
      <w:pPr>
        <w:pStyle w:val="NoSpacing"/>
      </w:pPr>
      <w:r>
        <w:rPr>
          <w:rFonts w:ascii="Courier New" w:hAnsi="Courier New"/>
          <w:sz w:val="12"/>
        </w:rPr>
        <w:t>215: static bool EntityExists(ServiceClient service, string entityLogicalName)</w:t>
      </w:r>
    </w:p>
    <w:p>
      <w:pPr>
        <w:pStyle w:val="NoSpacing"/>
      </w:pPr>
      <w:r>
        <w:rPr>
          <w:rFonts w:ascii="Courier New" w:hAnsi="Courier New"/>
          <w:sz w:val="12"/>
        </w:rPr>
        <w:t>216: {</w:t>
      </w:r>
    </w:p>
    <w:p>
      <w:pPr>
        <w:pStyle w:val="NoSpacing"/>
      </w:pPr>
      <w:r>
        <w:rPr>
          <w:rFonts w:ascii="Courier New" w:hAnsi="Courier New"/>
          <w:sz w:val="12"/>
        </w:rPr>
        <w:t>217:     try</w:t>
      </w:r>
    </w:p>
    <w:p>
      <w:pPr>
        <w:pStyle w:val="NoSpacing"/>
      </w:pPr>
      <w:r>
        <w:rPr>
          <w:rFonts w:ascii="Courier New" w:hAnsi="Courier New"/>
          <w:sz w:val="12"/>
        </w:rPr>
        <w:t>218:     {</w:t>
      </w:r>
    </w:p>
    <w:p>
      <w:pPr>
        <w:pStyle w:val="NoSpacing"/>
      </w:pPr>
      <w:r>
        <w:rPr>
          <w:rFonts w:ascii="Courier New" w:hAnsi="Courier New"/>
          <w:sz w:val="12"/>
        </w:rPr>
        <w:t>219:         service.Execute(new RetrieveEntityRequest</w:t>
      </w:r>
    </w:p>
    <w:p>
      <w:pPr>
        <w:pStyle w:val="NoSpacing"/>
      </w:pPr>
      <w:r>
        <w:rPr>
          <w:rFonts w:ascii="Courier New" w:hAnsi="Courier New"/>
          <w:sz w:val="12"/>
        </w:rPr>
        <w:t>220:         {</w:t>
      </w:r>
    </w:p>
    <w:p>
      <w:pPr>
        <w:pStyle w:val="NoSpacing"/>
      </w:pPr>
      <w:r>
        <w:rPr>
          <w:rFonts w:ascii="Courier New" w:hAnsi="Courier New"/>
          <w:sz w:val="12"/>
        </w:rPr>
        <w:t>221:             LogicalName = entityLogicalName,</w:t>
      </w:r>
    </w:p>
    <w:p>
      <w:pPr>
        <w:pStyle w:val="NoSpacing"/>
      </w:pPr>
      <w:r>
        <w:rPr>
          <w:rFonts w:ascii="Courier New" w:hAnsi="Courier New"/>
          <w:sz w:val="12"/>
        </w:rPr>
        <w:t>222:             EntityFilters = EntityFilters.Entity,</w:t>
      </w:r>
    </w:p>
    <w:p>
      <w:pPr>
        <w:pStyle w:val="NoSpacing"/>
      </w:pPr>
      <w:r>
        <w:rPr>
          <w:rFonts w:ascii="Courier New" w:hAnsi="Courier New"/>
          <w:sz w:val="12"/>
        </w:rPr>
        <w:t>223:             RetrieveAsIfPublished = true</w:t>
      </w:r>
    </w:p>
    <w:p>
      <w:pPr>
        <w:pStyle w:val="NoSpacing"/>
      </w:pPr>
      <w:r>
        <w:rPr>
          <w:rFonts w:ascii="Courier New" w:hAnsi="Courier New"/>
          <w:sz w:val="12"/>
        </w:rPr>
        <w:t>224:         });</w:t>
      </w:r>
    </w:p>
    <w:p>
      <w:pPr>
        <w:pStyle w:val="NoSpacing"/>
      </w:pPr>
      <w:r>
        <w:rPr>
          <w:rFonts w:ascii="Courier New" w:hAnsi="Courier New"/>
          <w:sz w:val="12"/>
        </w:rPr>
        <w:t xml:space="preserve">225: </w:t>
      </w:r>
    </w:p>
    <w:p>
      <w:pPr>
        <w:pStyle w:val="NoSpacing"/>
      </w:pPr>
      <w:r>
        <w:rPr>
          <w:rFonts w:ascii="Courier New" w:hAnsi="Courier New"/>
          <w:sz w:val="12"/>
        </w:rPr>
        <w:t>226:         return true;</w:t>
      </w:r>
    </w:p>
    <w:p>
      <w:pPr>
        <w:pStyle w:val="NoSpacing"/>
      </w:pPr>
      <w:r>
        <w:rPr>
          <w:rFonts w:ascii="Courier New" w:hAnsi="Courier New"/>
          <w:sz w:val="12"/>
        </w:rPr>
        <w:t>227:     }</w:t>
      </w:r>
    </w:p>
    <w:p>
      <w:pPr>
        <w:pStyle w:val="NoSpacing"/>
      </w:pPr>
      <w:r>
        <w:rPr>
          <w:rFonts w:ascii="Courier New" w:hAnsi="Courier New"/>
          <w:sz w:val="12"/>
        </w:rPr>
        <w:t>228:     catch</w:t>
      </w:r>
    </w:p>
    <w:p>
      <w:pPr>
        <w:pStyle w:val="NoSpacing"/>
      </w:pPr>
      <w:r>
        <w:rPr>
          <w:rFonts w:ascii="Courier New" w:hAnsi="Courier New"/>
          <w:sz w:val="12"/>
        </w:rPr>
        <w:t>229:     {</w:t>
      </w:r>
    </w:p>
    <w:p>
      <w:pPr>
        <w:pStyle w:val="NoSpacing"/>
      </w:pPr>
      <w:r>
        <w:rPr>
          <w:rFonts w:ascii="Courier New" w:hAnsi="Courier New"/>
          <w:sz w:val="12"/>
        </w:rPr>
        <w:t>230:         return false;</w:t>
      </w:r>
    </w:p>
    <w:p>
      <w:pPr>
        <w:pStyle w:val="NoSpacing"/>
      </w:pPr>
      <w:r>
        <w:rPr>
          <w:rFonts w:ascii="Courier New" w:hAnsi="Courier New"/>
          <w:sz w:val="12"/>
        </w:rPr>
        <w:t>231:     }</w:t>
      </w:r>
    </w:p>
    <w:p>
      <w:pPr>
        <w:pStyle w:val="NoSpacing"/>
      </w:pPr>
      <w:r>
        <w:rPr>
          <w:rFonts w:ascii="Courier New" w:hAnsi="Courier New"/>
          <w:sz w:val="12"/>
        </w:rPr>
        <w:t>232: }</w:t>
      </w:r>
    </w:p>
    <w:p>
      <w:pPr>
        <w:pStyle w:val="NoSpacing"/>
      </w:pPr>
      <w:r>
        <w:rPr>
          <w:rFonts w:ascii="Courier New" w:hAnsi="Courier New"/>
          <w:sz w:val="12"/>
        </w:rPr>
        <w:t xml:space="preserve">233: </w:t>
      </w:r>
    </w:p>
    <w:p>
      <w:pPr>
        <w:pStyle w:val="NoSpacing"/>
      </w:pPr>
      <w:r>
        <w:rPr>
          <w:rFonts w:ascii="Courier New" w:hAnsi="Courier New"/>
          <w:sz w:val="12"/>
        </w:rPr>
        <w:t>234: static HashSet&lt;string&gt; GetExistingAttributeLogicalNames(ServiceClient service, string entityLogicalName)</w:t>
      </w:r>
    </w:p>
    <w:p>
      <w:pPr>
        <w:pStyle w:val="NoSpacing"/>
      </w:pPr>
      <w:r>
        <w:rPr>
          <w:rFonts w:ascii="Courier New" w:hAnsi="Courier New"/>
          <w:sz w:val="12"/>
        </w:rPr>
        <w:t>235: {</w:t>
      </w:r>
    </w:p>
    <w:p>
      <w:pPr>
        <w:pStyle w:val="NoSpacing"/>
      </w:pPr>
      <w:r>
        <w:rPr>
          <w:rFonts w:ascii="Courier New" w:hAnsi="Courier New"/>
          <w:sz w:val="12"/>
        </w:rPr>
        <w:t>236:     var response = (RetrieveEntityResponse)service.Execute(new RetrieveEntityRequest</w:t>
      </w:r>
    </w:p>
    <w:p>
      <w:pPr>
        <w:pStyle w:val="NoSpacing"/>
      </w:pPr>
      <w:r>
        <w:rPr>
          <w:rFonts w:ascii="Courier New" w:hAnsi="Courier New"/>
          <w:sz w:val="12"/>
        </w:rPr>
        <w:t>237:     {</w:t>
      </w:r>
    </w:p>
    <w:p>
      <w:pPr>
        <w:pStyle w:val="NoSpacing"/>
      </w:pPr>
      <w:r>
        <w:rPr>
          <w:rFonts w:ascii="Courier New" w:hAnsi="Courier New"/>
          <w:sz w:val="12"/>
        </w:rPr>
        <w:t>238:         LogicalName = entityLogicalName,</w:t>
      </w:r>
    </w:p>
    <w:p>
      <w:pPr>
        <w:pStyle w:val="NoSpacing"/>
      </w:pPr>
      <w:r>
        <w:rPr>
          <w:rFonts w:ascii="Courier New" w:hAnsi="Courier New"/>
          <w:sz w:val="12"/>
        </w:rPr>
        <w:t>239:         EntityFilters = EntityFilters.Attributes,</w:t>
      </w:r>
    </w:p>
    <w:p>
      <w:pPr>
        <w:pStyle w:val="NoSpacing"/>
      </w:pPr>
      <w:r>
        <w:rPr>
          <w:rFonts w:ascii="Courier New" w:hAnsi="Courier New"/>
          <w:sz w:val="12"/>
        </w:rPr>
        <w:t>240:         RetrieveAsIfPublished = true</w:t>
      </w:r>
    </w:p>
    <w:p>
      <w:pPr>
        <w:pStyle w:val="NoSpacing"/>
      </w:pPr>
      <w:r>
        <w:rPr>
          <w:rFonts w:ascii="Courier New" w:hAnsi="Courier New"/>
          <w:sz w:val="12"/>
        </w:rPr>
        <w:t>241:     });</w:t>
      </w:r>
    </w:p>
    <w:p>
      <w:pPr>
        <w:pStyle w:val="NoSpacing"/>
      </w:pPr>
      <w:r>
        <w:rPr>
          <w:rFonts w:ascii="Courier New" w:hAnsi="Courier New"/>
          <w:sz w:val="12"/>
        </w:rPr>
        <w:t xml:space="preserve">242: </w:t>
      </w:r>
    </w:p>
    <w:p>
      <w:pPr>
        <w:pStyle w:val="NoSpacing"/>
      </w:pPr>
      <w:r>
        <w:rPr>
          <w:rFonts w:ascii="Courier New" w:hAnsi="Courier New"/>
          <w:sz w:val="12"/>
        </w:rPr>
        <w:t>243:     return response.EntityMetadata.Attributes</w:t>
      </w:r>
    </w:p>
    <w:p>
      <w:pPr>
        <w:pStyle w:val="NoSpacing"/>
      </w:pPr>
      <w:r>
        <w:rPr>
          <w:rFonts w:ascii="Courier New" w:hAnsi="Courier New"/>
          <w:sz w:val="12"/>
        </w:rPr>
        <w:t>244:         .Where(a =&gt; !string.IsNullOrWhiteSpace(a.LogicalName))</w:t>
      </w:r>
    </w:p>
    <w:p>
      <w:pPr>
        <w:pStyle w:val="NoSpacing"/>
      </w:pPr>
      <w:r>
        <w:rPr>
          <w:rFonts w:ascii="Courier New" w:hAnsi="Courier New"/>
          <w:sz w:val="12"/>
        </w:rPr>
        <w:t>245:         .Select(a =&gt; a.LogicalName!)</w:t>
      </w:r>
    </w:p>
    <w:p>
      <w:pPr>
        <w:pStyle w:val="NoSpacing"/>
      </w:pPr>
      <w:r>
        <w:rPr>
          <w:rFonts w:ascii="Courier New" w:hAnsi="Courier New"/>
          <w:sz w:val="12"/>
        </w:rPr>
        <w:t>246:         .ToHashSet(StringComparer.OrdinalIgnoreCase);</w:t>
      </w:r>
    </w:p>
    <w:p>
      <w:pPr>
        <w:pStyle w:val="NoSpacing"/>
      </w:pPr>
      <w:r>
        <w:rPr>
          <w:rFonts w:ascii="Courier New" w:hAnsi="Courier New"/>
          <w:sz w:val="12"/>
        </w:rPr>
        <w:t>247: }</w:t>
      </w:r>
    </w:p>
    <w:p>
      <w:pPr>
        <w:pStyle w:val="NoSpacing"/>
      </w:pPr>
      <w:r>
        <w:rPr>
          <w:rFonts w:ascii="Courier New" w:hAnsi="Courier New"/>
          <w:sz w:val="12"/>
        </w:rPr>
        <w:t xml:space="preserve">248: </w:t>
      </w:r>
    </w:p>
    <w:p>
      <w:pPr>
        <w:pStyle w:val="NoSpacing"/>
      </w:pPr>
      <w:r>
        <w:rPr>
          <w:rFonts w:ascii="Courier New" w:hAnsi="Courier New"/>
          <w:sz w:val="12"/>
        </w:rPr>
        <w:t>249: static Label Label(string value) =&gt; new(value, LanguageCode);</w:t>
      </w:r>
    </w:p>
    <w:p>
      <w:pPr>
        <w:pStyle w:val="NoSpacing"/>
      </w:pPr>
      <w:r>
        <w:rPr>
          <w:rFonts w:ascii="Courier New" w:hAnsi="Courier New"/>
          <w:sz w:val="12"/>
        </w:rPr>
        <w:t xml:space="preserve">250: </w:t>
      </w:r>
    </w:p>
    <w:p>
      <w:pPr>
        <w:pStyle w:val="NoSpacing"/>
      </w:pPr>
      <w:r>
        <w:rPr>
          <w:rFonts w:ascii="Courier New" w:hAnsi="Courier New"/>
          <w:sz w:val="12"/>
        </w:rPr>
        <w:t>251: static AttributeRequiredLevelManagedProperty Optional()</w:t>
      </w:r>
    </w:p>
    <w:p>
      <w:pPr>
        <w:pStyle w:val="NoSpacing"/>
      </w:pPr>
      <w:r>
        <w:rPr>
          <w:rFonts w:ascii="Courier New" w:hAnsi="Courier New"/>
          <w:sz w:val="12"/>
        </w:rPr>
        <w:t>252: {</w:t>
      </w:r>
    </w:p>
    <w:p>
      <w:pPr>
        <w:pStyle w:val="NoSpacing"/>
      </w:pPr>
      <w:r>
        <w:rPr>
          <w:rFonts w:ascii="Courier New" w:hAnsi="Courier New"/>
          <w:sz w:val="12"/>
        </w:rPr>
        <w:t>253:     return new AttributeRequiredLevelManagedProperty(AttributeRequiredLevel.None);</w:t>
      </w:r>
    </w:p>
    <w:p>
      <w:pPr>
        <w:pStyle w:val="NoSpacing"/>
      </w:pPr>
      <w:r>
        <w:rPr>
          <w:rFonts w:ascii="Courier New" w:hAnsi="Courier New"/>
          <w:sz w:val="12"/>
        </w:rPr>
        <w:t>254: }</w:t>
      </w:r>
    </w:p>
    <w:p>
      <w:pPr>
        <w:pStyle w:val="NoSpacing"/>
      </w:pPr>
      <w:r>
        <w:rPr>
          <w:rFonts w:ascii="Courier New" w:hAnsi="Courier New"/>
          <w:sz w:val="12"/>
        </w:rPr>
        <w:t xml:space="preserve">255: </w:t>
      </w:r>
    </w:p>
    <w:p>
      <w:pPr>
        <w:pStyle w:val="NoSpacing"/>
      </w:pPr>
      <w:r>
        <w:rPr>
          <w:rFonts w:ascii="Courier New" w:hAnsi="Courier New"/>
          <w:sz w:val="12"/>
        </w:rPr>
        <w:t>256: static StringAttributeMetadata Text(string schemaName, string displayName, int maxLength, string description)</w:t>
      </w:r>
    </w:p>
    <w:p>
      <w:pPr>
        <w:pStyle w:val="NoSpacing"/>
      </w:pPr>
      <w:r>
        <w:rPr>
          <w:rFonts w:ascii="Courier New" w:hAnsi="Courier New"/>
          <w:sz w:val="12"/>
        </w:rPr>
        <w:t>257: {</w:t>
      </w:r>
    </w:p>
    <w:p>
      <w:pPr>
        <w:pStyle w:val="NoSpacing"/>
      </w:pPr>
      <w:r>
        <w:rPr>
          <w:rFonts w:ascii="Courier New" w:hAnsi="Courier New"/>
          <w:sz w:val="12"/>
        </w:rPr>
        <w:t>258:     return new StringAttributeMetadata</w:t>
      </w:r>
    </w:p>
    <w:p>
      <w:pPr>
        <w:pStyle w:val="NoSpacing"/>
      </w:pPr>
      <w:r>
        <w:rPr>
          <w:rFonts w:ascii="Courier New" w:hAnsi="Courier New"/>
          <w:sz w:val="12"/>
        </w:rPr>
        <w:t>259:     {</w:t>
      </w:r>
    </w:p>
    <w:p>
      <w:pPr>
        <w:pStyle w:val="NoSpacing"/>
      </w:pPr>
      <w:r>
        <w:rPr>
          <w:rFonts w:ascii="Courier New" w:hAnsi="Courier New"/>
          <w:sz w:val="12"/>
        </w:rPr>
        <w:t>260:         SchemaName = schemaName,</w:t>
      </w:r>
    </w:p>
    <w:p>
      <w:pPr>
        <w:pStyle w:val="NoSpacing"/>
      </w:pPr>
      <w:r>
        <w:rPr>
          <w:rFonts w:ascii="Courier New" w:hAnsi="Courier New"/>
          <w:sz w:val="12"/>
        </w:rPr>
        <w:t>261:         DisplayName = Label(displayName),</w:t>
      </w:r>
    </w:p>
    <w:p>
      <w:pPr>
        <w:pStyle w:val="NoSpacing"/>
      </w:pPr>
      <w:r>
        <w:rPr>
          <w:rFonts w:ascii="Courier New" w:hAnsi="Courier New"/>
          <w:sz w:val="12"/>
        </w:rPr>
        <w:t>262:         Description = Label(description),</w:t>
      </w:r>
    </w:p>
    <w:p>
      <w:pPr>
        <w:pStyle w:val="NoSpacing"/>
      </w:pPr>
      <w:r>
        <w:rPr>
          <w:rFonts w:ascii="Courier New" w:hAnsi="Courier New"/>
          <w:sz w:val="12"/>
        </w:rPr>
        <w:t>263:         RequiredLevel = Optional(),</w:t>
      </w:r>
    </w:p>
    <w:p>
      <w:pPr>
        <w:pStyle w:val="NoSpacing"/>
      </w:pPr>
      <w:r>
        <w:rPr>
          <w:rFonts w:ascii="Courier New" w:hAnsi="Courier New"/>
          <w:sz w:val="12"/>
        </w:rPr>
        <w:t>264:         MaxLength = maxLength</w:t>
      </w:r>
    </w:p>
    <w:p>
      <w:pPr>
        <w:pStyle w:val="NoSpacing"/>
      </w:pPr>
      <w:r>
        <w:rPr>
          <w:rFonts w:ascii="Courier New" w:hAnsi="Courier New"/>
          <w:sz w:val="12"/>
        </w:rPr>
        <w:t>265:     };</w:t>
      </w:r>
    </w:p>
    <w:p>
      <w:pPr>
        <w:pStyle w:val="NoSpacing"/>
      </w:pPr>
      <w:r>
        <w:rPr>
          <w:rFonts w:ascii="Courier New" w:hAnsi="Courier New"/>
          <w:sz w:val="12"/>
        </w:rPr>
        <w:t>266: }</w:t>
      </w:r>
    </w:p>
    <w:p>
      <w:pPr>
        <w:pStyle w:val="NoSpacing"/>
      </w:pPr>
      <w:r>
        <w:rPr>
          <w:rFonts w:ascii="Courier New" w:hAnsi="Courier New"/>
          <w:sz w:val="12"/>
        </w:rPr>
        <w:t xml:space="preserve">267: </w:t>
      </w:r>
    </w:p>
    <w:p>
      <w:pPr>
        <w:pStyle w:val="NoSpacing"/>
      </w:pPr>
      <w:r>
        <w:rPr>
          <w:rFonts w:ascii="Courier New" w:hAnsi="Courier New"/>
          <w:sz w:val="12"/>
        </w:rPr>
        <w:t>268: static MemoAttributeMetadata Memo(string schemaName, string displayName, string description)</w:t>
      </w:r>
    </w:p>
    <w:p>
      <w:pPr>
        <w:pStyle w:val="NoSpacing"/>
      </w:pPr>
      <w:r>
        <w:rPr>
          <w:rFonts w:ascii="Courier New" w:hAnsi="Courier New"/>
          <w:sz w:val="12"/>
        </w:rPr>
        <w:t>269: {</w:t>
      </w:r>
    </w:p>
    <w:p>
      <w:pPr>
        <w:pStyle w:val="NoSpacing"/>
      </w:pPr>
      <w:r>
        <w:rPr>
          <w:rFonts w:ascii="Courier New" w:hAnsi="Courier New"/>
          <w:sz w:val="12"/>
        </w:rPr>
        <w:t>270:     return new MemoAttributeMetadata</w:t>
      </w:r>
    </w:p>
    <w:p>
      <w:pPr>
        <w:pStyle w:val="NoSpacing"/>
      </w:pPr>
      <w:r>
        <w:rPr>
          <w:rFonts w:ascii="Courier New" w:hAnsi="Courier New"/>
          <w:sz w:val="12"/>
        </w:rPr>
        <w:t>271:     {</w:t>
      </w:r>
    </w:p>
    <w:p>
      <w:pPr>
        <w:pStyle w:val="NoSpacing"/>
      </w:pPr>
      <w:r>
        <w:rPr>
          <w:rFonts w:ascii="Courier New" w:hAnsi="Courier New"/>
          <w:sz w:val="12"/>
        </w:rPr>
        <w:t>272:         SchemaName = schemaName,</w:t>
      </w:r>
    </w:p>
    <w:p>
      <w:pPr>
        <w:pStyle w:val="NoSpacing"/>
      </w:pPr>
      <w:r>
        <w:rPr>
          <w:rFonts w:ascii="Courier New" w:hAnsi="Courier New"/>
          <w:sz w:val="12"/>
        </w:rPr>
        <w:t>273:         DisplayName = Label(displayName),</w:t>
      </w:r>
    </w:p>
    <w:p>
      <w:pPr>
        <w:pStyle w:val="NoSpacing"/>
      </w:pPr>
      <w:r>
        <w:rPr>
          <w:rFonts w:ascii="Courier New" w:hAnsi="Courier New"/>
          <w:sz w:val="12"/>
        </w:rPr>
        <w:t>274:         Description = Label(description),</w:t>
      </w:r>
    </w:p>
    <w:p>
      <w:pPr>
        <w:pStyle w:val="NoSpacing"/>
      </w:pPr>
      <w:r>
        <w:rPr>
          <w:rFonts w:ascii="Courier New" w:hAnsi="Courier New"/>
          <w:sz w:val="12"/>
        </w:rPr>
        <w:t>275:         RequiredLevel = Optional(),</w:t>
      </w:r>
    </w:p>
    <w:p>
      <w:pPr>
        <w:pStyle w:val="NoSpacing"/>
      </w:pPr>
      <w:r>
        <w:rPr>
          <w:rFonts w:ascii="Courier New" w:hAnsi="Courier New"/>
          <w:sz w:val="12"/>
        </w:rPr>
        <w:t>276:         MaxLength = 4000</w:t>
      </w:r>
    </w:p>
    <w:p>
      <w:pPr>
        <w:pStyle w:val="NoSpacing"/>
      </w:pPr>
      <w:r>
        <w:rPr>
          <w:rFonts w:ascii="Courier New" w:hAnsi="Courier New"/>
          <w:sz w:val="12"/>
        </w:rPr>
        <w:t>277:     };</w:t>
      </w:r>
    </w:p>
    <w:p>
      <w:pPr>
        <w:pStyle w:val="NoSpacing"/>
      </w:pPr>
      <w:r>
        <w:rPr>
          <w:rFonts w:ascii="Courier New" w:hAnsi="Courier New"/>
          <w:sz w:val="12"/>
        </w:rPr>
        <w:t>278: }</w:t>
      </w:r>
    </w:p>
    <w:p>
      <w:pPr>
        <w:pStyle w:val="NoSpacing"/>
      </w:pPr>
      <w:r>
        <w:rPr>
          <w:rFonts w:ascii="Courier New" w:hAnsi="Courier New"/>
          <w:sz w:val="12"/>
        </w:rPr>
        <w:t xml:space="preserve">279: </w:t>
      </w:r>
    </w:p>
    <w:p>
      <w:pPr>
        <w:pStyle w:val="NoSpacing"/>
      </w:pPr>
      <w:r>
        <w:rPr>
          <w:rFonts w:ascii="Courier New" w:hAnsi="Courier New"/>
          <w:sz w:val="12"/>
        </w:rPr>
        <w:t>280: static DateTimeAttributeMetadata DateTimeField(string schemaName, string displayName, string description)</w:t>
      </w:r>
    </w:p>
    <w:p>
      <w:pPr>
        <w:pStyle w:val="NoSpacing"/>
      </w:pPr>
      <w:r>
        <w:rPr>
          <w:rFonts w:ascii="Courier New" w:hAnsi="Courier New"/>
          <w:sz w:val="12"/>
        </w:rPr>
        <w:t>281: {</w:t>
      </w:r>
    </w:p>
    <w:p>
      <w:pPr>
        <w:pStyle w:val="NoSpacing"/>
      </w:pPr>
      <w:r>
        <w:rPr>
          <w:rFonts w:ascii="Courier New" w:hAnsi="Courier New"/>
          <w:sz w:val="12"/>
        </w:rPr>
        <w:t>282:     return new DateTimeAttributeMetadata</w:t>
      </w:r>
    </w:p>
    <w:p>
      <w:pPr>
        <w:pStyle w:val="NoSpacing"/>
      </w:pPr>
      <w:r>
        <w:rPr>
          <w:rFonts w:ascii="Courier New" w:hAnsi="Courier New"/>
          <w:sz w:val="12"/>
        </w:rPr>
        <w:t>283:     {</w:t>
      </w:r>
    </w:p>
    <w:p>
      <w:pPr>
        <w:pStyle w:val="NoSpacing"/>
      </w:pPr>
      <w:r>
        <w:rPr>
          <w:rFonts w:ascii="Courier New" w:hAnsi="Courier New"/>
          <w:sz w:val="12"/>
        </w:rPr>
        <w:t>284:         SchemaName = schemaName,</w:t>
      </w:r>
    </w:p>
    <w:p>
      <w:pPr>
        <w:pStyle w:val="NoSpacing"/>
      </w:pPr>
      <w:r>
        <w:rPr>
          <w:rFonts w:ascii="Courier New" w:hAnsi="Courier New"/>
          <w:sz w:val="12"/>
        </w:rPr>
        <w:t>285:         DisplayName = Label(displayName),</w:t>
      </w:r>
    </w:p>
    <w:p>
      <w:pPr>
        <w:pStyle w:val="NoSpacing"/>
      </w:pPr>
      <w:r>
        <w:rPr>
          <w:rFonts w:ascii="Courier New" w:hAnsi="Courier New"/>
          <w:sz w:val="12"/>
        </w:rPr>
        <w:t>286:         Description = Label(description),</w:t>
      </w:r>
    </w:p>
    <w:p>
      <w:pPr>
        <w:pStyle w:val="NoSpacing"/>
      </w:pPr>
      <w:r>
        <w:rPr>
          <w:rFonts w:ascii="Courier New" w:hAnsi="Courier New"/>
          <w:sz w:val="12"/>
        </w:rPr>
        <w:t>287:         RequiredLevel = Optional(),</w:t>
      </w:r>
    </w:p>
    <w:p>
      <w:pPr>
        <w:pStyle w:val="NoSpacing"/>
      </w:pPr>
      <w:r>
        <w:rPr>
          <w:rFonts w:ascii="Courier New" w:hAnsi="Courier New"/>
          <w:sz w:val="12"/>
        </w:rPr>
        <w:t>288:         Format = DateTimeFormat.DateAndTime,</w:t>
      </w:r>
    </w:p>
    <w:p>
      <w:pPr>
        <w:pStyle w:val="NoSpacing"/>
      </w:pPr>
      <w:r>
        <w:rPr>
          <w:rFonts w:ascii="Courier New" w:hAnsi="Courier New"/>
          <w:sz w:val="12"/>
        </w:rPr>
        <w:t>289:         DateTimeBehavior = DateTimeBehavior.UserLocal</w:t>
      </w:r>
    </w:p>
    <w:p>
      <w:pPr>
        <w:pStyle w:val="NoSpacing"/>
      </w:pPr>
      <w:r>
        <w:rPr>
          <w:rFonts w:ascii="Courier New" w:hAnsi="Courier New"/>
          <w:sz w:val="12"/>
        </w:rPr>
        <w:t>290:     };</w:t>
      </w:r>
    </w:p>
    <w:p>
      <w:pPr>
        <w:pStyle w:val="NoSpacing"/>
      </w:pPr>
      <w:r>
        <w:rPr>
          <w:rFonts w:ascii="Courier New" w:hAnsi="Courier New"/>
          <w:sz w:val="12"/>
        </w:rPr>
        <w:t>291: }</w:t>
      </w:r>
    </w:p>
    <w:p>
      <w:pPr>
        <w:pStyle w:val="NoSpacing"/>
      </w:pPr>
      <w:r>
        <w:rPr>
          <w:rFonts w:ascii="Courier New" w:hAnsi="Courier New"/>
          <w:sz w:val="12"/>
        </w:rPr>
        <w:t xml:space="preserve">292: </w:t>
      </w:r>
    </w:p>
    <w:p>
      <w:pPr>
        <w:pStyle w:val="NoSpacing"/>
      </w:pPr>
      <w:r>
        <w:rPr>
          <w:rFonts w:ascii="Courier New" w:hAnsi="Courier New"/>
          <w:sz w:val="12"/>
        </w:rPr>
        <w:t>293: static PicklistAttributeMetadata LocalChoice(string schemaName, string displayName, string[] values, string description)</w:t>
      </w:r>
    </w:p>
    <w:p>
      <w:pPr>
        <w:pStyle w:val="NoSpacing"/>
      </w:pPr>
      <w:r>
        <w:rPr>
          <w:rFonts w:ascii="Courier New" w:hAnsi="Courier New"/>
          <w:sz w:val="12"/>
        </w:rPr>
        <w:t>294: {</w:t>
      </w:r>
    </w:p>
    <w:p>
      <w:pPr>
        <w:pStyle w:val="NoSpacing"/>
      </w:pPr>
      <w:r>
        <w:rPr>
          <w:rFonts w:ascii="Courier New" w:hAnsi="Courier New"/>
          <w:sz w:val="12"/>
        </w:rPr>
        <w:t>295:     var optionSet = new OptionSetMetadata</w:t>
      </w:r>
    </w:p>
    <w:p>
      <w:pPr>
        <w:pStyle w:val="NoSpacing"/>
      </w:pPr>
      <w:r>
        <w:rPr>
          <w:rFonts w:ascii="Courier New" w:hAnsi="Courier New"/>
          <w:sz w:val="12"/>
        </w:rPr>
        <w:t>296:     {</w:t>
      </w:r>
    </w:p>
    <w:p>
      <w:pPr>
        <w:pStyle w:val="NoSpacing"/>
      </w:pPr>
      <w:r>
        <w:rPr>
          <w:rFonts w:ascii="Courier New" w:hAnsi="Courier New"/>
          <w:sz w:val="12"/>
        </w:rPr>
        <w:t>297:         IsGlobal = false,</w:t>
      </w:r>
    </w:p>
    <w:p>
      <w:pPr>
        <w:pStyle w:val="NoSpacing"/>
      </w:pPr>
      <w:r>
        <w:rPr>
          <w:rFonts w:ascii="Courier New" w:hAnsi="Courier New"/>
          <w:sz w:val="12"/>
        </w:rPr>
        <w:t>298:         OptionSetType = OptionSetType.Picklist</w:t>
      </w:r>
    </w:p>
    <w:p>
      <w:pPr>
        <w:pStyle w:val="NoSpacing"/>
      </w:pPr>
      <w:r>
        <w:rPr>
          <w:rFonts w:ascii="Courier New" w:hAnsi="Courier New"/>
          <w:sz w:val="12"/>
        </w:rPr>
        <w:t>299:     };</w:t>
      </w:r>
    </w:p>
    <w:p>
      <w:pPr>
        <w:pStyle w:val="NoSpacing"/>
      </w:pPr>
      <w:r>
        <w:rPr>
          <w:rFonts w:ascii="Courier New" w:hAnsi="Courier New"/>
          <w:sz w:val="12"/>
        </w:rPr>
        <w:t xml:space="preserve">300: </w:t>
      </w:r>
    </w:p>
    <w:p>
      <w:pPr>
        <w:pStyle w:val="NoSpacing"/>
      </w:pPr>
      <w:r>
        <w:rPr>
          <w:rFonts w:ascii="Courier New" w:hAnsi="Courier New"/>
          <w:sz w:val="12"/>
        </w:rPr>
        <w:t>301:     foreach (var value in values)</w:t>
      </w:r>
    </w:p>
    <w:p>
      <w:pPr>
        <w:pStyle w:val="NoSpacing"/>
      </w:pPr>
      <w:r>
        <w:rPr>
          <w:rFonts w:ascii="Courier New" w:hAnsi="Courier New"/>
          <w:sz w:val="12"/>
        </w:rPr>
        <w:t>302:     {</w:t>
      </w:r>
    </w:p>
    <w:p>
      <w:pPr>
        <w:pStyle w:val="NoSpacing"/>
      </w:pPr>
      <w:r>
        <w:rPr>
          <w:rFonts w:ascii="Courier New" w:hAnsi="Courier New"/>
          <w:sz w:val="12"/>
        </w:rPr>
        <w:t>303:         optionSet.Options.Add(new OptionMetadata(Label(value), null));</w:t>
      </w:r>
    </w:p>
    <w:p>
      <w:pPr>
        <w:pStyle w:val="NoSpacing"/>
      </w:pPr>
      <w:r>
        <w:rPr>
          <w:rFonts w:ascii="Courier New" w:hAnsi="Courier New"/>
          <w:sz w:val="12"/>
        </w:rPr>
        <w:t>304:     }</w:t>
      </w:r>
    </w:p>
    <w:p>
      <w:pPr>
        <w:pStyle w:val="NoSpacing"/>
      </w:pPr>
      <w:r>
        <w:rPr>
          <w:rFonts w:ascii="Courier New" w:hAnsi="Courier New"/>
          <w:sz w:val="12"/>
        </w:rPr>
        <w:t xml:space="preserve">305: </w:t>
      </w:r>
    </w:p>
    <w:p>
      <w:pPr>
        <w:pStyle w:val="NoSpacing"/>
      </w:pPr>
      <w:r>
        <w:rPr>
          <w:rFonts w:ascii="Courier New" w:hAnsi="Courier New"/>
          <w:sz w:val="12"/>
        </w:rPr>
        <w:t>306:     return new PicklistAttributeMetadata</w:t>
      </w:r>
    </w:p>
    <w:p>
      <w:pPr>
        <w:pStyle w:val="NoSpacing"/>
      </w:pPr>
      <w:r>
        <w:rPr>
          <w:rFonts w:ascii="Courier New" w:hAnsi="Courier New"/>
          <w:sz w:val="12"/>
        </w:rPr>
        <w:t>307:     {</w:t>
      </w:r>
    </w:p>
    <w:p>
      <w:pPr>
        <w:pStyle w:val="NoSpacing"/>
      </w:pPr>
      <w:r>
        <w:rPr>
          <w:rFonts w:ascii="Courier New" w:hAnsi="Courier New"/>
          <w:sz w:val="12"/>
        </w:rPr>
        <w:t>308:         SchemaName = schemaName,</w:t>
      </w:r>
    </w:p>
    <w:p>
      <w:pPr>
        <w:pStyle w:val="NoSpacing"/>
      </w:pPr>
      <w:r>
        <w:rPr>
          <w:rFonts w:ascii="Courier New" w:hAnsi="Courier New"/>
          <w:sz w:val="12"/>
        </w:rPr>
        <w:t>309:         DisplayName = Label(displayName),</w:t>
      </w:r>
    </w:p>
    <w:p>
      <w:pPr>
        <w:pStyle w:val="NoSpacing"/>
      </w:pPr>
      <w:r>
        <w:rPr>
          <w:rFonts w:ascii="Courier New" w:hAnsi="Courier New"/>
          <w:sz w:val="12"/>
        </w:rPr>
        <w:t>310:         Description = Label(description),</w:t>
      </w:r>
    </w:p>
    <w:p>
      <w:pPr>
        <w:pStyle w:val="NoSpacing"/>
      </w:pPr>
      <w:r>
        <w:rPr>
          <w:rFonts w:ascii="Courier New" w:hAnsi="Courier New"/>
          <w:sz w:val="12"/>
        </w:rPr>
        <w:t>311:         RequiredLevel = Optional(),</w:t>
      </w:r>
    </w:p>
    <w:p>
      <w:pPr>
        <w:pStyle w:val="NoSpacing"/>
      </w:pPr>
      <w:r>
        <w:rPr>
          <w:rFonts w:ascii="Courier New" w:hAnsi="Courier New"/>
          <w:sz w:val="12"/>
        </w:rPr>
        <w:t>312:         OptionSet = optionSet</w:t>
      </w:r>
    </w:p>
    <w:p>
      <w:pPr>
        <w:pStyle w:val="NoSpacing"/>
      </w:pPr>
      <w:r>
        <w:rPr>
          <w:rFonts w:ascii="Courier New" w:hAnsi="Courier New"/>
          <w:sz w:val="12"/>
        </w:rPr>
        <w:t>313:     };</w:t>
      </w:r>
    </w:p>
    <w:p>
      <w:pPr>
        <w:pStyle w:val="NoSpacing"/>
      </w:pPr>
      <w:r>
        <w:rPr>
          <w:rFonts w:ascii="Courier New" w:hAnsi="Courier New"/>
          <w:sz w:val="12"/>
        </w:rPr>
        <w:t>314: }</w:t>
      </w:r>
    </w:p>
    <w:p>
      <w:pPr>
        <w:pStyle w:val="NoSpacing"/>
      </w:pPr>
      <w:r>
        <w:rPr>
          <w:rFonts w:ascii="Courier New" w:hAnsi="Courier New"/>
          <w:sz w:val="12"/>
        </w:rPr>
        <w:t>315: EOF</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Agentic Sales Orchestrator - Pending Commercial Action Documentation | Phoenicarix-CI | ASO.Core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