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Agentic Sales Orchestrator - Opportunity Lookup Fix</w:t>
      </w:r>
    </w:p>
    <w:p>
      <w:pPr>
        <w:jc w:val="center"/>
      </w:pPr>
      <w:r>
        <w:rPr>
          <w:rFonts w:ascii="Arial" w:hAnsi="Arial"/>
          <w:sz w:val="24"/>
        </w:rPr>
        <w:t>Customer-ready relationship fix runbook with true line-by-line script explanation</w:t>
      </w:r>
    </w:p>
    <w:p/>
    <w:p>
      <w:pPr>
        <w:pStyle w:val="Heading1"/>
      </w:pPr>
      <w:r>
        <w:t>Agentic Sales Orchestrator - Pending Commercial Action Opportunity Lookup Fix Runbook</w:t>
      </w:r>
    </w:p>
    <w:p>
      <w:r>
        <w:rPr>
          <w:rFonts w:ascii="Arial" w:hAnsi="Arial"/>
          <w:sz w:val="18"/>
        </w:rPr>
        <w:t>Customer-ready implementation guide for the relationship fix after the initial language-code error</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Item</w:t>
            </w:r>
          </w:p>
        </w:tc>
        <w:tc>
          <w:tcPr>
            <w:tcW w:type="dxa" w:w="7769"/>
            <w:shd w:fill="D9EAF7"/>
          </w:tcPr>
          <w:p>
            <w:r/>
            <w:r>
              <w:rPr>
                <w:rFonts w:ascii="Arial" w:hAnsi="Arial"/>
                <w:b/>
                <w:sz w:val="14"/>
              </w:rPr>
              <w:t>Value</w:t>
            </w:r>
          </w:p>
        </w:tc>
      </w:tr>
      <w:tr>
        <w:tc>
          <w:tcPr>
            <w:tcW w:type="dxa" w:w="7769"/>
            <w:vAlign w:val="top"/>
          </w:tcPr>
          <w:p>
            <w:r/>
            <w:r>
              <w:rPr>
                <w:rFonts w:ascii="Arial" w:hAnsi="Arial"/>
                <w:b w:val="0"/>
                <w:sz w:val="14"/>
              </w:rPr>
              <w:t>Environment</w:t>
            </w:r>
          </w:p>
        </w:tc>
        <w:tc>
          <w:tcPr>
            <w:tcW w:type="dxa" w:w="7769"/>
            <w:vAlign w:val="top"/>
          </w:tcPr>
          <w:p>
            <w:r/>
            <w:r>
              <w:rPr>
                <w:rFonts w:ascii="Arial" w:hAnsi="Arial"/>
                <w:b w:val="0"/>
                <w:sz w:val="14"/>
              </w:rPr>
              <w:t>Phoenicarix-CI</w:t>
            </w:r>
          </w:p>
        </w:tc>
      </w:tr>
      <w:tr>
        <w:tc>
          <w:tcPr>
            <w:tcW w:type="dxa" w:w="7769"/>
            <w:vAlign w:val="top"/>
          </w:tcPr>
          <w:p>
            <w:r/>
            <w:r>
              <w:rPr>
                <w:rFonts w:ascii="Arial" w:hAnsi="Arial"/>
                <w:b w:val="0"/>
                <w:sz w:val="14"/>
              </w:rPr>
              <w:t>Dataverse URL</w:t>
            </w:r>
          </w:p>
        </w:tc>
        <w:tc>
          <w:tcPr>
            <w:tcW w:type="dxa" w:w="7769"/>
            <w:vAlign w:val="top"/>
          </w:tcPr>
          <w:p>
            <w:r/>
            <w:r>
              <w:rPr>
                <w:rFonts w:ascii="Arial" w:hAnsi="Arial"/>
                <w:b w:val="0"/>
                <w:sz w:val="14"/>
              </w:rPr>
              <w:t>https://phoenicarix-ci.crm4.dynamics.com</w:t>
            </w:r>
          </w:p>
        </w:tc>
      </w:tr>
      <w:tr>
        <w:tc>
          <w:tcPr>
            <w:tcW w:type="dxa" w:w="7769"/>
            <w:vAlign w:val="top"/>
          </w:tcPr>
          <w:p>
            <w:r/>
            <w:r>
              <w:rPr>
                <w:rFonts w:ascii="Arial" w:hAnsi="Arial"/>
                <w:b w:val="0"/>
                <w:sz w:val="14"/>
              </w:rPr>
              <w:t>Solution</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Solution unique name</w:t>
            </w:r>
          </w:p>
        </w:tc>
        <w:tc>
          <w:tcPr>
            <w:tcW w:type="dxa" w:w="7769"/>
            <w:vAlign w:val="top"/>
          </w:tcPr>
          <w:p>
            <w:r/>
            <w:r>
              <w:rPr>
                <w:rFonts w:ascii="Arial" w:hAnsi="Arial"/>
                <w:b w:val="0"/>
                <w:sz w:val="14"/>
              </w:rPr>
              <w:t>ASOCore</w:t>
            </w:r>
          </w:p>
        </w:tc>
      </w:tr>
      <w:tr>
        <w:tc>
          <w:tcPr>
            <w:tcW w:type="dxa" w:w="7769"/>
            <w:vAlign w:val="top"/>
          </w:tcPr>
          <w:p>
            <w:r/>
            <w:r>
              <w:rPr>
                <w:rFonts w:ascii="Arial" w:hAnsi="Arial"/>
                <w:b w:val="0"/>
                <w:sz w:val="14"/>
              </w:rPr>
              <w:t>Target table</w:t>
            </w:r>
          </w:p>
        </w:tc>
        <w:tc>
          <w:tcPr>
            <w:tcW w:type="dxa" w:w="7769"/>
            <w:vAlign w:val="top"/>
          </w:tcPr>
          <w:p>
            <w:r/>
            <w:r>
              <w:rPr>
                <w:rFonts w:ascii="Arial" w:hAnsi="Arial"/>
                <w:b w:val="0"/>
                <w:sz w:val="14"/>
              </w:rPr>
              <w:t>Pending Commercial Action</w:t>
            </w:r>
          </w:p>
        </w:tc>
      </w:tr>
      <w:tr>
        <w:tc>
          <w:tcPr>
            <w:tcW w:type="dxa" w:w="7769"/>
            <w:vAlign w:val="top"/>
          </w:tcPr>
          <w:p>
            <w:r/>
            <w:r>
              <w:rPr>
                <w:rFonts w:ascii="Arial" w:hAnsi="Arial"/>
                <w:b w:val="0"/>
                <w:sz w:val="14"/>
              </w:rPr>
              <w:t>Target table logical name</w:t>
            </w:r>
          </w:p>
        </w:tc>
        <w:tc>
          <w:tcPr>
            <w:tcW w:type="dxa" w:w="7769"/>
            <w:vAlign w:val="top"/>
          </w:tcPr>
          <w:p>
            <w:r/>
            <w:r>
              <w:rPr>
                <w:rFonts w:ascii="Arial" w:hAnsi="Arial"/>
                <w:b w:val="0"/>
                <w:sz w:val="14"/>
              </w:rPr>
              <w:t>aso_pendingcommercialaction</w:t>
            </w:r>
          </w:p>
        </w:tc>
      </w:tr>
      <w:tr>
        <w:tc>
          <w:tcPr>
            <w:tcW w:type="dxa" w:w="7769"/>
            <w:vAlign w:val="top"/>
          </w:tcPr>
          <w:p>
            <w:r/>
            <w:r>
              <w:rPr>
                <w:rFonts w:ascii="Arial" w:hAnsi="Arial"/>
                <w:b w:val="0"/>
                <w:sz w:val="14"/>
              </w:rPr>
              <w:t>Missing component fixed</w:t>
            </w:r>
          </w:p>
        </w:tc>
        <w:tc>
          <w:tcPr>
            <w:tcW w:type="dxa" w:w="7769"/>
            <w:vAlign w:val="top"/>
          </w:tcPr>
          <w:p>
            <w:r/>
            <w:r>
              <w:rPr>
                <w:rFonts w:ascii="Arial" w:hAnsi="Arial"/>
                <w:b w:val="0"/>
                <w:sz w:val="14"/>
              </w:rPr>
              <w:t>Opportunity lookup / relationship</w:t>
            </w:r>
          </w:p>
        </w:tc>
      </w:tr>
      <w:tr>
        <w:tc>
          <w:tcPr>
            <w:tcW w:type="dxa" w:w="7769"/>
            <w:vAlign w:val="top"/>
          </w:tcPr>
          <w:p>
            <w:r/>
            <w:r>
              <w:rPr>
                <w:rFonts w:ascii="Arial" w:hAnsi="Arial"/>
                <w:b w:val="0"/>
                <w:sz w:val="14"/>
              </w:rPr>
              <w:t>Lookup schema name</w:t>
            </w:r>
          </w:p>
        </w:tc>
        <w:tc>
          <w:tcPr>
            <w:tcW w:type="dxa" w:w="7769"/>
            <w:vAlign w:val="top"/>
          </w:tcPr>
          <w:p>
            <w:r/>
            <w:r>
              <w:rPr>
                <w:rFonts w:ascii="Arial" w:hAnsi="Arial"/>
                <w:b w:val="0"/>
                <w:sz w:val="14"/>
              </w:rPr>
              <w:t>aso_opportunityid</w:t>
            </w:r>
          </w:p>
        </w:tc>
      </w:tr>
      <w:tr>
        <w:tc>
          <w:tcPr>
            <w:tcW w:type="dxa" w:w="7769"/>
            <w:vAlign w:val="top"/>
          </w:tcPr>
          <w:p>
            <w:r/>
            <w:r>
              <w:rPr>
                <w:rFonts w:ascii="Arial" w:hAnsi="Arial"/>
                <w:b w:val="0"/>
                <w:sz w:val="14"/>
              </w:rPr>
              <w:t>Relationship schema name</w:t>
            </w:r>
          </w:p>
        </w:tc>
        <w:tc>
          <w:tcPr>
            <w:tcW w:type="dxa" w:w="7769"/>
            <w:vAlign w:val="top"/>
          </w:tcPr>
          <w:p>
            <w:r/>
            <w:r>
              <w:rPr>
                <w:rFonts w:ascii="Arial" w:hAnsi="Arial"/>
                <w:b w:val="0"/>
                <w:sz w:val="14"/>
              </w:rPr>
              <w:t>aso_opportunity_aso_pendingcommercialaction</w:t>
            </w:r>
          </w:p>
        </w:tc>
      </w:tr>
      <w:tr>
        <w:tc>
          <w:tcPr>
            <w:tcW w:type="dxa" w:w="7769"/>
            <w:vAlign w:val="top"/>
          </w:tcPr>
          <w:p>
            <w:r/>
            <w:r>
              <w:rPr>
                <w:rFonts w:ascii="Arial" w:hAnsi="Arial"/>
                <w:b w:val="0"/>
                <w:sz w:val="14"/>
              </w:rPr>
              <w:t>Fix</w:t>
            </w:r>
          </w:p>
        </w:tc>
        <w:tc>
          <w:tcPr>
            <w:tcW w:type="dxa" w:w="7769"/>
            <w:vAlign w:val="top"/>
          </w:tcPr>
          <w:p>
            <w:r/>
            <w:r>
              <w:rPr>
                <w:rFonts w:ascii="Arial" w:hAnsi="Arial"/>
                <w:b w:val="0"/>
                <w:sz w:val="14"/>
              </w:rPr>
              <w:t>Use language code 1031 instead of 1033 for relationship labels</w:t>
            </w:r>
          </w:p>
        </w:tc>
      </w:tr>
      <w:tr>
        <w:tc>
          <w:tcPr>
            <w:tcW w:type="dxa" w:w="7769"/>
            <w:vAlign w:val="top"/>
          </w:tcPr>
          <w:p>
            <w:r/>
            <w:r>
              <w:rPr>
                <w:rFonts w:ascii="Arial" w:hAnsi="Arial"/>
                <w:b w:val="0"/>
                <w:sz w:val="14"/>
              </w:rPr>
              <w:t>Version</w:t>
            </w:r>
          </w:p>
        </w:tc>
        <w:tc>
          <w:tcPr>
            <w:tcW w:type="dxa" w:w="7769"/>
            <w:vAlign w:val="top"/>
          </w:tcPr>
          <w:p>
            <w:r/>
            <w:r>
              <w:rPr>
                <w:rFonts w:ascii="Arial" w:hAnsi="Arial"/>
                <w:b w:val="0"/>
                <w:sz w:val="14"/>
              </w:rPr>
              <w:t>v1.0</w:t>
            </w:r>
          </w:p>
        </w:tc>
      </w:tr>
      <w:tr>
        <w:tc>
          <w:tcPr>
            <w:tcW w:type="dxa" w:w="7769"/>
            <w:vAlign w:val="top"/>
          </w:tcPr>
          <w:p>
            <w:r/>
            <w:r>
              <w:rPr>
                <w:rFonts w:ascii="Arial" w:hAnsi="Arial"/>
                <w:b w:val="0"/>
                <w:sz w:val="14"/>
              </w:rPr>
              <w:t>Date</w:t>
            </w:r>
          </w:p>
        </w:tc>
        <w:tc>
          <w:tcPr>
            <w:tcW w:type="dxa" w:w="7769"/>
            <w:vAlign w:val="top"/>
          </w:tcPr>
          <w:p>
            <w:r/>
            <w:r>
              <w:rPr>
                <w:rFonts w:ascii="Arial" w:hAnsi="Arial"/>
                <w:b w:val="0"/>
                <w:sz w:val="14"/>
              </w:rPr>
              <w:t>2026-05-24</w:t>
            </w:r>
          </w:p>
        </w:tc>
      </w:tr>
    </w:tbl>
    <w:p/>
    <w:p>
      <w:pPr>
        <w:pStyle w:val="Heading2"/>
      </w:pPr>
      <w:r>
        <w:t>Executive summary</w:t>
      </w:r>
    </w:p>
    <w:p>
      <w:r>
        <w:rPr>
          <w:rFonts w:ascii="Arial" w:hAnsi="Arial"/>
          <w:sz w:val="18"/>
        </w:rPr>
        <w:t>The first Pending Commercial Action script created the table and its columns, but the Opportunity lookup relationship failed with this message:</w:t>
      </w:r>
    </w:p>
    <w:p>
      <w:pPr>
        <w:pStyle w:val="NoSpacing"/>
      </w:pPr>
      <w:r>
        <w:rPr>
          <w:rFonts w:ascii="Courier New" w:hAnsi="Courier New"/>
          <w:sz w:val="12"/>
        </w:rPr>
        <w:t>FAILED LOOKUP: aso_opportunityid</w:t>
      </w:r>
    </w:p>
    <w:p>
      <w:pPr>
        <w:pStyle w:val="NoSpacing"/>
      </w:pPr>
      <w:r>
        <w:rPr>
          <w:rFonts w:ascii="Courier New" w:hAnsi="Courier New"/>
          <w:sz w:val="12"/>
        </w:rPr>
        <w:t>The language code 1033 is not a valid language for this organization</w:t>
      </w:r>
    </w:p>
    <w:p>
      <w:r>
        <w:rPr>
          <w:rFonts w:ascii="Arial" w:hAnsi="Arial"/>
          <w:sz w:val="18"/>
        </w:rPr>
        <w:t>We fixed the issue with a second focused script. The fix script did not recreate the table and did not recreate the columns. It only checked whether aso_opportunityid existed, then created the missing many-to-one relationship from Pending Commercial Action to Opportunity using LanguageCode = 1031.</w:t>
      </w:r>
    </w:p>
    <w:p>
      <w:pPr>
        <w:pStyle w:val="Heading2"/>
      </w:pPr>
      <w:r>
        <w:t>Business objective</w:t>
      </w:r>
    </w:p>
    <w:p>
      <w:r>
        <w:rPr>
          <w:rFonts w:ascii="Arial" w:hAnsi="Arial"/>
          <w:sz w:val="18"/>
        </w:rPr>
        <w:t>The relationship is required because every pending commercial action should be traceable back to the Opportunity that triggered it. Without that lookup, the table could store commercial actions, but users and automations would not have a clean parent Opportunity reference.</w:t>
      </w:r>
    </w:p>
    <w:p>
      <w:pPr>
        <w:pStyle w:val="Heading2"/>
      </w:pPr>
      <w:r>
        <w:t>Technical objective</w:t>
      </w:r>
    </w:p>
    <w:p>
      <w:r>
        <w:rPr>
          <w:rFonts w:ascii="Arial" w:hAnsi="Arial"/>
          <w:sz w:val="18"/>
        </w:rPr>
        <w:t>Create a Dataverse lookup column aso_opportunityid on aso_pendingcommercialaction and a many-to-one relationship named aso_opportunity_aso_pendingcommercialaction, where Opportunity is the referenced/parent table and Pending Commercial Action is the referencing/child table.</w:t>
      </w:r>
    </w:p>
    <w:p>
      <w:pPr>
        <w:pStyle w:val="Heading2"/>
      </w:pPr>
      <w:r>
        <w:t>Scope</w:t>
      </w:r>
    </w:p>
    <w:p>
      <w:r>
        <w:rPr>
          <w:rFonts w:ascii="Arial" w:hAnsi="Arial"/>
          <w:sz w:val="18"/>
        </w:rPr>
        <w:t>In scope:</w:t>
      </w:r>
    </w:p>
    <w:p>
      <w:pPr>
        <w:pStyle w:val="ListBullet"/>
      </w:pPr>
      <w:r>
        <w:rPr>
          <w:rFonts w:ascii="Arial" w:hAnsi="Arial"/>
          <w:sz w:val="18"/>
        </w:rPr>
        <w:t>Read existing columns on `aso_pendingcommercialaction`.</w:t>
      </w:r>
    </w:p>
    <w:p>
      <w:pPr>
        <w:pStyle w:val="ListBullet"/>
      </w:pPr>
      <w:r>
        <w:rPr>
          <w:rFonts w:ascii="Arial" w:hAnsi="Arial"/>
          <w:sz w:val="18"/>
        </w:rPr>
        <w:t>Skip the fix if `aso_opportunityid` already exists.</w:t>
      </w:r>
    </w:p>
    <w:p>
      <w:pPr>
        <w:pStyle w:val="ListBullet"/>
      </w:pPr>
      <w:r>
        <w:rPr>
          <w:rFonts w:ascii="Arial" w:hAnsi="Arial"/>
          <w:sz w:val="18"/>
        </w:rPr>
        <w:t>Create relationship metadata using `CreateOneToManyRequest`.</w:t>
      </w:r>
    </w:p>
    <w:p>
      <w:pPr>
        <w:pStyle w:val="ListBullet"/>
      </w:pPr>
      <w:r>
        <w:rPr>
          <w:rFonts w:ascii="Arial" w:hAnsi="Arial"/>
          <w:sz w:val="18"/>
        </w:rPr>
        <w:t>Use German language code `1031` for labels.</w:t>
      </w:r>
    </w:p>
    <w:p>
      <w:pPr>
        <w:pStyle w:val="ListBullet"/>
      </w:pPr>
      <w:r>
        <w:rPr>
          <w:rFonts w:ascii="Arial" w:hAnsi="Arial"/>
          <w:sz w:val="18"/>
        </w:rPr>
        <w:t>Publish `aso_pendingcommercialaction` and `opportunity`.</w:t>
      </w:r>
    </w:p>
    <w:p>
      <w:pPr>
        <w:pStyle w:val="ListBullet"/>
      </w:pPr>
      <w:r>
        <w:rPr>
          <w:rFonts w:ascii="Arial" w:hAnsi="Arial"/>
          <w:sz w:val="18"/>
        </w:rPr>
        <w:t>Validate the relationship in Power Apps.</w:t>
      </w:r>
    </w:p>
    <w:p>
      <w:r>
        <w:rPr>
          <w:rFonts w:ascii="Arial" w:hAnsi="Arial"/>
          <w:sz w:val="18"/>
        </w:rPr>
        <w:t>Out of scope:</w:t>
      </w:r>
    </w:p>
    <w:p>
      <w:pPr>
        <w:pStyle w:val="ListBullet"/>
      </w:pPr>
      <w:r>
        <w:rPr>
          <w:rFonts w:ascii="Arial" w:hAnsi="Arial"/>
          <w:sz w:val="18"/>
        </w:rPr>
        <w:t>Recreating the table.</w:t>
      </w:r>
    </w:p>
    <w:p>
      <w:pPr>
        <w:pStyle w:val="ListBullet"/>
      </w:pPr>
      <w:r>
        <w:rPr>
          <w:rFonts w:ascii="Arial" w:hAnsi="Arial"/>
          <w:sz w:val="18"/>
        </w:rPr>
        <w:t>Recreating the fields.</w:t>
      </w:r>
    </w:p>
    <w:p>
      <w:pPr>
        <w:pStyle w:val="ListBullet"/>
      </w:pPr>
      <w:r>
        <w:rPr>
          <w:rFonts w:ascii="Arial" w:hAnsi="Arial"/>
          <w:sz w:val="18"/>
        </w:rPr>
        <w:t>Changing the previous Action Type or Status choices.</w:t>
      </w:r>
    </w:p>
    <w:p>
      <w:pPr>
        <w:pStyle w:val="ListBullet"/>
      </w:pPr>
      <w:r>
        <w:rPr>
          <w:rFonts w:ascii="Arial" w:hAnsi="Arial"/>
          <w:sz w:val="18"/>
        </w:rPr>
        <w:t>Building forms, flows, approvals, or SAP integration.</w:t>
      </w:r>
    </w:p>
    <w:p>
      <w:pPr>
        <w:pStyle w:val="Heading2"/>
      </w:pPr>
      <w:r>
        <w:t>Root cause and resolution</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Area</w:t>
            </w:r>
          </w:p>
        </w:tc>
        <w:tc>
          <w:tcPr>
            <w:tcW w:type="dxa" w:w="7769"/>
            <w:shd w:fill="D9EAF7"/>
          </w:tcPr>
          <w:p>
            <w:r/>
            <w:r>
              <w:rPr>
                <w:rFonts w:ascii="Arial" w:hAnsi="Arial"/>
                <w:b/>
                <w:sz w:val="14"/>
              </w:rPr>
              <w:t>Explanation</w:t>
            </w:r>
          </w:p>
        </w:tc>
      </w:tr>
      <w:tr>
        <w:tc>
          <w:tcPr>
            <w:tcW w:type="dxa" w:w="7769"/>
            <w:vAlign w:val="top"/>
          </w:tcPr>
          <w:p>
            <w:r/>
            <w:r>
              <w:rPr>
                <w:rFonts w:ascii="Arial" w:hAnsi="Arial"/>
                <w:b w:val="0"/>
                <w:sz w:val="14"/>
              </w:rPr>
              <w:t>What failed</w:t>
            </w:r>
          </w:p>
        </w:tc>
        <w:tc>
          <w:tcPr>
            <w:tcW w:type="dxa" w:w="7769"/>
            <w:vAlign w:val="top"/>
          </w:tcPr>
          <w:p>
            <w:r/>
            <w:r>
              <w:rPr>
                <w:rFonts w:ascii="Arial" w:hAnsi="Arial"/>
                <w:b w:val="0"/>
                <w:sz w:val="14"/>
              </w:rPr>
              <w:t>The lookup relationship creation failed in the initial script.</w:t>
            </w:r>
          </w:p>
        </w:tc>
      </w:tr>
      <w:tr>
        <w:tc>
          <w:tcPr>
            <w:tcW w:type="dxa" w:w="7769"/>
            <w:vAlign w:val="top"/>
          </w:tcPr>
          <w:p>
            <w:r/>
            <w:r>
              <w:rPr>
                <w:rFonts w:ascii="Arial" w:hAnsi="Arial"/>
                <w:b w:val="0"/>
                <w:sz w:val="14"/>
              </w:rPr>
              <w:t>Error text</w:t>
            </w:r>
          </w:p>
        </w:tc>
        <w:tc>
          <w:tcPr>
            <w:tcW w:type="dxa" w:w="7769"/>
            <w:vAlign w:val="top"/>
          </w:tcPr>
          <w:p>
            <w:r/>
            <w:r>
              <w:rPr>
                <w:rFonts w:ascii="Arial" w:hAnsi="Arial"/>
                <w:b w:val="0"/>
                <w:sz w:val="14"/>
              </w:rPr>
              <w:t>The language code 1033 is not a valid language for this organization</w:t>
            </w:r>
          </w:p>
        </w:tc>
      </w:tr>
      <w:tr>
        <w:tc>
          <w:tcPr>
            <w:tcW w:type="dxa" w:w="7769"/>
            <w:vAlign w:val="top"/>
          </w:tcPr>
          <w:p>
            <w:r/>
            <w:r>
              <w:rPr>
                <w:rFonts w:ascii="Arial" w:hAnsi="Arial"/>
                <w:b w:val="0"/>
                <w:sz w:val="14"/>
              </w:rPr>
              <w:t>Why it failed</w:t>
            </w:r>
          </w:p>
        </w:tc>
        <w:tc>
          <w:tcPr>
            <w:tcW w:type="dxa" w:w="7769"/>
            <w:vAlign w:val="top"/>
          </w:tcPr>
          <w:p>
            <w:r/>
            <w:r>
              <w:rPr>
                <w:rFonts w:ascii="Arial" w:hAnsi="Arial"/>
                <w:b w:val="0"/>
                <w:sz w:val="14"/>
              </w:rPr>
              <w:t>The organization rejected the English label language code for this metadata operation.</w:t>
            </w:r>
          </w:p>
        </w:tc>
      </w:tr>
      <w:tr>
        <w:tc>
          <w:tcPr>
            <w:tcW w:type="dxa" w:w="7769"/>
            <w:vAlign w:val="top"/>
          </w:tcPr>
          <w:p>
            <w:r/>
            <w:r>
              <w:rPr>
                <w:rFonts w:ascii="Arial" w:hAnsi="Arial"/>
                <w:b w:val="0"/>
                <w:sz w:val="14"/>
              </w:rPr>
              <w:t>What we changed</w:t>
            </w:r>
          </w:p>
        </w:tc>
        <w:tc>
          <w:tcPr>
            <w:tcW w:type="dxa" w:w="7769"/>
            <w:vAlign w:val="top"/>
          </w:tcPr>
          <w:p>
            <w:r/>
            <w:r>
              <w:rPr>
                <w:rFonts w:ascii="Arial" w:hAnsi="Arial"/>
                <w:b w:val="0"/>
                <w:sz w:val="14"/>
              </w:rPr>
              <w:t>The fix script uses const int LanguageCode = 1031;</w:t>
            </w:r>
          </w:p>
        </w:tc>
      </w:tr>
      <w:tr>
        <w:tc>
          <w:tcPr>
            <w:tcW w:type="dxa" w:w="7769"/>
            <w:vAlign w:val="top"/>
          </w:tcPr>
          <w:p>
            <w:r/>
            <w:r>
              <w:rPr>
                <w:rFonts w:ascii="Arial" w:hAnsi="Arial"/>
                <w:b w:val="0"/>
                <w:sz w:val="14"/>
              </w:rPr>
              <w:t>Why this worked</w:t>
            </w:r>
          </w:p>
        </w:tc>
        <w:tc>
          <w:tcPr>
            <w:tcW w:type="dxa" w:w="7769"/>
            <w:vAlign w:val="top"/>
          </w:tcPr>
          <w:p>
            <w:r/>
            <w:r>
              <w:rPr>
                <w:rFonts w:ascii="Arial" w:hAnsi="Arial"/>
                <w:b w:val="0"/>
                <w:sz w:val="14"/>
              </w:rPr>
              <w:t>1031 is German, which is supported in the current environment/user interface context.</w:t>
            </w:r>
          </w:p>
        </w:tc>
      </w:tr>
      <w:tr>
        <w:tc>
          <w:tcPr>
            <w:tcW w:type="dxa" w:w="7769"/>
            <w:vAlign w:val="top"/>
          </w:tcPr>
          <w:p>
            <w:r/>
            <w:r>
              <w:rPr>
                <w:rFonts w:ascii="Arial" w:hAnsi="Arial"/>
                <w:b w:val="0"/>
                <w:sz w:val="14"/>
              </w:rPr>
              <w:t>What was created</w:t>
            </w:r>
          </w:p>
        </w:tc>
        <w:tc>
          <w:tcPr>
            <w:tcW w:type="dxa" w:w="7769"/>
            <w:vAlign w:val="top"/>
          </w:tcPr>
          <w:p>
            <w:r/>
            <w:r>
              <w:rPr>
                <w:rFonts w:ascii="Arial" w:hAnsi="Arial"/>
                <w:b w:val="0"/>
                <w:sz w:val="14"/>
              </w:rPr>
              <w:t>Lookup aso_opportunityid and relationship aso_opportunity_aso_pendingcommercialaction.</w:t>
            </w:r>
          </w:p>
        </w:tc>
      </w:tr>
    </w:tbl>
    <w:p/>
    <w:p>
      <w:pPr>
        <w:pStyle w:val="Heading2"/>
      </w:pPr>
      <w:r>
        <w:t>Architecture/context</w:t>
      </w:r>
    </w:p>
    <w:p>
      <w:pPr>
        <w:pStyle w:val="NoSpacing"/>
      </w:pPr>
      <w:r>
        <w:rPr>
          <w:rFonts w:ascii="Courier New" w:hAnsi="Courier New"/>
          <w:sz w:val="12"/>
        </w:rPr>
        <w:t>Opportunity (opportunity)</w:t>
      </w:r>
    </w:p>
    <w:p>
      <w:pPr>
        <w:pStyle w:val="NoSpacing"/>
      </w:pPr>
      <w:r>
        <w:rPr>
          <w:rFonts w:ascii="Courier New" w:hAnsi="Courier New"/>
          <w:sz w:val="12"/>
        </w:rPr>
        <w:t xml:space="preserve">  1 -&gt; many</w:t>
      </w:r>
    </w:p>
    <w:p>
      <w:pPr>
        <w:pStyle w:val="NoSpacing"/>
      </w:pPr>
      <w:r>
        <w:rPr>
          <w:rFonts w:ascii="Courier New" w:hAnsi="Courier New"/>
          <w:sz w:val="12"/>
        </w:rPr>
        <w:t>Pending Commercial Action (aso_pendingcommercialaction)</w:t>
      </w:r>
    </w:p>
    <w:p>
      <w:pPr>
        <w:pStyle w:val="NoSpacing"/>
      </w:pPr>
      <w:r>
        <w:rPr>
          <w:rFonts w:ascii="Courier New" w:hAnsi="Courier New"/>
          <w:sz w:val="12"/>
        </w:rPr>
        <w:t xml:space="preserve">  lookup column: aso_opportunityid</w:t>
      </w:r>
    </w:p>
    <w:p>
      <w:r>
        <w:rPr>
          <w:rFonts w:ascii="Arial" w:hAnsi="Arial"/>
          <w:sz w:val="18"/>
        </w:rPr>
        <w:t>From the user perspective, this means a Pending Commercial Action can now be related to a specific Opportunity. From a technical perspective, automations can use the lookup to query all pending commercial actions for one opportunity or write back the opportunity context when staging an action.</w:t>
      </w:r>
    </w:p>
    <w:p>
      <w:pPr>
        <w:pStyle w:val="Heading2"/>
      </w:pPr>
      <w:r>
        <w:t>Step-by-step implementation summary</w:t>
      </w:r>
    </w:p>
    <w:p>
      <w:r>
        <w:rPr>
          <w:rFonts w:ascii="Arial" w:hAnsi="Arial"/>
          <w:sz w:val="18"/>
        </w:rPr>
        <w:t>1. The initial script created table and columns.</w:t>
      </w:r>
    </w:p>
    <w:p>
      <w:r>
        <w:rPr>
          <w:rFonts w:ascii="Arial" w:hAnsi="Arial"/>
          <w:sz w:val="18"/>
        </w:rPr>
        <w:t>2. The lookup failed because of language code 1033.</w:t>
      </w:r>
    </w:p>
    <w:p>
      <w:r>
        <w:rPr>
          <w:rFonts w:ascii="Arial" w:hAnsi="Arial"/>
          <w:sz w:val="18"/>
        </w:rPr>
        <w:t>3. We left the successful table/column changes in place.</w:t>
      </w:r>
    </w:p>
    <w:p>
      <w:r>
        <w:rPr>
          <w:rFonts w:ascii="Arial" w:hAnsi="Arial"/>
          <w:sz w:val="18"/>
        </w:rPr>
        <w:t>4. We replaced Program.cs with a focused fix script.</w:t>
      </w:r>
    </w:p>
    <w:p>
      <w:r>
        <w:rPr>
          <w:rFonts w:ascii="Arial" w:hAnsi="Arial"/>
          <w:sz w:val="18"/>
        </w:rPr>
        <w:t>5. The fix script used LanguageCode = 1031.</w:t>
      </w:r>
    </w:p>
    <w:p>
      <w:r>
        <w:rPr>
          <w:rFonts w:ascii="Arial" w:hAnsi="Arial"/>
          <w:sz w:val="18"/>
        </w:rPr>
        <w:t>6. The fix script checked whether aso_opportunityid already existed.</w:t>
      </w:r>
    </w:p>
    <w:p>
      <w:r>
        <w:rPr>
          <w:rFonts w:ascii="Arial" w:hAnsi="Arial"/>
          <w:sz w:val="18"/>
        </w:rPr>
        <w:t>7. The fix script created the one-to-many relationship and lookup.</w:t>
      </w:r>
    </w:p>
    <w:p>
      <w:r>
        <w:rPr>
          <w:rFonts w:ascii="Arial" w:hAnsi="Arial"/>
          <w:sz w:val="18"/>
        </w:rPr>
        <w:t>8. The script published both Pending Commercial Action and Opportunity metadata.</w:t>
      </w:r>
    </w:p>
    <w:p>
      <w:r>
        <w:rPr>
          <w:rFonts w:ascii="Arial" w:hAnsi="Arial"/>
          <w:sz w:val="18"/>
        </w:rPr>
        <w:t>9. We validated the relationship in Power Apps under the Relationships area.</w:t>
      </w:r>
    </w:p>
    <w:p>
      <w:pPr>
        <w:pStyle w:val="Heading2"/>
      </w:pPr>
      <w:r>
        <w:t>Validation checklist</w:t>
      </w:r>
    </w:p>
    <w:tbl>
      <w:tblPr>
        <w:tblStyle w:val="TableGrid"/>
        <w:tblW w:type="auto" w:w="0"/>
        <w:jc w:val="center"/>
        <w:tblLook w:firstColumn="1" w:firstRow="1" w:lastColumn="0" w:lastRow="0" w:noHBand="0" w:noVBand="1" w:val="04A0"/>
      </w:tblPr>
      <w:tblGrid>
        <w:gridCol w:w="7769"/>
        <w:gridCol w:w="7769"/>
      </w:tblGrid>
      <w:tr>
        <w:tc>
          <w:tcPr>
            <w:tcW w:type="dxa" w:w="7769"/>
            <w:shd w:fill="D9EAF7"/>
          </w:tcPr>
          <w:p>
            <w:r/>
            <w:r>
              <w:rPr>
                <w:rFonts w:ascii="Arial" w:hAnsi="Arial"/>
                <w:b/>
                <w:sz w:val="14"/>
              </w:rPr>
              <w:t>Check</w:t>
            </w:r>
          </w:p>
        </w:tc>
        <w:tc>
          <w:tcPr>
            <w:tcW w:type="dxa" w:w="7769"/>
            <w:shd w:fill="D9EAF7"/>
          </w:tcPr>
          <w:p>
            <w:r/>
            <w:r>
              <w:rPr>
                <w:rFonts w:ascii="Arial" w:hAnsi="Arial"/>
                <w:b/>
                <w:sz w:val="14"/>
              </w:rPr>
              <w:t>Expected result</w:t>
            </w:r>
          </w:p>
        </w:tc>
      </w:tr>
      <w:tr>
        <w:tc>
          <w:tcPr>
            <w:tcW w:type="dxa" w:w="7769"/>
            <w:vAlign w:val="top"/>
          </w:tcPr>
          <w:p>
            <w:r/>
            <w:r>
              <w:rPr>
                <w:rFonts w:ascii="Arial" w:hAnsi="Arial"/>
                <w:b w:val="0"/>
                <w:sz w:val="14"/>
              </w:rPr>
              <w:t>Terminal output</w:t>
            </w:r>
          </w:p>
        </w:tc>
        <w:tc>
          <w:tcPr>
            <w:tcW w:type="dxa" w:w="7769"/>
            <w:vAlign w:val="top"/>
          </w:tcPr>
          <w:p>
            <w:r/>
            <w:r>
              <w:rPr>
                <w:rFonts w:ascii="Arial" w:hAnsi="Arial"/>
                <w:b w:val="0"/>
                <w:sz w:val="14"/>
              </w:rPr>
              <w:t>CREATED LOOKUP: aso_opportunityid</w:t>
            </w:r>
          </w:p>
        </w:tc>
      </w:tr>
      <w:tr>
        <w:tc>
          <w:tcPr>
            <w:tcW w:type="dxa" w:w="7769"/>
            <w:vAlign w:val="top"/>
          </w:tcPr>
          <w:p>
            <w:r/>
            <w:r>
              <w:rPr>
                <w:rFonts w:ascii="Arial" w:hAnsi="Arial"/>
                <w:b w:val="0"/>
                <w:sz w:val="14"/>
              </w:rPr>
              <w:t>Relationship visible</w:t>
            </w:r>
          </w:p>
        </w:tc>
        <w:tc>
          <w:tcPr>
            <w:tcW w:type="dxa" w:w="7769"/>
            <w:vAlign w:val="top"/>
          </w:tcPr>
          <w:p>
            <w:r/>
            <w:r>
              <w:rPr>
                <w:rFonts w:ascii="Arial" w:hAnsi="Arial"/>
                <w:b w:val="0"/>
                <w:sz w:val="14"/>
              </w:rPr>
              <w:t>aso_opportunity_aso_pendingcommercialaction appears</w:t>
            </w:r>
          </w:p>
        </w:tc>
      </w:tr>
      <w:tr>
        <w:tc>
          <w:tcPr>
            <w:tcW w:type="dxa" w:w="7769"/>
            <w:vAlign w:val="top"/>
          </w:tcPr>
          <w:p>
            <w:r/>
            <w:r>
              <w:rPr>
                <w:rFonts w:ascii="Arial" w:hAnsi="Arial"/>
                <w:b w:val="0"/>
                <w:sz w:val="14"/>
              </w:rPr>
              <w:t>Relationship display</w:t>
            </w:r>
          </w:p>
        </w:tc>
        <w:tc>
          <w:tcPr>
            <w:tcW w:type="dxa" w:w="7769"/>
            <w:vAlign w:val="top"/>
          </w:tcPr>
          <w:p>
            <w:r/>
            <w:r>
              <w:rPr>
                <w:rFonts w:ascii="Arial" w:hAnsi="Arial"/>
                <w:b w:val="0"/>
                <w:sz w:val="14"/>
              </w:rPr>
              <w:t>Opportunity</w:t>
            </w:r>
          </w:p>
        </w:tc>
      </w:tr>
      <w:tr>
        <w:tc>
          <w:tcPr>
            <w:tcW w:type="dxa" w:w="7769"/>
            <w:vAlign w:val="top"/>
          </w:tcPr>
          <w:p>
            <w:r/>
            <w:r>
              <w:rPr>
                <w:rFonts w:ascii="Arial" w:hAnsi="Arial"/>
                <w:b w:val="0"/>
                <w:sz w:val="14"/>
              </w:rPr>
              <w:t>Related table</w:t>
            </w:r>
          </w:p>
        </w:tc>
        <w:tc>
          <w:tcPr>
            <w:tcW w:type="dxa" w:w="7769"/>
            <w:vAlign w:val="top"/>
          </w:tcPr>
          <w:p>
            <w:r/>
            <w:r>
              <w:rPr>
                <w:rFonts w:ascii="Arial" w:hAnsi="Arial"/>
                <w:b w:val="0"/>
                <w:sz w:val="14"/>
              </w:rPr>
              <w:t>Opportunity / Verkaufschance</w:t>
            </w:r>
          </w:p>
        </w:tc>
      </w:tr>
      <w:tr>
        <w:tc>
          <w:tcPr>
            <w:tcW w:type="dxa" w:w="7769"/>
            <w:vAlign w:val="top"/>
          </w:tcPr>
          <w:p>
            <w:r/>
            <w:r>
              <w:rPr>
                <w:rFonts w:ascii="Arial" w:hAnsi="Arial"/>
                <w:b w:val="0"/>
                <w:sz w:val="14"/>
              </w:rPr>
              <w:t>Type</w:t>
            </w:r>
          </w:p>
        </w:tc>
        <w:tc>
          <w:tcPr>
            <w:tcW w:type="dxa" w:w="7769"/>
            <w:vAlign w:val="top"/>
          </w:tcPr>
          <w:p>
            <w:r/>
            <w:r>
              <w:rPr>
                <w:rFonts w:ascii="Arial" w:hAnsi="Arial"/>
                <w:b w:val="0"/>
                <w:sz w:val="14"/>
              </w:rPr>
              <w:t>Many-to-one from Pending Commercial Action to Opportunity</w:t>
            </w:r>
          </w:p>
        </w:tc>
      </w:tr>
      <w:tr>
        <w:tc>
          <w:tcPr>
            <w:tcW w:type="dxa" w:w="7769"/>
            <w:vAlign w:val="top"/>
          </w:tcPr>
          <w:p>
            <w:r/>
            <w:r>
              <w:rPr>
                <w:rFonts w:ascii="Arial" w:hAnsi="Arial"/>
                <w:b w:val="0"/>
                <w:sz w:val="14"/>
              </w:rPr>
              <w:t>Publish completed</w:t>
            </w:r>
          </w:p>
        </w:tc>
        <w:tc>
          <w:tcPr>
            <w:tcW w:type="dxa" w:w="7769"/>
            <w:vAlign w:val="top"/>
          </w:tcPr>
          <w:p>
            <w:r/>
            <w:r>
              <w:rPr>
                <w:rFonts w:ascii="Arial" w:hAnsi="Arial"/>
                <w:b w:val="0"/>
                <w:sz w:val="14"/>
              </w:rPr>
              <w:t>Script ends with Done. Validate...</w:t>
            </w:r>
          </w:p>
        </w:tc>
      </w:tr>
    </w:tbl>
    <w:p/>
    <w:p>
      <w:pPr>
        <w:pStyle w:val="Heading2"/>
      </w:pPr>
      <w:r>
        <w:t>Troubleshooting guide</w:t>
      </w:r>
    </w:p>
    <w:tbl>
      <w:tblPr>
        <w:tblStyle w:val="TableGrid"/>
        <w:tblW w:type="auto" w:w="0"/>
        <w:jc w:val="center"/>
        <w:tblLook w:firstColumn="1" w:firstRow="1" w:lastColumn="0" w:lastRow="0" w:noHBand="0" w:noVBand="1" w:val="04A0"/>
      </w:tblPr>
      <w:tblGrid>
        <w:gridCol w:w="5179"/>
        <w:gridCol w:w="5179"/>
        <w:gridCol w:w="5179"/>
      </w:tblGrid>
      <w:tr>
        <w:tc>
          <w:tcPr>
            <w:tcW w:type="dxa" w:w="5179"/>
            <w:shd w:fill="D9EAF7"/>
          </w:tcPr>
          <w:p>
            <w:r/>
            <w:r>
              <w:rPr>
                <w:rFonts w:ascii="Arial" w:hAnsi="Arial"/>
                <w:b/>
                <w:sz w:val="14"/>
              </w:rPr>
              <w:t>Symptom</w:t>
            </w:r>
          </w:p>
        </w:tc>
        <w:tc>
          <w:tcPr>
            <w:tcW w:type="dxa" w:w="5179"/>
            <w:shd w:fill="D9EAF7"/>
          </w:tcPr>
          <w:p>
            <w:r/>
            <w:r>
              <w:rPr>
                <w:rFonts w:ascii="Arial" w:hAnsi="Arial"/>
                <w:b/>
                <w:sz w:val="14"/>
              </w:rPr>
              <w:t>Likely cause</w:t>
            </w:r>
          </w:p>
        </w:tc>
        <w:tc>
          <w:tcPr>
            <w:tcW w:type="dxa" w:w="5179"/>
            <w:shd w:fill="D9EAF7"/>
          </w:tcPr>
          <w:p>
            <w:r/>
            <w:r>
              <w:rPr>
                <w:rFonts w:ascii="Arial" w:hAnsi="Arial"/>
                <w:b/>
                <w:sz w:val="14"/>
              </w:rPr>
              <w:t>Action</w:t>
            </w:r>
          </w:p>
        </w:tc>
      </w:tr>
      <w:tr>
        <w:tc>
          <w:tcPr>
            <w:tcW w:type="dxa" w:w="5179"/>
            <w:vAlign w:val="top"/>
          </w:tcPr>
          <w:p>
            <w:r/>
            <w:r>
              <w:rPr>
                <w:rFonts w:ascii="Arial" w:hAnsi="Arial"/>
                <w:b w:val="0"/>
                <w:sz w:val="14"/>
              </w:rPr>
              <w:t>1033 is not valid</w:t>
            </w:r>
          </w:p>
        </w:tc>
        <w:tc>
          <w:tcPr>
            <w:tcW w:type="dxa" w:w="5179"/>
            <w:vAlign w:val="top"/>
          </w:tcPr>
          <w:p>
            <w:r/>
            <w:r>
              <w:rPr>
                <w:rFonts w:ascii="Arial" w:hAnsi="Arial"/>
                <w:b w:val="0"/>
                <w:sz w:val="14"/>
              </w:rPr>
              <w:t>English not enabled/supported for this metadata label operation</w:t>
            </w:r>
          </w:p>
        </w:tc>
        <w:tc>
          <w:tcPr>
            <w:tcW w:type="dxa" w:w="5179"/>
            <w:vAlign w:val="top"/>
          </w:tcPr>
          <w:p>
            <w:r/>
            <w:r>
              <w:rPr>
                <w:rFonts w:ascii="Arial" w:hAnsi="Arial"/>
                <w:b w:val="0"/>
                <w:sz w:val="14"/>
              </w:rPr>
              <w:t>Use LanguageCode = 1031</w:t>
            </w:r>
          </w:p>
        </w:tc>
      </w:tr>
      <w:tr>
        <w:tc>
          <w:tcPr>
            <w:tcW w:type="dxa" w:w="5179"/>
            <w:vAlign w:val="top"/>
          </w:tcPr>
          <w:p>
            <w:r/>
            <w:r>
              <w:rPr>
                <w:rFonts w:ascii="Arial" w:hAnsi="Arial"/>
                <w:b w:val="0"/>
                <w:sz w:val="14"/>
              </w:rPr>
              <w:t>Lookup already exists</w:t>
            </w:r>
          </w:p>
        </w:tc>
        <w:tc>
          <w:tcPr>
            <w:tcW w:type="dxa" w:w="5179"/>
            <w:vAlign w:val="top"/>
          </w:tcPr>
          <w:p>
            <w:r/>
            <w:r>
              <w:rPr>
                <w:rFonts w:ascii="Arial" w:hAnsi="Arial"/>
                <w:b w:val="0"/>
                <w:sz w:val="14"/>
              </w:rPr>
              <w:t>Fix script was rerun</w:t>
            </w:r>
          </w:p>
        </w:tc>
        <w:tc>
          <w:tcPr>
            <w:tcW w:type="dxa" w:w="5179"/>
            <w:vAlign w:val="top"/>
          </w:tcPr>
          <w:p>
            <w:r/>
            <w:r>
              <w:rPr>
                <w:rFonts w:ascii="Arial" w:hAnsi="Arial"/>
                <w:b w:val="0"/>
                <w:sz w:val="14"/>
              </w:rPr>
              <w:t>Safe; script skips creation</w:t>
            </w:r>
          </w:p>
        </w:tc>
      </w:tr>
      <w:tr>
        <w:tc>
          <w:tcPr>
            <w:tcW w:type="dxa" w:w="5179"/>
            <w:vAlign w:val="top"/>
          </w:tcPr>
          <w:p>
            <w:r/>
            <w:r>
              <w:rPr>
                <w:rFonts w:ascii="Arial" w:hAnsi="Arial"/>
                <w:b w:val="0"/>
                <w:sz w:val="14"/>
              </w:rPr>
              <w:t>Relationship not visible</w:t>
            </w:r>
          </w:p>
        </w:tc>
        <w:tc>
          <w:tcPr>
            <w:tcW w:type="dxa" w:w="5179"/>
            <w:vAlign w:val="top"/>
          </w:tcPr>
          <w:p>
            <w:r/>
            <w:r>
              <w:rPr>
                <w:rFonts w:ascii="Arial" w:hAnsi="Arial"/>
                <w:b w:val="0"/>
                <w:sz w:val="14"/>
              </w:rPr>
              <w:t>Browser cache or unpublished metadata</w:t>
            </w:r>
          </w:p>
        </w:tc>
        <w:tc>
          <w:tcPr>
            <w:tcW w:type="dxa" w:w="5179"/>
            <w:vAlign w:val="top"/>
          </w:tcPr>
          <w:p>
            <w:r/>
            <w:r>
              <w:rPr>
                <w:rFonts w:ascii="Arial" w:hAnsi="Arial"/>
                <w:b w:val="0"/>
                <w:sz w:val="14"/>
              </w:rPr>
              <w:t>Refresh maker portal; publish customizations again</w:t>
            </w:r>
          </w:p>
        </w:tc>
      </w:tr>
      <w:tr>
        <w:tc>
          <w:tcPr>
            <w:tcW w:type="dxa" w:w="5179"/>
            <w:vAlign w:val="top"/>
          </w:tcPr>
          <w:p>
            <w:r/>
            <w:r>
              <w:rPr>
                <w:rFonts w:ascii="Arial" w:hAnsi="Arial"/>
                <w:b w:val="0"/>
                <w:sz w:val="14"/>
              </w:rPr>
              <w:t>Build error</w:t>
            </w:r>
          </w:p>
        </w:tc>
        <w:tc>
          <w:tcPr>
            <w:tcW w:type="dxa" w:w="5179"/>
            <w:vAlign w:val="top"/>
          </w:tcPr>
          <w:p>
            <w:r/>
            <w:r>
              <w:rPr>
                <w:rFonts w:ascii="Arial" w:hAnsi="Arial"/>
                <w:b w:val="0"/>
                <w:sz w:val="14"/>
              </w:rPr>
              <w:t>Program.cs incomplete</w:t>
            </w:r>
          </w:p>
        </w:tc>
        <w:tc>
          <w:tcPr>
            <w:tcW w:type="dxa" w:w="5179"/>
            <w:vAlign w:val="top"/>
          </w:tcPr>
          <w:p>
            <w:r/>
            <w:r>
              <w:rPr>
                <w:rFonts w:ascii="Arial" w:hAnsi="Arial"/>
                <w:b w:val="0"/>
                <w:sz w:val="14"/>
              </w:rPr>
              <w:t>Re-paste the complete fix script</w:t>
            </w:r>
          </w:p>
        </w:tc>
      </w:tr>
      <w:tr>
        <w:tc>
          <w:tcPr>
            <w:tcW w:type="dxa" w:w="5179"/>
            <w:vAlign w:val="top"/>
          </w:tcPr>
          <w:p>
            <w:r/>
            <w:r>
              <w:rPr>
                <w:rFonts w:ascii="Arial" w:hAnsi="Arial"/>
                <w:b w:val="0"/>
                <w:sz w:val="14"/>
              </w:rPr>
              <w:t>Permission error</w:t>
            </w:r>
          </w:p>
        </w:tc>
        <w:tc>
          <w:tcPr>
            <w:tcW w:type="dxa" w:w="5179"/>
            <w:vAlign w:val="top"/>
          </w:tcPr>
          <w:p>
            <w:r/>
            <w:r>
              <w:rPr>
                <w:rFonts w:ascii="Arial" w:hAnsi="Arial"/>
                <w:b w:val="0"/>
                <w:sz w:val="14"/>
              </w:rPr>
              <w:t>User cannot customize metadata</w:t>
            </w:r>
          </w:p>
        </w:tc>
        <w:tc>
          <w:tcPr>
            <w:tcW w:type="dxa" w:w="5179"/>
            <w:vAlign w:val="top"/>
          </w:tcPr>
          <w:p>
            <w:r/>
            <w:r>
              <w:rPr>
                <w:rFonts w:ascii="Arial" w:hAnsi="Arial"/>
                <w:b w:val="0"/>
                <w:sz w:val="14"/>
              </w:rPr>
              <w:t>Use System Administrator/System Customizer account</w:t>
            </w:r>
          </w:p>
        </w:tc>
      </w:tr>
    </w:tbl>
    <w:p/>
    <w:p>
      <w:pPr>
        <w:pStyle w:val="Heading2"/>
      </w:pPr>
      <w:r>
        <w:t>Rollback/recovery approach</w:t>
      </w:r>
    </w:p>
    <w:p>
      <w:r>
        <w:rPr>
          <w:rFonts w:ascii="Arial" w:hAnsi="Arial"/>
          <w:sz w:val="18"/>
        </w:rPr>
        <w:t>If the lookup was created incorrectly, remove the relationship only if no data or dependencies depend on it. If rows already reference opportunities, export data or remove references before deleting. In production, relationship changes should be controlled by managed solution versioning and environment restore planning.</w:t>
      </w:r>
    </w:p>
    <w:p>
      <w:pPr>
        <w:pStyle w:val="Heading2"/>
      </w:pPr>
      <w:r>
        <w:t>What each audience should understand</w:t>
      </w:r>
    </w:p>
    <w:p>
      <w:pPr>
        <w:pStyle w:val="Heading3"/>
      </w:pPr>
      <w:r>
        <w:t>Non-technical person</w:t>
      </w:r>
    </w:p>
    <w:p>
      <w:r>
        <w:rPr>
          <w:rFonts w:ascii="Arial" w:hAnsi="Arial"/>
          <w:sz w:val="18"/>
        </w:rPr>
        <w:t>We connected the waiting-room record to the sales opportunity it belongs to. This makes it possible to understand which deal the pending commercial action belongs to.</w:t>
      </w:r>
    </w:p>
    <w:p>
      <w:pPr>
        <w:pStyle w:val="Heading3"/>
      </w:pPr>
      <w:r>
        <w:t>Product Owner</w:t>
      </w:r>
    </w:p>
    <w:p>
      <w:r>
        <w:rPr>
          <w:rFonts w:ascii="Arial" w:hAnsi="Arial"/>
          <w:sz w:val="18"/>
        </w:rPr>
        <w:t>The fix completed traceability. Pending commercial actions are now business-linked to opportunities, which supports approval, audit, and future SAP-safe automation.</w:t>
      </w:r>
    </w:p>
    <w:p>
      <w:pPr>
        <w:pStyle w:val="Heading3"/>
      </w:pPr>
      <w:r>
        <w:t>Developer / technical consultant</w:t>
      </w:r>
    </w:p>
    <w:p>
      <w:r>
        <w:rPr>
          <w:rFonts w:ascii="Arial" w:hAnsi="Arial"/>
          <w:sz w:val="18"/>
        </w:rPr>
        <w:t>The fix used CreateOneToManyRequest with OneToManyRelationshipMetadata and LookupAttributeMetadata. The important technical change was using LanguageCode = 1031 to create the required relationship labels in this organization.</w:t>
      </w:r>
    </w:p>
    <w:p>
      <w:pPr>
        <w:pStyle w:val="Heading1"/>
      </w:pPr>
      <w:r>
        <w:t>Part 2 - Full fix script documentation with line-by-line explanation</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2590"/>
            <w:shd w:fill="D9EAF7"/>
          </w:tcPr>
          <w:p>
            <w:r/>
            <w:r>
              <w:rPr>
                <w:rFonts w:ascii="Arial" w:hAnsi="Arial"/>
                <w:b/>
                <w:sz w:val="12"/>
              </w:rPr>
              <w:t>Line</w:t>
            </w:r>
          </w:p>
        </w:tc>
        <w:tc>
          <w:tcPr>
            <w:tcW w:type="dxa" w:w="2590"/>
            <w:shd w:fill="D9EAF7"/>
          </w:tcPr>
          <w:p>
            <w:r/>
            <w:r>
              <w:rPr>
                <w:rFonts w:ascii="Arial" w:hAnsi="Arial"/>
                <w:b/>
                <w:sz w:val="12"/>
              </w:rPr>
              <w:t>Code</w:t>
            </w:r>
          </w:p>
        </w:tc>
        <w:tc>
          <w:tcPr>
            <w:tcW w:type="dxa" w:w="2590"/>
            <w:shd w:fill="D9EAF7"/>
          </w:tcPr>
          <w:p>
            <w:r/>
            <w:r>
              <w:rPr>
                <w:rFonts w:ascii="Arial" w:hAnsi="Arial"/>
                <w:b/>
                <w:sz w:val="12"/>
              </w:rPr>
              <w:t>Explanation in simple language</w:t>
            </w:r>
          </w:p>
        </w:tc>
        <w:tc>
          <w:tcPr>
            <w:tcW w:type="dxa" w:w="2590"/>
            <w:shd w:fill="D9EAF7"/>
          </w:tcPr>
          <w:p>
            <w:r/>
            <w:r>
              <w:rPr>
                <w:rFonts w:ascii="Arial" w:hAnsi="Arial"/>
                <w:b/>
                <w:sz w:val="12"/>
              </w:rPr>
              <w:t>Technical explanation</w:t>
            </w:r>
          </w:p>
        </w:tc>
        <w:tc>
          <w:tcPr>
            <w:tcW w:type="dxa" w:w="2590"/>
            <w:shd w:fill="D9EAF7"/>
          </w:tcPr>
          <w:p>
            <w:r/>
            <w:r>
              <w:rPr>
                <w:rFonts w:ascii="Arial" w:hAnsi="Arial"/>
                <w:b/>
                <w:sz w:val="12"/>
              </w:rPr>
              <w:t>Why it matters</w:t>
            </w:r>
          </w:p>
        </w:tc>
        <w:tc>
          <w:tcPr>
            <w:tcW w:type="dxa" w:w="2590"/>
            <w:shd w:fill="D9EAF7"/>
          </w:tcPr>
          <w:p>
            <w:r/>
            <w:r>
              <w:rPr>
                <w:rFonts w:ascii="Arial" w:hAnsi="Arial"/>
                <w:b/>
                <w:sz w:val="12"/>
              </w:rPr>
              <w:t>Common mistake / warning</w:t>
            </w:r>
          </w:p>
        </w:tc>
      </w:tr>
      <w:tr>
        <w:tc>
          <w:tcPr>
            <w:tcW w:type="dxa" w:w="2590"/>
            <w:vAlign w:val="top"/>
          </w:tcPr>
          <w:p>
            <w:r/>
            <w:r>
              <w:rPr>
                <w:rFonts w:ascii="Arial" w:hAnsi="Arial"/>
                <w:b w:val="0"/>
                <w:sz w:val="12"/>
              </w:rPr>
              <w:t>1</w:t>
            </w:r>
          </w:p>
        </w:tc>
        <w:tc>
          <w:tcPr>
            <w:tcW w:type="dxa" w:w="2590"/>
            <w:vAlign w:val="top"/>
          </w:tcPr>
          <w:p>
            <w:r/>
            <w:r>
              <w:rPr>
                <w:rFonts w:ascii="Arial" w:hAnsi="Arial"/>
                <w:b w:val="0"/>
                <w:sz w:val="12"/>
              </w:rPr>
              <w:t>using Microsoft.Crm.Sdk.Messages;</w:t>
            </w:r>
          </w:p>
        </w:tc>
        <w:tc>
          <w:tcPr>
            <w:tcW w:type="dxa" w:w="2590"/>
            <w:vAlign w:val="top"/>
          </w:tcPr>
          <w:p>
            <w:r/>
            <w:r>
              <w:rPr>
                <w:rFonts w:ascii="Arial" w:hAnsi="Arial"/>
                <w:b w:val="0"/>
                <w:sz w:val="12"/>
              </w:rPr>
              <w:t>Imports the Microsoft.Crm.Sdk.Messages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2</w:t>
            </w:r>
          </w:p>
        </w:tc>
        <w:tc>
          <w:tcPr>
            <w:tcW w:type="dxa" w:w="2590"/>
            <w:vAlign w:val="top"/>
          </w:tcPr>
          <w:p>
            <w:r/>
            <w:r>
              <w:rPr>
                <w:rFonts w:ascii="Arial" w:hAnsi="Arial"/>
                <w:b w:val="0"/>
                <w:sz w:val="12"/>
              </w:rPr>
              <w:t>using Microsoft.PowerPlatform.Dataverse.Client;</w:t>
            </w:r>
          </w:p>
        </w:tc>
        <w:tc>
          <w:tcPr>
            <w:tcW w:type="dxa" w:w="2590"/>
            <w:vAlign w:val="top"/>
          </w:tcPr>
          <w:p>
            <w:r/>
            <w:r>
              <w:rPr>
                <w:rFonts w:ascii="Arial" w:hAnsi="Arial"/>
                <w:b w:val="0"/>
                <w:sz w:val="12"/>
              </w:rPr>
              <w:t>Imports the Microsoft.PowerPlatform.Dataverse.Client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3</w:t>
            </w:r>
          </w:p>
        </w:tc>
        <w:tc>
          <w:tcPr>
            <w:tcW w:type="dxa" w:w="2590"/>
            <w:vAlign w:val="top"/>
          </w:tcPr>
          <w:p>
            <w:r/>
            <w:r>
              <w:rPr>
                <w:rFonts w:ascii="Arial" w:hAnsi="Arial"/>
                <w:b w:val="0"/>
                <w:sz w:val="12"/>
              </w:rPr>
              <w:t>using Microsoft.Xrm.Sdk;</w:t>
            </w:r>
          </w:p>
        </w:tc>
        <w:tc>
          <w:tcPr>
            <w:tcW w:type="dxa" w:w="2590"/>
            <w:vAlign w:val="top"/>
          </w:tcPr>
          <w:p>
            <w:r/>
            <w:r>
              <w:rPr>
                <w:rFonts w:ascii="Arial" w:hAnsi="Arial"/>
                <w:b w:val="0"/>
                <w:sz w:val="12"/>
              </w:rPr>
              <w:t>Imports the Microsoft.Xrm.Sdk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4</w:t>
            </w:r>
          </w:p>
        </w:tc>
        <w:tc>
          <w:tcPr>
            <w:tcW w:type="dxa" w:w="2590"/>
            <w:vAlign w:val="top"/>
          </w:tcPr>
          <w:p>
            <w:r/>
            <w:r>
              <w:rPr>
                <w:rFonts w:ascii="Arial" w:hAnsi="Arial"/>
                <w:b w:val="0"/>
                <w:sz w:val="12"/>
              </w:rPr>
              <w:t>using Microsoft.Xrm.Sdk.Messages;</w:t>
            </w:r>
          </w:p>
        </w:tc>
        <w:tc>
          <w:tcPr>
            <w:tcW w:type="dxa" w:w="2590"/>
            <w:vAlign w:val="top"/>
          </w:tcPr>
          <w:p>
            <w:r/>
            <w:r>
              <w:rPr>
                <w:rFonts w:ascii="Arial" w:hAnsi="Arial"/>
                <w:b w:val="0"/>
                <w:sz w:val="12"/>
              </w:rPr>
              <w:t>Imports the Microsoft.Xrm.Sdk.Messages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5</w:t>
            </w:r>
          </w:p>
        </w:tc>
        <w:tc>
          <w:tcPr>
            <w:tcW w:type="dxa" w:w="2590"/>
            <w:vAlign w:val="top"/>
          </w:tcPr>
          <w:p>
            <w:r/>
            <w:r>
              <w:rPr>
                <w:rFonts w:ascii="Arial" w:hAnsi="Arial"/>
                <w:b w:val="0"/>
                <w:sz w:val="12"/>
              </w:rPr>
              <w:t>using Microsoft.Xrm.Sdk.Metadata;</w:t>
            </w:r>
          </w:p>
        </w:tc>
        <w:tc>
          <w:tcPr>
            <w:tcW w:type="dxa" w:w="2590"/>
            <w:vAlign w:val="top"/>
          </w:tcPr>
          <w:p>
            <w:r/>
            <w:r>
              <w:rPr>
                <w:rFonts w:ascii="Arial" w:hAnsi="Arial"/>
                <w:b w:val="0"/>
                <w:sz w:val="12"/>
              </w:rPr>
              <w:t>Imports the Microsoft.Xrm.Sdk.Metadata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6</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w:t>
            </w:r>
          </w:p>
        </w:tc>
        <w:tc>
          <w:tcPr>
            <w:tcW w:type="dxa" w:w="2590"/>
            <w:vAlign w:val="top"/>
          </w:tcPr>
          <w:p>
            <w:r/>
            <w:r>
              <w:rPr>
                <w:rFonts w:ascii="Arial" w:hAnsi="Arial"/>
                <w:b w:val="0"/>
                <w:sz w:val="12"/>
              </w:rPr>
              <w:t>const string DataverseUrl = "https://phoenicarix-ci.crm4.dynamics.com";</w:t>
            </w:r>
          </w:p>
        </w:tc>
        <w:tc>
          <w:tcPr>
            <w:tcW w:type="dxa" w:w="2590"/>
            <w:vAlign w:val="top"/>
          </w:tcPr>
          <w:p>
            <w:r/>
            <w:r>
              <w:rPr>
                <w:rFonts w:ascii="Arial" w:hAnsi="Arial"/>
                <w:b w:val="0"/>
                <w:sz w:val="12"/>
              </w:rPr>
              <w:t>Defines the target Dataverse environment URL.</w:t>
            </w:r>
          </w:p>
        </w:tc>
        <w:tc>
          <w:tcPr>
            <w:tcW w:type="dxa" w:w="2590"/>
            <w:vAlign w:val="top"/>
          </w:tcPr>
          <w:p>
            <w:r/>
            <w:r>
              <w:rPr>
                <w:rFonts w:ascii="Arial" w:hAnsi="Arial"/>
                <w:b w:val="0"/>
                <w:sz w:val="12"/>
              </w:rPr>
              <w:t>ServiceClient uses this URL to connect to Phoenicarix-CI.</w:t>
            </w:r>
          </w:p>
        </w:tc>
        <w:tc>
          <w:tcPr>
            <w:tcW w:type="dxa" w:w="2590"/>
            <w:vAlign w:val="top"/>
          </w:tcPr>
          <w:p>
            <w:r/>
            <w:r>
              <w:rPr>
                <w:rFonts w:ascii="Arial" w:hAnsi="Arial"/>
                <w:b w:val="0"/>
                <w:sz w:val="12"/>
              </w:rPr>
              <w:t>Prevents accidental schema creation in the wrong tenant/environment.</w:t>
            </w:r>
          </w:p>
        </w:tc>
        <w:tc>
          <w:tcPr>
            <w:tcW w:type="dxa" w:w="2590"/>
            <w:vAlign w:val="top"/>
          </w:tcPr>
          <w:p>
            <w:r/>
            <w:r>
              <w:rPr>
                <w:rFonts w:ascii="Arial" w:hAnsi="Arial"/>
                <w:b w:val="0"/>
                <w:sz w:val="12"/>
              </w:rPr>
              <w:t>Wrong URL creates components in the wrong environment or fails authentication.</w:t>
            </w:r>
          </w:p>
        </w:tc>
      </w:tr>
      <w:tr>
        <w:tc>
          <w:tcPr>
            <w:tcW w:type="dxa" w:w="2590"/>
            <w:vAlign w:val="top"/>
          </w:tcPr>
          <w:p>
            <w:r/>
            <w:r>
              <w:rPr>
                <w:rFonts w:ascii="Arial" w:hAnsi="Arial"/>
                <w:b w:val="0"/>
                <w:sz w:val="12"/>
              </w:rPr>
              <w:t>8</w:t>
            </w:r>
          </w:p>
        </w:tc>
        <w:tc>
          <w:tcPr>
            <w:tcW w:type="dxa" w:w="2590"/>
            <w:vAlign w:val="top"/>
          </w:tcPr>
          <w:p>
            <w:r/>
            <w:r>
              <w:rPr>
                <w:rFonts w:ascii="Arial" w:hAnsi="Arial"/>
                <w:b w:val="0"/>
                <w:sz w:val="12"/>
              </w:rPr>
              <w:t>const string SolutionUniqueName = "ASOCore";</w:t>
            </w:r>
          </w:p>
        </w:tc>
        <w:tc>
          <w:tcPr>
            <w:tcW w:type="dxa" w:w="2590"/>
            <w:vAlign w:val="top"/>
          </w:tcPr>
          <w:p>
            <w:r/>
            <w:r>
              <w:rPr>
                <w:rFonts w:ascii="Arial" w:hAnsi="Arial"/>
                <w:b w:val="0"/>
                <w:sz w:val="12"/>
              </w:rPr>
              <w:t>Defines the technical solution unique name: ASOCore.</w:t>
            </w:r>
          </w:p>
        </w:tc>
        <w:tc>
          <w:tcPr>
            <w:tcW w:type="dxa" w:w="2590"/>
            <w:vAlign w:val="top"/>
          </w:tcPr>
          <w:p>
            <w:r/>
            <w:r>
              <w:rPr>
                <w:rFonts w:ascii="Arial" w:hAnsi="Arial"/>
                <w:b w:val="0"/>
                <w:sz w:val="12"/>
              </w:rPr>
              <w:t>CreateEntityRequest, CreateAttributeRequest, and CreateOneToManyRequest use this to associate metadata with ASO.Core.</w:t>
            </w:r>
          </w:p>
        </w:tc>
        <w:tc>
          <w:tcPr>
            <w:tcW w:type="dxa" w:w="2590"/>
            <w:vAlign w:val="top"/>
          </w:tcPr>
          <w:p>
            <w:r/>
            <w:r>
              <w:rPr>
                <w:rFonts w:ascii="Arial" w:hAnsi="Arial"/>
                <w:b w:val="0"/>
                <w:sz w:val="12"/>
              </w:rPr>
              <w:t>Keeps created components inside the project solution for ALM/export.</w:t>
            </w:r>
          </w:p>
        </w:tc>
        <w:tc>
          <w:tcPr>
            <w:tcW w:type="dxa" w:w="2590"/>
            <w:vAlign w:val="top"/>
          </w:tcPr>
          <w:p>
            <w:r/>
            <w:r>
              <w:rPr>
                <w:rFonts w:ascii="Arial" w:hAnsi="Arial"/>
                <w:b w:val="0"/>
                <w:sz w:val="12"/>
              </w:rPr>
              <w:t>Using display name instead of unique name can leave components outside the intended solution.</w:t>
            </w:r>
          </w:p>
        </w:tc>
      </w:tr>
      <w:tr>
        <w:tc>
          <w:tcPr>
            <w:tcW w:type="dxa" w:w="2590"/>
            <w:vAlign w:val="top"/>
          </w:tcPr>
          <w:p>
            <w:r/>
            <w:r>
              <w:rPr>
                <w:rFonts w:ascii="Arial" w:hAnsi="Arial"/>
                <w:b w:val="0"/>
                <w:sz w:val="12"/>
              </w:rPr>
              <w:t>9</w:t>
            </w:r>
          </w:p>
        </w:tc>
        <w:tc>
          <w:tcPr>
            <w:tcW w:type="dxa" w:w="2590"/>
            <w:vAlign w:val="top"/>
          </w:tcPr>
          <w:p>
            <w:r/>
            <w:r>
              <w:rPr>
                <w:rFonts w:ascii="Arial" w:hAnsi="Arial"/>
                <w:b w:val="0"/>
                <w:sz w:val="12"/>
              </w:rPr>
              <w:t>const string EntityLogicalName = "aso_pendingcommercialaction";</w:t>
            </w:r>
          </w:p>
        </w:tc>
        <w:tc>
          <w:tcPr>
            <w:tcW w:type="dxa" w:w="2590"/>
            <w:vAlign w:val="top"/>
          </w:tcPr>
          <w:p>
            <w:r/>
            <w:r>
              <w:rPr>
                <w:rFonts w:ascii="Arial" w:hAnsi="Arial"/>
                <w:b w:val="0"/>
                <w:sz w:val="12"/>
              </w:rPr>
              <w:t>Defines the target table logical name.</w:t>
            </w:r>
          </w:p>
        </w:tc>
        <w:tc>
          <w:tcPr>
            <w:tcW w:type="dxa" w:w="2590"/>
            <w:vAlign w:val="top"/>
          </w:tcPr>
          <w:p>
            <w:r/>
            <w:r>
              <w:rPr>
                <w:rFonts w:ascii="Arial" w:hAnsi="Arial"/>
                <w:b w:val="0"/>
                <w:sz w:val="12"/>
              </w:rPr>
              <w:t>The script uses aso_pendingcommercialaction as the Dataverse table logical name.</w:t>
            </w:r>
          </w:p>
        </w:tc>
        <w:tc>
          <w:tcPr>
            <w:tcW w:type="dxa" w:w="2590"/>
            <w:vAlign w:val="top"/>
          </w:tcPr>
          <w:p>
            <w:r/>
            <w:r>
              <w:rPr>
                <w:rFonts w:ascii="Arial" w:hAnsi="Arial"/>
                <w:b w:val="0"/>
                <w:sz w:val="12"/>
              </w:rPr>
              <w:t>Every table, column, relationship, and publish request depends on this value.</w:t>
            </w:r>
          </w:p>
        </w:tc>
        <w:tc>
          <w:tcPr>
            <w:tcW w:type="dxa" w:w="2590"/>
            <w:vAlign w:val="top"/>
          </w:tcPr>
          <w:p>
            <w:r/>
            <w:r>
              <w:rPr>
                <w:rFonts w:ascii="Arial" w:hAnsi="Arial"/>
                <w:b w:val="0"/>
                <w:sz w:val="12"/>
              </w:rPr>
              <w:t>Wrong logical name targets the wrong table or causes metadata request failures.</w:t>
            </w:r>
          </w:p>
        </w:tc>
      </w:tr>
      <w:tr>
        <w:tc>
          <w:tcPr>
            <w:tcW w:type="dxa" w:w="2590"/>
            <w:vAlign w:val="top"/>
          </w:tcPr>
          <w:p>
            <w:r/>
            <w:r>
              <w:rPr>
                <w:rFonts w:ascii="Arial" w:hAnsi="Arial"/>
                <w:b w:val="0"/>
                <w:sz w:val="12"/>
              </w:rPr>
              <w:t>10</w:t>
            </w:r>
          </w:p>
        </w:tc>
        <w:tc>
          <w:tcPr>
            <w:tcW w:type="dxa" w:w="2590"/>
            <w:vAlign w:val="top"/>
          </w:tcPr>
          <w:p>
            <w:r/>
            <w:r>
              <w:rPr>
                <w:rFonts w:ascii="Arial" w:hAnsi="Arial"/>
                <w:b w:val="0"/>
                <w:sz w:val="12"/>
              </w:rPr>
              <w:t>const int LanguageCode = 1031;</w:t>
            </w:r>
          </w:p>
        </w:tc>
        <w:tc>
          <w:tcPr>
            <w:tcW w:type="dxa" w:w="2590"/>
            <w:vAlign w:val="top"/>
          </w:tcPr>
          <w:p>
            <w:r/>
            <w:r>
              <w:rPr>
                <w:rFonts w:ascii="Arial" w:hAnsi="Arial"/>
                <w:b w:val="0"/>
                <w:sz w:val="12"/>
              </w:rPr>
              <w:t>Sets German language code 1031 for labels.</w:t>
            </w:r>
          </w:p>
        </w:tc>
        <w:tc>
          <w:tcPr>
            <w:tcW w:type="dxa" w:w="2590"/>
            <w:vAlign w:val="top"/>
          </w:tcPr>
          <w:p>
            <w:r/>
            <w:r>
              <w:rPr>
                <w:rFonts w:ascii="Arial" w:hAnsi="Arial"/>
                <w:b w:val="0"/>
                <w:sz w:val="12"/>
              </w:rPr>
              <w:t>Label(...) uses this language code for relationship and lookup labels.</w:t>
            </w:r>
          </w:p>
        </w:tc>
        <w:tc>
          <w:tcPr>
            <w:tcW w:type="dxa" w:w="2590"/>
            <w:vAlign w:val="top"/>
          </w:tcPr>
          <w:p>
            <w:r/>
            <w:r>
              <w:rPr>
                <w:rFonts w:ascii="Arial" w:hAnsi="Arial"/>
                <w:b w:val="0"/>
                <w:sz w:val="12"/>
              </w:rPr>
              <w:t>This resolved the missing Opportunity lookup relationship creation in the German-language organization.</w:t>
            </w:r>
          </w:p>
        </w:tc>
        <w:tc>
          <w:tcPr>
            <w:tcW w:type="dxa" w:w="2590"/>
            <w:vAlign w:val="top"/>
          </w:tcPr>
          <w:p>
            <w:r/>
            <w:r>
              <w:rPr>
                <w:rFonts w:ascii="Arial" w:hAnsi="Arial"/>
                <w:b w:val="0"/>
                <w:sz w:val="12"/>
              </w:rPr>
              <w:t>Using unsupported language codes can cause metadata creation failures.</w:t>
            </w:r>
          </w:p>
        </w:tc>
      </w:tr>
      <w:tr>
        <w:tc>
          <w:tcPr>
            <w:tcW w:type="dxa" w:w="2590"/>
            <w:vAlign w:val="top"/>
          </w:tcPr>
          <w:p>
            <w:r/>
            <w:r>
              <w:rPr>
                <w:rFonts w:ascii="Arial" w:hAnsi="Arial"/>
                <w:b w:val="0"/>
                <w:sz w:val="12"/>
              </w:rPr>
              <w:t>11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12</w:t>
            </w:r>
          </w:p>
        </w:tc>
        <w:tc>
          <w:tcPr>
            <w:tcW w:type="dxa" w:w="2590"/>
            <w:vAlign w:val="top"/>
          </w:tcPr>
          <w:p>
            <w:r/>
            <w:r>
              <w:rPr>
                <w:rFonts w:ascii="Arial" w:hAnsi="Arial"/>
                <w:b w:val="0"/>
                <w:sz w:val="12"/>
              </w:rPr>
              <w:t>var connectionString =</w:t>
            </w:r>
          </w:p>
        </w:tc>
        <w:tc>
          <w:tcPr>
            <w:tcW w:type="dxa" w:w="2590"/>
            <w:vAlign w:val="top"/>
          </w:tcPr>
          <w:p>
            <w:r/>
            <w:r>
              <w:rPr>
                <w:rFonts w:ascii="Arial" w:hAnsi="Arial"/>
                <w:b w:val="0"/>
                <w:sz w:val="12"/>
              </w:rPr>
              <w:t>Starts the Dataverse connection string definition.</w:t>
            </w:r>
          </w:p>
        </w:tc>
        <w:tc>
          <w:tcPr>
            <w:tcW w:type="dxa" w:w="2590"/>
            <w:vAlign w:val="top"/>
          </w:tcPr>
          <w:p>
            <w:r/>
            <w:r>
              <w:rPr>
                <w:rFonts w:ascii="Arial" w:hAnsi="Arial"/>
                <w:b w:val="0"/>
                <w:sz w:val="12"/>
              </w:rPr>
              <w:t>The following lines define OAuth authentication, URL, login behavior, client ID, and redirect URI.</w:t>
            </w:r>
          </w:p>
        </w:tc>
        <w:tc>
          <w:tcPr>
            <w:tcW w:type="dxa" w:w="2590"/>
            <w:vAlign w:val="top"/>
          </w:tcPr>
          <w:p>
            <w:r/>
            <w:r>
              <w:rPr>
                <w:rFonts w:ascii="Arial" w:hAnsi="Arial"/>
                <w:b w:val="0"/>
                <w:sz w:val="12"/>
              </w:rPr>
              <w:t>The script needs an authenticated ServiceClient to execute metadata operations.</w:t>
            </w:r>
          </w:p>
        </w:tc>
        <w:tc>
          <w:tcPr>
            <w:tcW w:type="dxa" w:w="2590"/>
            <w:vAlign w:val="top"/>
          </w:tcPr>
          <w:p>
            <w:r/>
            <w:r>
              <w:rPr>
                <w:rFonts w:ascii="Arial" w:hAnsi="Arial"/>
                <w:b w:val="0"/>
                <w:sz w:val="12"/>
              </w:rPr>
              <w:t>Incomplete connection strings prevent login or service initialization.</w:t>
            </w:r>
          </w:p>
        </w:tc>
      </w:tr>
      <w:tr>
        <w:tc>
          <w:tcPr>
            <w:tcW w:type="dxa" w:w="2590"/>
            <w:vAlign w:val="top"/>
          </w:tcPr>
          <w:p>
            <w:r/>
            <w:r>
              <w:rPr>
                <w:rFonts w:ascii="Arial" w:hAnsi="Arial"/>
                <w:b w:val="0"/>
                <w:sz w:val="12"/>
              </w:rPr>
              <w:t>13</w:t>
            </w:r>
          </w:p>
        </w:tc>
        <w:tc>
          <w:tcPr>
            <w:tcW w:type="dxa" w:w="2590"/>
            <w:vAlign w:val="top"/>
          </w:tcPr>
          <w:p>
            <w:r/>
            <w:r>
              <w:rPr>
                <w:rFonts w:ascii="Arial" w:hAnsi="Arial"/>
                <w:b w:val="0"/>
                <w:sz w:val="12"/>
              </w:rPr>
              <w:t xml:space="preserve">    $@"AuthType=OAuth;</w:t>
            </w:r>
          </w:p>
        </w:tc>
        <w:tc>
          <w:tcPr>
            <w:tcW w:type="dxa" w:w="2590"/>
            <w:vAlign w:val="top"/>
          </w:tcPr>
          <w:p>
            <w:r/>
            <w:r>
              <w:rPr>
                <w:rFonts w:ascii="Arial" w:hAnsi="Arial"/>
                <w:b w:val="0"/>
                <w:sz w:val="12"/>
              </w:rPr>
              <w:t>Specifies OAuth authentication.</w:t>
            </w:r>
          </w:p>
        </w:tc>
        <w:tc>
          <w:tcPr>
            <w:tcW w:type="dxa" w:w="2590"/>
            <w:vAlign w:val="top"/>
          </w:tcPr>
          <w:p>
            <w:r/>
            <w:r>
              <w:rPr>
                <w:rFonts w:ascii="Arial" w:hAnsi="Arial"/>
                <w:b w:val="0"/>
                <w:sz w:val="12"/>
              </w:rPr>
              <w:t>OAuth is the interactive sign-in method for the local Dataverse SDK connection.</w:t>
            </w:r>
          </w:p>
        </w:tc>
        <w:tc>
          <w:tcPr>
            <w:tcW w:type="dxa" w:w="2590"/>
            <w:vAlign w:val="top"/>
          </w:tcPr>
          <w:p>
            <w:r/>
            <w:r>
              <w:rPr>
                <w:rFonts w:ascii="Arial" w:hAnsi="Arial"/>
                <w:b w:val="0"/>
                <w:sz w:val="12"/>
              </w:rPr>
              <w:t>Allows a maker/admin to sign in with their Power Platform account.</w:t>
            </w:r>
          </w:p>
        </w:tc>
        <w:tc>
          <w:tcPr>
            <w:tcW w:type="dxa" w:w="2590"/>
            <w:vAlign w:val="top"/>
          </w:tcPr>
          <w:p>
            <w:r/>
            <w:r>
              <w:rPr>
                <w:rFonts w:ascii="Arial" w:hAnsi="Arial"/>
                <w:b w:val="0"/>
                <w:sz w:val="12"/>
              </w:rPr>
              <w:t>Wrong auth type may require unavailable secrets or fail on Mac/local use.</w:t>
            </w:r>
          </w:p>
        </w:tc>
      </w:tr>
      <w:tr>
        <w:tc>
          <w:tcPr>
            <w:tcW w:type="dxa" w:w="2590"/>
            <w:vAlign w:val="top"/>
          </w:tcPr>
          <w:p>
            <w:r/>
            <w:r>
              <w:rPr>
                <w:rFonts w:ascii="Arial" w:hAnsi="Arial"/>
                <w:b w:val="0"/>
                <w:sz w:val="12"/>
              </w:rPr>
              <w:t>14</w:t>
            </w:r>
          </w:p>
        </w:tc>
        <w:tc>
          <w:tcPr>
            <w:tcW w:type="dxa" w:w="2590"/>
            <w:vAlign w:val="top"/>
          </w:tcPr>
          <w:p>
            <w:r/>
            <w:r>
              <w:rPr>
                <w:rFonts w:ascii="Arial" w:hAnsi="Arial"/>
                <w:b w:val="0"/>
                <w:sz w:val="12"/>
              </w:rPr>
              <w:t xml:space="preserve">       Url={DataverseUrl};</w:t>
            </w:r>
          </w:p>
        </w:tc>
        <w:tc>
          <w:tcPr>
            <w:tcW w:type="dxa" w:w="2590"/>
            <w:vAlign w:val="top"/>
          </w:tcPr>
          <w:p>
            <w:r/>
            <w:r>
              <w:rPr>
                <w:rFonts w:ascii="Arial" w:hAnsi="Arial"/>
                <w:b w:val="0"/>
                <w:sz w:val="12"/>
              </w:rPr>
              <w:t>Injects the configured Dataverse URL into the connection string.</w:t>
            </w:r>
          </w:p>
        </w:tc>
        <w:tc>
          <w:tcPr>
            <w:tcW w:type="dxa" w:w="2590"/>
            <w:vAlign w:val="top"/>
          </w:tcPr>
          <w:p>
            <w:r/>
            <w:r>
              <w:rPr>
                <w:rFonts w:ascii="Arial" w:hAnsi="Arial"/>
                <w:b w:val="0"/>
                <w:sz w:val="12"/>
              </w:rPr>
              <w:t>Uses the DataverseUrl constant rather than hardcoding the URL multiple times.</w:t>
            </w:r>
          </w:p>
        </w:tc>
        <w:tc>
          <w:tcPr>
            <w:tcW w:type="dxa" w:w="2590"/>
            <w:vAlign w:val="top"/>
          </w:tcPr>
          <w:p>
            <w:r/>
            <w:r>
              <w:rPr>
                <w:rFonts w:ascii="Arial" w:hAnsi="Arial"/>
                <w:b w:val="0"/>
                <w:sz w:val="12"/>
              </w:rPr>
              <w:t>Makes environment targeting explicit and maintainable.</w:t>
            </w:r>
          </w:p>
        </w:tc>
        <w:tc>
          <w:tcPr>
            <w:tcW w:type="dxa" w:w="2590"/>
            <w:vAlign w:val="top"/>
          </w:tcPr>
          <w:p>
            <w:r/>
            <w:r>
              <w:rPr>
                <w:rFonts w:ascii="Arial" w:hAnsi="Arial"/>
                <w:b w:val="0"/>
                <w:sz w:val="12"/>
              </w:rPr>
              <w:t>If the URL is wrong, all metadata operations target the wrong environment.</w:t>
            </w:r>
          </w:p>
        </w:tc>
      </w:tr>
      <w:tr>
        <w:tc>
          <w:tcPr>
            <w:tcW w:type="dxa" w:w="2590"/>
            <w:vAlign w:val="top"/>
          </w:tcPr>
          <w:p>
            <w:r/>
            <w:r>
              <w:rPr>
                <w:rFonts w:ascii="Arial" w:hAnsi="Arial"/>
                <w:b w:val="0"/>
                <w:sz w:val="12"/>
              </w:rPr>
              <w:t>15</w:t>
            </w:r>
          </w:p>
        </w:tc>
        <w:tc>
          <w:tcPr>
            <w:tcW w:type="dxa" w:w="2590"/>
            <w:vAlign w:val="top"/>
          </w:tcPr>
          <w:p>
            <w:r/>
            <w:r>
              <w:rPr>
                <w:rFonts w:ascii="Arial" w:hAnsi="Arial"/>
                <w:b w:val="0"/>
                <w:sz w:val="12"/>
              </w:rPr>
              <w:t xml:space="preserve">       LoginPrompt=Auto;</w:t>
            </w:r>
          </w:p>
        </w:tc>
        <w:tc>
          <w:tcPr>
            <w:tcW w:type="dxa" w:w="2590"/>
            <w:vAlign w:val="top"/>
          </w:tcPr>
          <w:p>
            <w:r/>
            <w:r>
              <w:rPr>
                <w:rFonts w:ascii="Arial" w:hAnsi="Arial"/>
                <w:b w:val="0"/>
                <w:sz w:val="12"/>
              </w:rPr>
              <w:t>Allows interactive login when needed.</w:t>
            </w:r>
          </w:p>
        </w:tc>
        <w:tc>
          <w:tcPr>
            <w:tcW w:type="dxa" w:w="2590"/>
            <w:vAlign w:val="top"/>
          </w:tcPr>
          <w:p>
            <w:r/>
            <w:r>
              <w:rPr>
                <w:rFonts w:ascii="Arial" w:hAnsi="Arial"/>
                <w:b w:val="0"/>
                <w:sz w:val="12"/>
              </w:rPr>
              <w:t>ServiceClient can open a login flow if no valid token is cached.</w:t>
            </w:r>
          </w:p>
        </w:tc>
        <w:tc>
          <w:tcPr>
            <w:tcW w:type="dxa" w:w="2590"/>
            <w:vAlign w:val="top"/>
          </w:tcPr>
          <w:p>
            <w:r/>
            <w:r>
              <w:rPr>
                <w:rFonts w:ascii="Arial" w:hAnsi="Arial"/>
                <w:b w:val="0"/>
                <w:sz w:val="12"/>
              </w:rPr>
              <w:t>Practical for a Mac-based maker/developer working locally.</w:t>
            </w:r>
          </w:p>
        </w:tc>
        <w:tc>
          <w:tcPr>
            <w:tcW w:type="dxa" w:w="2590"/>
            <w:vAlign w:val="top"/>
          </w:tcPr>
          <w:p>
            <w:r/>
            <w:r>
              <w:rPr>
                <w:rFonts w:ascii="Arial" w:hAnsi="Arial"/>
                <w:b w:val="0"/>
                <w:sz w:val="12"/>
              </w:rPr>
              <w:t>Without a login prompt, the script may fail silently when no token is available.</w:t>
            </w:r>
          </w:p>
        </w:tc>
      </w:tr>
      <w:tr>
        <w:tc>
          <w:tcPr>
            <w:tcW w:type="dxa" w:w="2590"/>
            <w:vAlign w:val="top"/>
          </w:tcPr>
          <w:p>
            <w:r/>
            <w:r>
              <w:rPr>
                <w:rFonts w:ascii="Arial" w:hAnsi="Arial"/>
                <w:b w:val="0"/>
                <w:sz w:val="12"/>
              </w:rPr>
              <w:t>16</w:t>
            </w:r>
          </w:p>
        </w:tc>
        <w:tc>
          <w:tcPr>
            <w:tcW w:type="dxa" w:w="2590"/>
            <w:vAlign w:val="top"/>
          </w:tcPr>
          <w:p>
            <w:r/>
            <w:r>
              <w:rPr>
                <w:rFonts w:ascii="Arial" w:hAnsi="Arial"/>
                <w:b w:val="0"/>
                <w:sz w:val="12"/>
              </w:rPr>
              <w:t xml:space="preserve">       ClientId=51f81489-12ee-4a9e-aaae-a2591f45987d;</w:t>
            </w:r>
          </w:p>
        </w:tc>
        <w:tc>
          <w:tcPr>
            <w:tcW w:type="dxa" w:w="2590"/>
            <w:vAlign w:val="top"/>
          </w:tcPr>
          <w:p>
            <w:r/>
            <w:r>
              <w:rPr>
                <w:rFonts w:ascii="Arial" w:hAnsi="Arial"/>
                <w:b w:val="0"/>
                <w:sz w:val="12"/>
              </w:rPr>
              <w:t>Sets the Microsoft public client ID used by Dataverse tooling scenarios.</w:t>
            </w:r>
          </w:p>
        </w:tc>
        <w:tc>
          <w:tcPr>
            <w:tcW w:type="dxa" w:w="2590"/>
            <w:vAlign w:val="top"/>
          </w:tcPr>
          <w:p>
            <w:r/>
            <w:r>
              <w:rPr>
                <w:rFonts w:ascii="Arial" w:hAnsi="Arial"/>
                <w:b w:val="0"/>
                <w:sz w:val="12"/>
              </w:rPr>
              <w:t>ServiceClient uses it for the interactive OAuth flow.</w:t>
            </w:r>
          </w:p>
        </w:tc>
        <w:tc>
          <w:tcPr>
            <w:tcW w:type="dxa" w:w="2590"/>
            <w:vAlign w:val="top"/>
          </w:tcPr>
          <w:p>
            <w:r/>
            <w:r>
              <w:rPr>
                <w:rFonts w:ascii="Arial" w:hAnsi="Arial"/>
                <w:b w:val="0"/>
                <w:sz w:val="12"/>
              </w:rPr>
              <w:t>Avoids creating a custom app registration for this MVP metadata script.</w:t>
            </w:r>
          </w:p>
        </w:tc>
        <w:tc>
          <w:tcPr>
            <w:tcW w:type="dxa" w:w="2590"/>
            <w:vAlign w:val="top"/>
          </w:tcPr>
          <w:p>
            <w:r/>
            <w:r>
              <w:rPr>
                <w:rFonts w:ascii="Arial" w:hAnsi="Arial"/>
                <w:b w:val="0"/>
                <w:sz w:val="12"/>
              </w:rPr>
              <w:t>Changing it to an invalid client ID breaks authentication.</w:t>
            </w:r>
          </w:p>
        </w:tc>
      </w:tr>
      <w:tr>
        <w:tc>
          <w:tcPr>
            <w:tcW w:type="dxa" w:w="2590"/>
            <w:vAlign w:val="top"/>
          </w:tcPr>
          <w:p>
            <w:r/>
            <w:r>
              <w:rPr>
                <w:rFonts w:ascii="Arial" w:hAnsi="Arial"/>
                <w:b w:val="0"/>
                <w:sz w:val="12"/>
              </w:rPr>
              <w:t>17</w:t>
            </w:r>
          </w:p>
        </w:tc>
        <w:tc>
          <w:tcPr>
            <w:tcW w:type="dxa" w:w="2590"/>
            <w:vAlign w:val="top"/>
          </w:tcPr>
          <w:p>
            <w:r/>
            <w:r>
              <w:rPr>
                <w:rFonts w:ascii="Arial" w:hAnsi="Arial"/>
                <w:b w:val="0"/>
                <w:sz w:val="12"/>
              </w:rPr>
              <w:t xml:space="preserve">       RedirectUri=http://localhost";</w:t>
            </w:r>
          </w:p>
        </w:tc>
        <w:tc>
          <w:tcPr>
            <w:tcW w:type="dxa" w:w="2590"/>
            <w:vAlign w:val="top"/>
          </w:tcPr>
          <w:p>
            <w:r/>
            <w:r>
              <w:rPr>
                <w:rFonts w:ascii="Arial" w:hAnsi="Arial"/>
                <w:b w:val="0"/>
                <w:sz w:val="12"/>
              </w:rPr>
              <w:t>Defines the local redirect URI for interactive OAuth.</w:t>
            </w:r>
          </w:p>
        </w:tc>
        <w:tc>
          <w:tcPr>
            <w:tcW w:type="dxa" w:w="2590"/>
            <w:vAlign w:val="top"/>
          </w:tcPr>
          <w:p>
            <w:r/>
            <w:r>
              <w:rPr>
                <w:rFonts w:ascii="Arial" w:hAnsi="Arial"/>
                <w:b w:val="0"/>
                <w:sz w:val="12"/>
              </w:rPr>
              <w:t>After sign-in, authentication returns to localhost so the SDK can continue.</w:t>
            </w:r>
          </w:p>
        </w:tc>
        <w:tc>
          <w:tcPr>
            <w:tcW w:type="dxa" w:w="2590"/>
            <w:vAlign w:val="top"/>
          </w:tcPr>
          <w:p>
            <w:r/>
            <w:r>
              <w:rPr>
                <w:rFonts w:ascii="Arial" w:hAnsi="Arial"/>
                <w:b w:val="0"/>
                <w:sz w:val="12"/>
              </w:rPr>
              <w:t>Required by the OAuth flow used in this local script.</w:t>
            </w:r>
          </w:p>
        </w:tc>
        <w:tc>
          <w:tcPr>
            <w:tcW w:type="dxa" w:w="2590"/>
            <w:vAlign w:val="top"/>
          </w:tcPr>
          <w:p>
            <w:r/>
            <w:r>
              <w:rPr>
                <w:rFonts w:ascii="Arial" w:hAnsi="Arial"/>
                <w:b w:val="0"/>
                <w:sz w:val="12"/>
              </w:rPr>
              <w:t>Incorrect redirect URI can block authentication completion.</w:t>
            </w:r>
          </w:p>
        </w:tc>
      </w:tr>
      <w:tr>
        <w:tc>
          <w:tcPr>
            <w:tcW w:type="dxa" w:w="2590"/>
            <w:vAlign w:val="top"/>
          </w:tcPr>
          <w:p>
            <w:r/>
            <w:r>
              <w:rPr>
                <w:rFonts w:ascii="Arial" w:hAnsi="Arial"/>
                <w:b w:val="0"/>
                <w:sz w:val="12"/>
              </w:rPr>
              <w:t>18</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19</w:t>
            </w:r>
          </w:p>
        </w:tc>
        <w:tc>
          <w:tcPr>
            <w:tcW w:type="dxa" w:w="2590"/>
            <w:vAlign w:val="top"/>
          </w:tcPr>
          <w:p>
            <w:r/>
            <w:r>
              <w:rPr>
                <w:rFonts w:ascii="Arial" w:hAnsi="Arial"/>
                <w:b w:val="0"/>
                <w:sz w:val="12"/>
              </w:rPr>
              <w:t>using var service = new ServiceClient(connectionString);</w:t>
            </w:r>
          </w:p>
        </w:tc>
        <w:tc>
          <w:tcPr>
            <w:tcW w:type="dxa" w:w="2590"/>
            <w:vAlign w:val="top"/>
          </w:tcPr>
          <w:p>
            <w:r/>
            <w:r>
              <w:rPr>
                <w:rFonts w:ascii="Arial" w:hAnsi="Arial"/>
                <w:b w:val="0"/>
                <w:sz w:val="12"/>
              </w:rPr>
              <w:t>Imports the var service = new ServiceClient(connectionString) namespace.</w:t>
            </w:r>
          </w:p>
        </w:tc>
        <w:tc>
          <w:tcPr>
            <w:tcW w:type="dxa" w:w="2590"/>
            <w:vAlign w:val="top"/>
          </w:tcPr>
          <w:p>
            <w:r/>
            <w:r>
              <w:rPr>
                <w:rFonts w:ascii="Arial" w:hAnsi="Arial"/>
                <w:b w:val="0"/>
                <w:sz w:val="12"/>
              </w:rPr>
              <w:t>Allows the script to reference Dataverse SDK classes without fully qualified names.</w:t>
            </w:r>
          </w:p>
        </w:tc>
        <w:tc>
          <w:tcPr>
            <w:tcW w:type="dxa" w:w="2590"/>
            <w:vAlign w:val="top"/>
          </w:tcPr>
          <w:p>
            <w:r/>
            <w:r>
              <w:rPr>
                <w:rFonts w:ascii="Arial" w:hAnsi="Arial"/>
                <w:b w:val="0"/>
                <w:sz w:val="12"/>
              </w:rPr>
              <w:t>Required for SDK request classes, metadata types, labels, and the ServiceClient connection.</w:t>
            </w:r>
          </w:p>
        </w:tc>
        <w:tc>
          <w:tcPr>
            <w:tcW w:type="dxa" w:w="2590"/>
            <w:vAlign w:val="top"/>
          </w:tcPr>
          <w:p>
            <w:r/>
            <w:r>
              <w:rPr>
                <w:rFonts w:ascii="Arial" w:hAnsi="Arial"/>
                <w:b w:val="0"/>
                <w:sz w:val="12"/>
              </w:rPr>
              <w:t>Missing namespace causes compiler errors for the related SDK types.</w:t>
            </w:r>
          </w:p>
        </w:tc>
      </w:tr>
      <w:tr>
        <w:tc>
          <w:tcPr>
            <w:tcW w:type="dxa" w:w="2590"/>
            <w:vAlign w:val="top"/>
          </w:tcPr>
          <w:p>
            <w:r/>
            <w:r>
              <w:rPr>
                <w:rFonts w:ascii="Arial" w:hAnsi="Arial"/>
                <w:b w:val="0"/>
                <w:sz w:val="12"/>
              </w:rPr>
              <w:t>20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21</w:t>
            </w:r>
          </w:p>
        </w:tc>
        <w:tc>
          <w:tcPr>
            <w:tcW w:type="dxa" w:w="2590"/>
            <w:vAlign w:val="top"/>
          </w:tcPr>
          <w:p>
            <w:r/>
            <w:r>
              <w:rPr>
                <w:rFonts w:ascii="Arial" w:hAnsi="Arial"/>
                <w:b w:val="0"/>
                <w:sz w:val="12"/>
              </w:rPr>
              <w:t>if (!service.IsReady)</w:t>
            </w:r>
          </w:p>
        </w:tc>
        <w:tc>
          <w:tcPr>
            <w:tcW w:type="dxa" w:w="2590"/>
            <w:vAlign w:val="top"/>
          </w:tcPr>
          <w:p>
            <w:r/>
            <w:r>
              <w:rPr>
                <w:rFonts w:ascii="Arial" w:hAnsi="Arial"/>
                <w:b w:val="0"/>
                <w:sz w:val="12"/>
              </w:rPr>
              <w:t>Checks whether connection initialization succeeded.</w:t>
            </w:r>
          </w:p>
        </w:tc>
        <w:tc>
          <w:tcPr>
            <w:tcW w:type="dxa" w:w="2590"/>
            <w:vAlign w:val="top"/>
          </w:tcPr>
          <w:p>
            <w:r/>
            <w:r>
              <w:rPr>
                <w:rFonts w:ascii="Arial" w:hAnsi="Arial"/>
                <w:b w:val="0"/>
                <w:sz w:val="12"/>
              </w:rPr>
              <w:t>Prevents metadata operations when authentication or connectivity failed.</w:t>
            </w:r>
          </w:p>
        </w:tc>
        <w:tc>
          <w:tcPr>
            <w:tcW w:type="dxa" w:w="2590"/>
            <w:vAlign w:val="top"/>
          </w:tcPr>
          <w:p>
            <w:r/>
            <w:r>
              <w:rPr>
                <w:rFonts w:ascii="Arial" w:hAnsi="Arial"/>
                <w:b w:val="0"/>
                <w:sz w:val="12"/>
              </w:rPr>
              <w:t>Protects the environment from partial/undefined behavior.</w:t>
            </w:r>
          </w:p>
        </w:tc>
        <w:tc>
          <w:tcPr>
            <w:tcW w:type="dxa" w:w="2590"/>
            <w:vAlign w:val="top"/>
          </w:tcPr>
          <w:p>
            <w:r/>
            <w:r>
              <w:rPr>
                <w:rFonts w:ascii="Arial" w:hAnsi="Arial"/>
                <w:b w:val="0"/>
                <w:sz w:val="12"/>
              </w:rPr>
              <w:t>Skipping this check can lead to confusing failures later in the script.</w:t>
            </w:r>
          </w:p>
        </w:tc>
      </w:tr>
      <w:tr>
        <w:tc>
          <w:tcPr>
            <w:tcW w:type="dxa" w:w="2590"/>
            <w:vAlign w:val="top"/>
          </w:tcPr>
          <w:p>
            <w:r/>
            <w:r>
              <w:rPr>
                <w:rFonts w:ascii="Arial" w:hAnsi="Arial"/>
                <w:b w:val="0"/>
                <w:sz w:val="12"/>
              </w:rPr>
              <w:t>22</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23</w:t>
            </w:r>
          </w:p>
        </w:tc>
        <w:tc>
          <w:tcPr>
            <w:tcW w:type="dxa" w:w="2590"/>
            <w:vAlign w:val="top"/>
          </w:tcPr>
          <w:p>
            <w:r/>
            <w:r>
              <w:rPr>
                <w:rFonts w:ascii="Arial" w:hAnsi="Arial"/>
                <w:b w:val="0"/>
                <w:sz w:val="12"/>
              </w:rPr>
              <w:t xml:space="preserve">    Console.ForegroundColor = ConsoleColor.Red;</w:t>
            </w:r>
          </w:p>
        </w:tc>
        <w:tc>
          <w:tcPr>
            <w:tcW w:type="dxa" w:w="2590"/>
            <w:vAlign w:val="top"/>
          </w:tcPr>
          <w:p>
            <w:r/>
            <w:r>
              <w:rPr>
                <w:rFonts w:ascii="Arial" w:hAnsi="Arial"/>
                <w:b w:val="0"/>
                <w:sz w:val="12"/>
              </w:rPr>
              <w:t>Changes terminal output to red.</w:t>
            </w:r>
          </w:p>
        </w:tc>
        <w:tc>
          <w:tcPr>
            <w:tcW w:type="dxa" w:w="2590"/>
            <w:vAlign w:val="top"/>
          </w:tcPr>
          <w:p>
            <w:r/>
            <w:r>
              <w:rPr>
                <w:rFonts w:ascii="Arial" w:hAnsi="Arial"/>
                <w:b w:val="0"/>
                <w:sz w:val="12"/>
              </w:rPr>
              <w:t>Used for failure messages so operators can identify errors immediately.</w:t>
            </w:r>
          </w:p>
        </w:tc>
        <w:tc>
          <w:tcPr>
            <w:tcW w:type="dxa" w:w="2590"/>
            <w:vAlign w:val="top"/>
          </w:tcPr>
          <w:p>
            <w:r/>
            <w:r>
              <w:rPr>
                <w:rFonts w:ascii="Arial" w:hAnsi="Arial"/>
                <w:b w:val="0"/>
                <w:sz w:val="12"/>
              </w:rPr>
              <w:t>Improves operational readability.</w:t>
            </w:r>
          </w:p>
        </w:tc>
        <w:tc>
          <w:tcPr>
            <w:tcW w:type="dxa" w:w="2590"/>
            <w:vAlign w:val="top"/>
          </w:tcPr>
          <w:p>
            <w:r/>
            <w:r>
              <w:rPr>
                <w:rFonts w:ascii="Arial" w:hAnsi="Arial"/>
                <w:b w:val="0"/>
                <w:sz w:val="12"/>
              </w:rPr>
              <w:t>If colors are not reset, later messages can remain incorrectly colored.</w:t>
            </w:r>
          </w:p>
        </w:tc>
      </w:tr>
      <w:tr>
        <w:tc>
          <w:tcPr>
            <w:tcW w:type="dxa" w:w="2590"/>
            <w:vAlign w:val="top"/>
          </w:tcPr>
          <w:p>
            <w:r/>
            <w:r>
              <w:rPr>
                <w:rFonts w:ascii="Arial" w:hAnsi="Arial"/>
                <w:b w:val="0"/>
                <w:sz w:val="12"/>
              </w:rPr>
              <w:t>24</w:t>
            </w:r>
          </w:p>
        </w:tc>
        <w:tc>
          <w:tcPr>
            <w:tcW w:type="dxa" w:w="2590"/>
            <w:vAlign w:val="top"/>
          </w:tcPr>
          <w:p>
            <w:r/>
            <w:r>
              <w:rPr>
                <w:rFonts w:ascii="Arial" w:hAnsi="Arial"/>
                <w:b w:val="0"/>
                <w:sz w:val="12"/>
              </w:rPr>
              <w:t xml:space="preserve">    Console.WriteLine("Connection failed:");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25</w:t>
            </w:r>
          </w:p>
        </w:tc>
        <w:tc>
          <w:tcPr>
            <w:tcW w:type="dxa" w:w="2590"/>
            <w:vAlign w:val="top"/>
          </w:tcPr>
          <w:p>
            <w:r/>
            <w:r>
              <w:rPr>
                <w:rFonts w:ascii="Arial" w:hAnsi="Arial"/>
                <w:b w:val="0"/>
                <w:sz w:val="12"/>
              </w:rPr>
              <w:t xml:space="preserve">    Console.WriteLine(service.LastError);</w:t>
            </w:r>
          </w:p>
        </w:tc>
        <w:tc>
          <w:tcPr>
            <w:tcW w:type="dxa" w:w="2590"/>
            <w:vAlign w:val="top"/>
          </w:tcPr>
          <w:p>
            <w:r/>
            <w:r>
              <w:rPr>
                <w:rFonts w:ascii="Arial" w:hAnsi="Arial"/>
                <w:b w:val="0"/>
                <w:sz w:val="12"/>
              </w:rPr>
              <w:t>Prints the Dataverse connection error.</w:t>
            </w:r>
          </w:p>
        </w:tc>
        <w:tc>
          <w:tcPr>
            <w:tcW w:type="dxa" w:w="2590"/>
            <w:vAlign w:val="top"/>
          </w:tcPr>
          <w:p>
            <w:r/>
            <w:r>
              <w:rPr>
                <w:rFonts w:ascii="Arial" w:hAnsi="Arial"/>
                <w:b w:val="0"/>
                <w:sz w:val="12"/>
              </w:rPr>
              <w:t>ServiceClient.LastError provides diagnostic detail when connection fails.</w:t>
            </w:r>
          </w:p>
        </w:tc>
        <w:tc>
          <w:tcPr>
            <w:tcW w:type="dxa" w:w="2590"/>
            <w:vAlign w:val="top"/>
          </w:tcPr>
          <w:p>
            <w:r/>
            <w:r>
              <w:rPr>
                <w:rFonts w:ascii="Arial" w:hAnsi="Arial"/>
                <w:b w:val="0"/>
                <w:sz w:val="12"/>
              </w:rPr>
              <w:t>Needed for troubleshooting URL, login, permission, or token issues.</w:t>
            </w:r>
          </w:p>
        </w:tc>
        <w:tc>
          <w:tcPr>
            <w:tcW w:type="dxa" w:w="2590"/>
            <w:vAlign w:val="top"/>
          </w:tcPr>
          <w:p>
            <w:r/>
            <w:r>
              <w:rPr>
                <w:rFonts w:ascii="Arial" w:hAnsi="Arial"/>
                <w:b w:val="0"/>
                <w:sz w:val="12"/>
              </w:rPr>
              <w:t>Without it, the operator sees only a generic failure.</w:t>
            </w:r>
          </w:p>
        </w:tc>
      </w:tr>
      <w:tr>
        <w:tc>
          <w:tcPr>
            <w:tcW w:type="dxa" w:w="2590"/>
            <w:vAlign w:val="top"/>
          </w:tcPr>
          <w:p>
            <w:r/>
            <w:r>
              <w:rPr>
                <w:rFonts w:ascii="Arial" w:hAnsi="Arial"/>
                <w:b w:val="0"/>
                <w:sz w:val="12"/>
              </w:rPr>
              <w:t>26</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27</w:t>
            </w:r>
          </w:p>
        </w:tc>
        <w:tc>
          <w:tcPr>
            <w:tcW w:type="dxa" w:w="2590"/>
            <w:vAlign w:val="top"/>
          </w:tcPr>
          <w:p>
            <w:r/>
            <w:r>
              <w:rPr>
                <w:rFonts w:ascii="Arial" w:hAnsi="Arial"/>
                <w:b w:val="0"/>
                <w:sz w:val="12"/>
              </w:rPr>
              <w:t xml:space="preserve">    return;</w:t>
            </w:r>
          </w:p>
        </w:tc>
        <w:tc>
          <w:tcPr>
            <w:tcW w:type="dxa" w:w="2590"/>
            <w:vAlign w:val="top"/>
          </w:tcPr>
          <w:p>
            <w:r/>
            <w:r>
              <w:rPr>
                <w:rFonts w:ascii="Arial" w:hAnsi="Arial"/>
                <w:b w:val="0"/>
                <w:sz w:val="12"/>
              </w:rPr>
              <w:t>Stops script execution.</w:t>
            </w:r>
          </w:p>
        </w:tc>
        <w:tc>
          <w:tcPr>
            <w:tcW w:type="dxa" w:w="2590"/>
            <w:vAlign w:val="top"/>
          </w:tcPr>
          <w:p>
            <w:r/>
            <w:r>
              <w:rPr>
                <w:rFonts w:ascii="Arial" w:hAnsi="Arial"/>
                <w:b w:val="0"/>
                <w:sz w:val="12"/>
              </w:rPr>
              <w:t>Used after a connection failure or after skipping lookup creation.</w:t>
            </w:r>
          </w:p>
        </w:tc>
        <w:tc>
          <w:tcPr>
            <w:tcW w:type="dxa" w:w="2590"/>
            <w:vAlign w:val="top"/>
          </w:tcPr>
          <w:p>
            <w:r/>
            <w:r>
              <w:rPr>
                <w:rFonts w:ascii="Arial" w:hAnsi="Arial"/>
                <w:b w:val="0"/>
                <w:sz w:val="12"/>
              </w:rPr>
              <w:t>Prevents unsafe continuation or exits a helper method when work is unnecessary.</w:t>
            </w:r>
          </w:p>
        </w:tc>
        <w:tc>
          <w:tcPr>
            <w:tcW w:type="dxa" w:w="2590"/>
            <w:vAlign w:val="top"/>
          </w:tcPr>
          <w:p>
            <w:r/>
            <w:r>
              <w:rPr>
                <w:rFonts w:ascii="Arial" w:hAnsi="Arial"/>
                <w:b w:val="0"/>
                <w:sz w:val="12"/>
              </w:rPr>
              <w:t>Removing it can cause the script to run into invalid state.</w:t>
            </w:r>
          </w:p>
        </w:tc>
      </w:tr>
      <w:tr>
        <w:tc>
          <w:tcPr>
            <w:tcW w:type="dxa" w:w="2590"/>
            <w:vAlign w:val="top"/>
          </w:tcPr>
          <w:p>
            <w:r/>
            <w:r>
              <w:rPr>
                <w:rFonts w:ascii="Arial" w:hAnsi="Arial"/>
                <w:b w:val="0"/>
                <w:sz w:val="12"/>
              </w:rPr>
              <w:t>28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29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30</w:t>
            </w:r>
          </w:p>
        </w:tc>
        <w:tc>
          <w:tcPr>
            <w:tcW w:type="dxa" w:w="2590"/>
            <w:vAlign w:val="top"/>
          </w:tcPr>
          <w:p>
            <w:r/>
            <w:r>
              <w:rPr>
                <w:rFonts w:ascii="Arial" w:hAnsi="Arial"/>
                <w:b w:val="0"/>
                <w:sz w:val="12"/>
              </w:rPr>
              <w:t>Console.WriteLine($"Connected to: {DataverseUrl}");</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31</w:t>
            </w:r>
          </w:p>
        </w:tc>
        <w:tc>
          <w:tcPr>
            <w:tcW w:type="dxa" w:w="2590"/>
            <w:vAlign w:val="top"/>
          </w:tcPr>
          <w:p>
            <w:r/>
            <w:r>
              <w:rPr>
                <w:rFonts w:ascii="Arial" w:hAnsi="Arial"/>
                <w:b w:val="0"/>
                <w:sz w:val="12"/>
              </w:rPr>
              <w:t>Console.WriteLine($"Target solution: {SolutionUniqueName}");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32</w:t>
            </w:r>
          </w:p>
        </w:tc>
        <w:tc>
          <w:tcPr>
            <w:tcW w:type="dxa" w:w="2590"/>
            <w:vAlign w:val="top"/>
          </w:tcPr>
          <w:p>
            <w:r/>
            <w:r>
              <w:rPr>
                <w:rFonts w:ascii="Arial" w:hAnsi="Arial"/>
                <w:b w:val="0"/>
                <w:sz w:val="12"/>
              </w:rPr>
              <w:t>Console.WriteLine($"Target table: {EntityLogicalName}");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33</w:t>
            </w:r>
          </w:p>
        </w:tc>
        <w:tc>
          <w:tcPr>
            <w:tcW w:type="dxa" w:w="2590"/>
            <w:vAlign w:val="top"/>
          </w:tcPr>
          <w:p>
            <w:r/>
            <w:r>
              <w:rPr>
                <w:rFonts w:ascii="Arial" w:hAnsi="Arial"/>
                <w:b w:val="0"/>
                <w:sz w:val="12"/>
              </w:rPr>
              <w:t>Console.WriteLine("Fixing missing Opportunity lookup only...");</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34</w:t>
            </w:r>
          </w:p>
        </w:tc>
        <w:tc>
          <w:tcPr>
            <w:tcW w:type="dxa" w:w="2590"/>
            <w:vAlign w:val="top"/>
          </w:tcPr>
          <w:p>
            <w:r/>
            <w:r>
              <w:rPr>
                <w:rFonts w:ascii="Arial" w:hAnsi="Arial"/>
                <w:b w:val="0"/>
                <w:sz w:val="12"/>
              </w:rPr>
              <w:t>Console.WriteLine();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35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36</w:t>
            </w:r>
          </w:p>
        </w:tc>
        <w:tc>
          <w:tcPr>
            <w:tcW w:type="dxa" w:w="2590"/>
            <w:vAlign w:val="top"/>
          </w:tcPr>
          <w:p>
            <w:r/>
            <w:r>
              <w:rPr>
                <w:rFonts w:ascii="Arial" w:hAnsi="Arial"/>
                <w:b w:val="0"/>
                <w:sz w:val="12"/>
              </w:rPr>
              <w:t>var existingAttributes = GetExistingAttributeLogicalNames(service, EntityLogicalName);</w:t>
            </w:r>
          </w:p>
        </w:tc>
        <w:tc>
          <w:tcPr>
            <w:tcW w:type="dxa" w:w="2590"/>
            <w:vAlign w:val="top"/>
          </w:tcPr>
          <w:p>
            <w:r/>
            <w:r>
              <w:rPr>
                <w:rFonts w:ascii="Arial" w:hAnsi="Arial"/>
                <w:b w:val="0"/>
                <w:sz w:val="12"/>
              </w:rPr>
              <w:t>Reads existing columns on the target table.</w:t>
            </w:r>
          </w:p>
        </w:tc>
        <w:tc>
          <w:tcPr>
            <w:tcW w:type="dxa" w:w="2590"/>
            <w:vAlign w:val="top"/>
          </w:tcPr>
          <w:p>
            <w:r/>
            <w:r>
              <w:rPr>
                <w:rFonts w:ascii="Arial" w:hAnsi="Arial"/>
                <w:b w:val="0"/>
                <w:sz w:val="12"/>
              </w:rPr>
              <w:t>The helper retrieves Attribute metadata and returns logical names.</w:t>
            </w:r>
          </w:p>
        </w:tc>
        <w:tc>
          <w:tcPr>
            <w:tcW w:type="dxa" w:w="2590"/>
            <w:vAlign w:val="top"/>
          </w:tcPr>
          <w:p>
            <w:r/>
            <w:r>
              <w:rPr>
                <w:rFonts w:ascii="Arial" w:hAnsi="Arial"/>
                <w:b w:val="0"/>
                <w:sz w:val="12"/>
              </w:rPr>
              <w:t>Enables idempotent reruns that skip already-created columns.</w:t>
            </w:r>
          </w:p>
        </w:tc>
        <w:tc>
          <w:tcPr>
            <w:tcW w:type="dxa" w:w="2590"/>
            <w:vAlign w:val="top"/>
          </w:tcPr>
          <w:p>
            <w:r/>
            <w:r>
              <w:rPr>
                <w:rFonts w:ascii="Arial" w:hAnsi="Arial"/>
                <w:b w:val="0"/>
                <w:sz w:val="12"/>
              </w:rPr>
              <w:t>Without this, reruns would fail on duplicate column names.</w:t>
            </w:r>
          </w:p>
        </w:tc>
      </w:tr>
      <w:tr>
        <w:tc>
          <w:tcPr>
            <w:tcW w:type="dxa" w:w="2590"/>
            <w:vAlign w:val="top"/>
          </w:tcPr>
          <w:p>
            <w:r/>
            <w:r>
              <w:rPr>
                <w:rFonts w:ascii="Arial" w:hAnsi="Arial"/>
                <w:b w:val="0"/>
                <w:sz w:val="12"/>
              </w:rPr>
              <w:t>37</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38</w:t>
            </w:r>
          </w:p>
        </w:tc>
        <w:tc>
          <w:tcPr>
            <w:tcW w:type="dxa" w:w="2590"/>
            <w:vAlign w:val="top"/>
          </w:tcPr>
          <w:p>
            <w:r/>
            <w:r>
              <w:rPr>
                <w:rFonts w:ascii="Arial" w:hAnsi="Arial"/>
                <w:b w:val="0"/>
                <w:sz w:val="12"/>
              </w:rPr>
              <w:t>if (existingAttributes.Contains("aso_opportunityid"))</w:t>
            </w:r>
          </w:p>
        </w:tc>
        <w:tc>
          <w:tcPr>
            <w:tcW w:type="dxa" w:w="2590"/>
            <w:vAlign w:val="top"/>
          </w:tcPr>
          <w:p>
            <w:r/>
            <w:r>
              <w:rPr>
                <w:rFonts w:ascii="Arial" w:hAnsi="Arial"/>
                <w:b w:val="0"/>
                <w:sz w:val="12"/>
              </w:rPr>
              <w:t>Checks whether a column already exists.</w:t>
            </w:r>
          </w:p>
        </w:tc>
        <w:tc>
          <w:tcPr>
            <w:tcW w:type="dxa" w:w="2590"/>
            <w:vAlign w:val="top"/>
          </w:tcPr>
          <w:p>
            <w:r/>
            <w:r>
              <w:rPr>
                <w:rFonts w:ascii="Arial" w:hAnsi="Arial"/>
                <w:b w:val="0"/>
                <w:sz w:val="12"/>
              </w:rPr>
              <w:t>Uses the current table metadata returned earlier.</w:t>
            </w:r>
          </w:p>
        </w:tc>
        <w:tc>
          <w:tcPr>
            <w:tcW w:type="dxa" w:w="2590"/>
            <w:vAlign w:val="top"/>
          </w:tcPr>
          <w:p>
            <w:r/>
            <w:r>
              <w:rPr>
                <w:rFonts w:ascii="Arial" w:hAnsi="Arial"/>
                <w:b w:val="0"/>
                <w:sz w:val="12"/>
              </w:rPr>
              <w:t>Makes the script rerunnable after partial success.</w:t>
            </w:r>
          </w:p>
        </w:tc>
        <w:tc>
          <w:tcPr>
            <w:tcW w:type="dxa" w:w="2590"/>
            <w:vAlign w:val="top"/>
          </w:tcPr>
          <w:p>
            <w:r/>
            <w:r>
              <w:rPr>
                <w:rFonts w:ascii="Arial" w:hAnsi="Arial"/>
                <w:b w:val="0"/>
                <w:sz w:val="12"/>
              </w:rPr>
              <w:t>Without it, duplicate column errors stop progress.</w:t>
            </w:r>
          </w:p>
        </w:tc>
      </w:tr>
      <w:tr>
        <w:tc>
          <w:tcPr>
            <w:tcW w:type="dxa" w:w="2590"/>
            <w:vAlign w:val="top"/>
          </w:tcPr>
          <w:p>
            <w:r/>
            <w:r>
              <w:rPr>
                <w:rFonts w:ascii="Arial" w:hAnsi="Arial"/>
                <w:b w:val="0"/>
                <w:sz w:val="12"/>
              </w:rPr>
              <w:t>39</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40</w:t>
            </w:r>
          </w:p>
        </w:tc>
        <w:tc>
          <w:tcPr>
            <w:tcW w:type="dxa" w:w="2590"/>
            <w:vAlign w:val="top"/>
          </w:tcPr>
          <w:p>
            <w:r/>
            <w:r>
              <w:rPr>
                <w:rFonts w:ascii="Arial" w:hAnsi="Arial"/>
                <w:b w:val="0"/>
                <w:sz w:val="12"/>
              </w:rPr>
              <w:t xml:space="preserve">    Console.ForegroundColor = ConsoleColor.Yellow;</w:t>
            </w:r>
          </w:p>
        </w:tc>
        <w:tc>
          <w:tcPr>
            <w:tcW w:type="dxa" w:w="2590"/>
            <w:vAlign w:val="top"/>
          </w:tcPr>
          <w:p>
            <w:r/>
            <w:r>
              <w:rPr>
                <w:rFonts w:ascii="Arial" w:hAnsi="Arial"/>
                <w:b w:val="0"/>
                <w:sz w:val="12"/>
              </w:rPr>
              <w:t>Changes terminal output to yellow.</w:t>
            </w:r>
          </w:p>
        </w:tc>
        <w:tc>
          <w:tcPr>
            <w:tcW w:type="dxa" w:w="2590"/>
            <w:vAlign w:val="top"/>
          </w:tcPr>
          <w:p>
            <w:r/>
            <w:r>
              <w:rPr>
                <w:rFonts w:ascii="Arial" w:hAnsi="Arial"/>
                <w:b w:val="0"/>
                <w:sz w:val="12"/>
              </w:rPr>
              <w:t>Used for skip messages when a component already exists.</w:t>
            </w:r>
          </w:p>
        </w:tc>
        <w:tc>
          <w:tcPr>
            <w:tcW w:type="dxa" w:w="2590"/>
            <w:vAlign w:val="top"/>
          </w:tcPr>
          <w:p>
            <w:r/>
            <w:r>
              <w:rPr>
                <w:rFonts w:ascii="Arial" w:hAnsi="Arial"/>
                <w:b w:val="0"/>
                <w:sz w:val="12"/>
              </w:rPr>
              <w:t>Helps distinguish safe idempotent skips from failures.</w:t>
            </w:r>
          </w:p>
        </w:tc>
        <w:tc>
          <w:tcPr>
            <w:tcW w:type="dxa" w:w="2590"/>
            <w:vAlign w:val="top"/>
          </w:tcPr>
          <w:p>
            <w:r/>
            <w:r>
              <w:rPr>
                <w:rFonts w:ascii="Arial" w:hAnsi="Arial"/>
                <w:b w:val="0"/>
                <w:sz w:val="12"/>
              </w:rPr>
              <w:t>Purely cosmetic, but useful during reruns.</w:t>
            </w:r>
          </w:p>
        </w:tc>
      </w:tr>
      <w:tr>
        <w:tc>
          <w:tcPr>
            <w:tcW w:type="dxa" w:w="2590"/>
            <w:vAlign w:val="top"/>
          </w:tcPr>
          <w:p>
            <w:r/>
            <w:r>
              <w:rPr>
                <w:rFonts w:ascii="Arial" w:hAnsi="Arial"/>
                <w:b w:val="0"/>
                <w:sz w:val="12"/>
              </w:rPr>
              <w:t>41</w:t>
            </w:r>
          </w:p>
        </w:tc>
        <w:tc>
          <w:tcPr>
            <w:tcW w:type="dxa" w:w="2590"/>
            <w:vAlign w:val="top"/>
          </w:tcPr>
          <w:p>
            <w:r/>
            <w:r>
              <w:rPr>
                <w:rFonts w:ascii="Arial" w:hAnsi="Arial"/>
                <w:b w:val="0"/>
                <w:sz w:val="12"/>
              </w:rPr>
              <w:t xml:space="preserve">    Console.WriteLine("SKIP existing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42</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43</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44</w:t>
            </w:r>
          </w:p>
        </w:tc>
        <w:tc>
          <w:tcPr>
            <w:tcW w:type="dxa" w:w="2590"/>
            <w:vAlign w:val="top"/>
          </w:tcPr>
          <w:p>
            <w:r/>
            <w:r>
              <w:rPr>
                <w:rFonts w:ascii="Arial" w:hAnsi="Arial"/>
                <w:b w:val="0"/>
                <w:sz w:val="12"/>
              </w:rPr>
              <w:t>else</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45</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46</w:t>
            </w:r>
          </w:p>
        </w:tc>
        <w:tc>
          <w:tcPr>
            <w:tcW w:type="dxa" w:w="2590"/>
            <w:vAlign w:val="top"/>
          </w:tcPr>
          <w:p>
            <w:r/>
            <w:r>
              <w:rPr>
                <w:rFonts w:ascii="Arial" w:hAnsi="Arial"/>
                <w:b w:val="0"/>
                <w:sz w:val="12"/>
              </w:rPr>
              <w:t xml:space="preserve">    try</w:t>
            </w:r>
          </w:p>
        </w:tc>
        <w:tc>
          <w:tcPr>
            <w:tcW w:type="dxa" w:w="2590"/>
            <w:vAlign w:val="top"/>
          </w:tcPr>
          <w:p>
            <w:r/>
            <w:r>
              <w:rPr>
                <w:rFonts w:ascii="Arial" w:hAnsi="Arial"/>
                <w:b w:val="0"/>
                <w:sz w:val="12"/>
              </w:rPr>
              <w:t>Starts a protected operation block.</w:t>
            </w:r>
          </w:p>
        </w:tc>
        <w:tc>
          <w:tcPr>
            <w:tcW w:type="dxa" w:w="2590"/>
            <w:vAlign w:val="top"/>
          </w:tcPr>
          <w:p>
            <w:r/>
            <w:r>
              <w:rPr>
                <w:rFonts w:ascii="Arial" w:hAnsi="Arial"/>
                <w:b w:val="0"/>
                <w:sz w:val="12"/>
              </w:rPr>
              <w:t>Exceptions inside the block are caught and logged.</w:t>
            </w:r>
          </w:p>
        </w:tc>
        <w:tc>
          <w:tcPr>
            <w:tcW w:type="dxa" w:w="2590"/>
            <w:vAlign w:val="top"/>
          </w:tcPr>
          <w:p>
            <w:r/>
            <w:r>
              <w:rPr>
                <w:rFonts w:ascii="Arial" w:hAnsi="Arial"/>
                <w:b w:val="0"/>
                <w:sz w:val="12"/>
              </w:rPr>
              <w:t>Prevents one failing field from hiding the exact cause.</w:t>
            </w:r>
          </w:p>
        </w:tc>
        <w:tc>
          <w:tcPr>
            <w:tcW w:type="dxa" w:w="2590"/>
            <w:vAlign w:val="top"/>
          </w:tcPr>
          <w:p>
            <w:r/>
            <w:r>
              <w:rPr>
                <w:rFonts w:ascii="Arial" w:hAnsi="Arial"/>
                <w:b w:val="0"/>
                <w:sz w:val="12"/>
              </w:rPr>
              <w:t>Without try/catch, the script may crash with less context.</w:t>
            </w:r>
          </w:p>
        </w:tc>
      </w:tr>
      <w:tr>
        <w:tc>
          <w:tcPr>
            <w:tcW w:type="dxa" w:w="2590"/>
            <w:vAlign w:val="top"/>
          </w:tcPr>
          <w:p>
            <w:r/>
            <w:r>
              <w:rPr>
                <w:rFonts w:ascii="Arial" w:hAnsi="Arial"/>
                <w:b w:val="0"/>
                <w:sz w:val="12"/>
              </w:rPr>
              <w:t>47</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48</w:t>
            </w:r>
          </w:p>
        </w:tc>
        <w:tc>
          <w:tcPr>
            <w:tcW w:type="dxa" w:w="2590"/>
            <w:vAlign w:val="top"/>
          </w:tcPr>
          <w:p>
            <w:r/>
            <w:r>
              <w:rPr>
                <w:rFonts w:ascii="Arial" w:hAnsi="Arial"/>
                <w:b w:val="0"/>
                <w:sz w:val="12"/>
              </w:rPr>
              <w:t xml:space="preserve">        Console.WriteLine("Creating Opportunity lookup relationship...");</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49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50</w:t>
            </w:r>
          </w:p>
        </w:tc>
        <w:tc>
          <w:tcPr>
            <w:tcW w:type="dxa" w:w="2590"/>
            <w:vAlign w:val="top"/>
          </w:tcPr>
          <w:p>
            <w:r/>
            <w:r>
              <w:rPr>
                <w:rFonts w:ascii="Arial" w:hAnsi="Arial"/>
                <w:b w:val="0"/>
                <w:sz w:val="12"/>
              </w:rPr>
              <w:t xml:space="preserve">        var relationship = new OneToManyRelationshipMetadata</w:t>
            </w:r>
          </w:p>
        </w:tc>
        <w:tc>
          <w:tcPr>
            <w:tcW w:type="dxa" w:w="2590"/>
            <w:vAlign w:val="top"/>
          </w:tcPr>
          <w:p>
            <w:r/>
            <w:r>
              <w:rPr>
                <w:rFonts w:ascii="Arial" w:hAnsi="Arial"/>
                <w:b w:val="0"/>
                <w:sz w:val="12"/>
              </w:rPr>
              <w:t>Starts a one-to-many relationship definition.</w:t>
            </w:r>
          </w:p>
        </w:tc>
        <w:tc>
          <w:tcPr>
            <w:tcW w:type="dxa" w:w="2590"/>
            <w:vAlign w:val="top"/>
          </w:tcPr>
          <w:p>
            <w:r/>
            <w:r>
              <w:rPr>
                <w:rFonts w:ascii="Arial" w:hAnsi="Arial"/>
                <w:b w:val="0"/>
                <w:sz w:val="12"/>
              </w:rPr>
              <w:t>From Opportunity to Pending Commercial Action: one Opportunity can have many pending actions.</w:t>
            </w:r>
          </w:p>
        </w:tc>
        <w:tc>
          <w:tcPr>
            <w:tcW w:type="dxa" w:w="2590"/>
            <w:vAlign w:val="top"/>
          </w:tcPr>
          <w:p>
            <w:r/>
            <w:r>
              <w:rPr>
                <w:rFonts w:ascii="Arial" w:hAnsi="Arial"/>
                <w:b w:val="0"/>
                <w:sz w:val="12"/>
              </w:rPr>
              <w:t>This models the business relationship correctly.</w:t>
            </w:r>
          </w:p>
        </w:tc>
        <w:tc>
          <w:tcPr>
            <w:tcW w:type="dxa" w:w="2590"/>
            <w:vAlign w:val="top"/>
          </w:tcPr>
          <w:p>
            <w:r/>
            <w:r>
              <w:rPr>
                <w:rFonts w:ascii="Arial" w:hAnsi="Arial"/>
                <w:b w:val="0"/>
                <w:sz w:val="12"/>
              </w:rPr>
              <w:t>Wrong relationship direction affects forms, lookups, and related records.</w:t>
            </w:r>
          </w:p>
        </w:tc>
      </w:tr>
      <w:tr>
        <w:tc>
          <w:tcPr>
            <w:tcW w:type="dxa" w:w="2590"/>
            <w:vAlign w:val="top"/>
          </w:tcPr>
          <w:p>
            <w:r/>
            <w:r>
              <w:rPr>
                <w:rFonts w:ascii="Arial" w:hAnsi="Arial"/>
                <w:b w:val="0"/>
                <w:sz w:val="12"/>
              </w:rPr>
              <w:t>51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52</w:t>
            </w:r>
          </w:p>
        </w:tc>
        <w:tc>
          <w:tcPr>
            <w:tcW w:type="dxa" w:w="2590"/>
            <w:vAlign w:val="top"/>
          </w:tcPr>
          <w:p>
            <w:r/>
            <w:r>
              <w:rPr>
                <w:rFonts w:ascii="Arial" w:hAnsi="Arial"/>
                <w:b w:val="0"/>
                <w:sz w:val="12"/>
              </w:rPr>
              <w:t xml:space="preserve">            SchemaName = "aso_opportunity_aso_pendingcommercialaction",</w:t>
            </w:r>
          </w:p>
        </w:tc>
        <w:tc>
          <w:tcPr>
            <w:tcW w:type="dxa" w:w="2590"/>
            <w:vAlign w:val="top"/>
          </w:tcPr>
          <w:p>
            <w:r/>
            <w:r>
              <w:rPr>
                <w:rFonts w:ascii="Arial" w:hAnsi="Arial"/>
                <w:b w:val="0"/>
                <w:sz w:val="12"/>
              </w:rPr>
              <w:t>Sets the relationship schema name.</w:t>
            </w:r>
          </w:p>
        </w:tc>
        <w:tc>
          <w:tcPr>
            <w:tcW w:type="dxa" w:w="2590"/>
            <w:vAlign w:val="top"/>
          </w:tcPr>
          <w:p>
            <w:r/>
            <w:r>
              <w:rPr>
                <w:rFonts w:ascii="Arial" w:hAnsi="Arial"/>
                <w:b w:val="0"/>
                <w:sz w:val="12"/>
              </w:rPr>
              <w:t>Dataverse stores relationships with schema names.</w:t>
            </w:r>
          </w:p>
        </w:tc>
        <w:tc>
          <w:tcPr>
            <w:tcW w:type="dxa" w:w="2590"/>
            <w:vAlign w:val="top"/>
          </w:tcPr>
          <w:p>
            <w:r/>
            <w:r>
              <w:rPr>
                <w:rFonts w:ascii="Arial" w:hAnsi="Arial"/>
                <w:b w:val="0"/>
                <w:sz w:val="12"/>
              </w:rPr>
              <w:t>Allows the relationship to be identified and transported in solutions.</w:t>
            </w:r>
          </w:p>
        </w:tc>
        <w:tc>
          <w:tcPr>
            <w:tcW w:type="dxa" w:w="2590"/>
            <w:vAlign w:val="top"/>
          </w:tcPr>
          <w:p>
            <w:r/>
            <w:r>
              <w:rPr>
                <w:rFonts w:ascii="Arial" w:hAnsi="Arial"/>
                <w:b w:val="0"/>
                <w:sz w:val="12"/>
              </w:rPr>
              <w:t>Changing the name creates a different relationship.</w:t>
            </w:r>
          </w:p>
        </w:tc>
      </w:tr>
      <w:tr>
        <w:tc>
          <w:tcPr>
            <w:tcW w:type="dxa" w:w="2590"/>
            <w:vAlign w:val="top"/>
          </w:tcPr>
          <w:p>
            <w:r/>
            <w:r>
              <w:rPr>
                <w:rFonts w:ascii="Arial" w:hAnsi="Arial"/>
                <w:b w:val="0"/>
                <w:sz w:val="12"/>
              </w:rPr>
              <w:t>53</w:t>
            </w:r>
          </w:p>
        </w:tc>
        <w:tc>
          <w:tcPr>
            <w:tcW w:type="dxa" w:w="2590"/>
            <w:vAlign w:val="top"/>
          </w:tcPr>
          <w:p>
            <w:r/>
            <w:r>
              <w:rPr>
                <w:rFonts w:ascii="Arial" w:hAnsi="Arial"/>
                <w:b w:val="0"/>
                <w:sz w:val="12"/>
              </w:rPr>
              <w:t xml:space="preserve">            ReferencedEntity = "opportunity",</w:t>
            </w:r>
          </w:p>
        </w:tc>
        <w:tc>
          <w:tcPr>
            <w:tcW w:type="dxa" w:w="2590"/>
            <w:vAlign w:val="top"/>
          </w:tcPr>
          <w:p>
            <w:r/>
            <w:r>
              <w:rPr>
                <w:rFonts w:ascii="Arial" w:hAnsi="Arial"/>
                <w:b w:val="0"/>
                <w:sz w:val="12"/>
              </w:rPr>
              <w:t>Sets Opportunity as the parent/referenced table.</w:t>
            </w:r>
          </w:p>
        </w:tc>
        <w:tc>
          <w:tcPr>
            <w:tcW w:type="dxa" w:w="2590"/>
            <w:vAlign w:val="top"/>
          </w:tcPr>
          <w:p>
            <w:r/>
            <w:r>
              <w:rPr>
                <w:rFonts w:ascii="Arial" w:hAnsi="Arial"/>
                <w:b w:val="0"/>
                <w:sz w:val="12"/>
              </w:rPr>
              <w:t>Opportunity is the table being looked up to.</w:t>
            </w:r>
          </w:p>
        </w:tc>
        <w:tc>
          <w:tcPr>
            <w:tcW w:type="dxa" w:w="2590"/>
            <w:vAlign w:val="top"/>
          </w:tcPr>
          <w:p>
            <w:r/>
            <w:r>
              <w:rPr>
                <w:rFonts w:ascii="Arial" w:hAnsi="Arial"/>
                <w:b w:val="0"/>
                <w:sz w:val="12"/>
              </w:rPr>
              <w:t>Each pending action belongs to one opportunity.</w:t>
            </w:r>
          </w:p>
        </w:tc>
        <w:tc>
          <w:tcPr>
            <w:tcW w:type="dxa" w:w="2590"/>
            <w:vAlign w:val="top"/>
          </w:tcPr>
          <w:p>
            <w:r/>
            <w:r>
              <w:rPr>
                <w:rFonts w:ascii="Arial" w:hAnsi="Arial"/>
                <w:b w:val="0"/>
                <w:sz w:val="12"/>
              </w:rPr>
              <w:t>Wrong referenced table breaks the business model.</w:t>
            </w:r>
          </w:p>
        </w:tc>
      </w:tr>
      <w:tr>
        <w:tc>
          <w:tcPr>
            <w:tcW w:type="dxa" w:w="2590"/>
            <w:vAlign w:val="top"/>
          </w:tcPr>
          <w:p>
            <w:r/>
            <w:r>
              <w:rPr>
                <w:rFonts w:ascii="Arial" w:hAnsi="Arial"/>
                <w:b w:val="0"/>
                <w:sz w:val="12"/>
              </w:rPr>
              <w:t>54</w:t>
            </w:r>
          </w:p>
        </w:tc>
        <w:tc>
          <w:tcPr>
            <w:tcW w:type="dxa" w:w="2590"/>
            <w:vAlign w:val="top"/>
          </w:tcPr>
          <w:p>
            <w:r/>
            <w:r>
              <w:rPr>
                <w:rFonts w:ascii="Arial" w:hAnsi="Arial"/>
                <w:b w:val="0"/>
                <w:sz w:val="12"/>
              </w:rPr>
              <w:t xml:space="preserve">            ReferencingEntity = EntityLogicalName,</w:t>
            </w:r>
          </w:p>
        </w:tc>
        <w:tc>
          <w:tcPr>
            <w:tcW w:type="dxa" w:w="2590"/>
            <w:vAlign w:val="top"/>
          </w:tcPr>
          <w:p>
            <w:r/>
            <w:r>
              <w:rPr>
                <w:rFonts w:ascii="Arial" w:hAnsi="Arial"/>
                <w:b w:val="0"/>
                <w:sz w:val="12"/>
              </w:rPr>
              <w:t>Sets Pending Commercial Action as the child/referencing table.</w:t>
            </w:r>
          </w:p>
        </w:tc>
        <w:tc>
          <w:tcPr>
            <w:tcW w:type="dxa" w:w="2590"/>
            <w:vAlign w:val="top"/>
          </w:tcPr>
          <w:p>
            <w:r/>
            <w:r>
              <w:rPr>
                <w:rFonts w:ascii="Arial" w:hAnsi="Arial"/>
                <w:b w:val="0"/>
                <w:sz w:val="12"/>
              </w:rPr>
              <w:t>The lookup column lives on the Pending Commercial Action table.</w:t>
            </w:r>
          </w:p>
        </w:tc>
        <w:tc>
          <w:tcPr>
            <w:tcW w:type="dxa" w:w="2590"/>
            <w:vAlign w:val="top"/>
          </w:tcPr>
          <w:p>
            <w:r/>
            <w:r>
              <w:rPr>
                <w:rFonts w:ascii="Arial" w:hAnsi="Arial"/>
                <w:b w:val="0"/>
                <w:sz w:val="12"/>
              </w:rPr>
              <w:t>This lets a pending action point to an Opportunity.</w:t>
            </w:r>
          </w:p>
        </w:tc>
        <w:tc>
          <w:tcPr>
            <w:tcW w:type="dxa" w:w="2590"/>
            <w:vAlign w:val="top"/>
          </w:tcPr>
          <w:p>
            <w:r/>
            <w:r>
              <w:rPr>
                <w:rFonts w:ascii="Arial" w:hAnsi="Arial"/>
                <w:b w:val="0"/>
                <w:sz w:val="12"/>
              </w:rPr>
              <w:t>Wrong referencing entity places the lookup elsewhere.</w:t>
            </w:r>
          </w:p>
        </w:tc>
      </w:tr>
      <w:tr>
        <w:tc>
          <w:tcPr>
            <w:tcW w:type="dxa" w:w="2590"/>
            <w:vAlign w:val="top"/>
          </w:tcPr>
          <w:p>
            <w:r/>
            <w:r>
              <w:rPr>
                <w:rFonts w:ascii="Arial" w:hAnsi="Arial"/>
                <w:b w:val="0"/>
                <w:sz w:val="12"/>
              </w:rPr>
              <w:t>55</w:t>
            </w:r>
          </w:p>
        </w:tc>
        <w:tc>
          <w:tcPr>
            <w:tcW w:type="dxa" w:w="2590"/>
            <w:vAlign w:val="top"/>
          </w:tcPr>
          <w:p>
            <w:r/>
            <w:r>
              <w:rPr>
                <w:rFonts w:ascii="Arial" w:hAnsi="Arial"/>
                <w:b w:val="0"/>
                <w:sz w:val="12"/>
              </w:rPr>
              <w:t xml:space="preserve">            AssociatedMenuConfiguration = new AssociatedMenuConfiguration</w:t>
            </w:r>
          </w:p>
        </w:tc>
        <w:tc>
          <w:tcPr>
            <w:tcW w:type="dxa" w:w="2590"/>
            <w:vAlign w:val="top"/>
          </w:tcPr>
          <w:p>
            <w:r/>
            <w:r>
              <w:rPr>
                <w:rFonts w:ascii="Arial" w:hAnsi="Arial"/>
                <w:b w:val="0"/>
                <w:sz w:val="12"/>
              </w:rPr>
              <w:t>Defines how related records appear in navigation.</w:t>
            </w:r>
          </w:p>
        </w:tc>
        <w:tc>
          <w:tcPr>
            <w:tcW w:type="dxa" w:w="2590"/>
            <w:vAlign w:val="top"/>
          </w:tcPr>
          <w:p>
            <w:r/>
            <w:r>
              <w:rPr>
                <w:rFonts w:ascii="Arial" w:hAnsi="Arial"/>
                <w:b w:val="0"/>
                <w:sz w:val="12"/>
              </w:rPr>
              <w:t>Controls the related menu label/group/order in model-driven apps.</w:t>
            </w:r>
          </w:p>
        </w:tc>
        <w:tc>
          <w:tcPr>
            <w:tcW w:type="dxa" w:w="2590"/>
            <w:vAlign w:val="top"/>
          </w:tcPr>
          <w:p>
            <w:r/>
            <w:r>
              <w:rPr>
                <w:rFonts w:ascii="Arial" w:hAnsi="Arial"/>
                <w:b w:val="0"/>
                <w:sz w:val="12"/>
              </w:rPr>
              <w:t>Improves user navigation from Opportunity to pending actions.</w:t>
            </w:r>
          </w:p>
        </w:tc>
        <w:tc>
          <w:tcPr>
            <w:tcW w:type="dxa" w:w="2590"/>
            <w:vAlign w:val="top"/>
          </w:tcPr>
          <w:p>
            <w:r/>
            <w:r>
              <w:rPr>
                <w:rFonts w:ascii="Arial" w:hAnsi="Arial"/>
                <w:b w:val="0"/>
                <w:sz w:val="12"/>
              </w:rPr>
              <w:t>Label language issues can fail this part of relationship creation.</w:t>
            </w:r>
          </w:p>
        </w:tc>
      </w:tr>
      <w:tr>
        <w:tc>
          <w:tcPr>
            <w:tcW w:type="dxa" w:w="2590"/>
            <w:vAlign w:val="top"/>
          </w:tcPr>
          <w:p>
            <w:r/>
            <w:r>
              <w:rPr>
                <w:rFonts w:ascii="Arial" w:hAnsi="Arial"/>
                <w:b w:val="0"/>
                <w:sz w:val="12"/>
              </w:rPr>
              <w:t>56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57</w:t>
            </w:r>
          </w:p>
        </w:tc>
        <w:tc>
          <w:tcPr>
            <w:tcW w:type="dxa" w:w="2590"/>
            <w:vAlign w:val="top"/>
          </w:tcPr>
          <w:p>
            <w:r/>
            <w:r>
              <w:rPr>
                <w:rFonts w:ascii="Arial" w:hAnsi="Arial"/>
                <w:b w:val="0"/>
                <w:sz w:val="12"/>
              </w:rPr>
              <w:t xml:space="preserve">                Behavior = AssociatedMenuBehavior.UseLabel,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58</w:t>
            </w:r>
          </w:p>
        </w:tc>
        <w:tc>
          <w:tcPr>
            <w:tcW w:type="dxa" w:w="2590"/>
            <w:vAlign w:val="top"/>
          </w:tcPr>
          <w:p>
            <w:r/>
            <w:r>
              <w:rPr>
                <w:rFonts w:ascii="Arial" w:hAnsi="Arial"/>
                <w:b w:val="0"/>
                <w:sz w:val="12"/>
              </w:rPr>
              <w:t xml:space="preserve">                Group = AssociatedMenuGroup.Details,</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59</w:t>
            </w:r>
          </w:p>
        </w:tc>
        <w:tc>
          <w:tcPr>
            <w:tcW w:type="dxa" w:w="2590"/>
            <w:vAlign w:val="top"/>
          </w:tcPr>
          <w:p>
            <w:r/>
            <w:r>
              <w:rPr>
                <w:rFonts w:ascii="Arial" w:hAnsi="Arial"/>
                <w:b w:val="0"/>
                <w:sz w:val="12"/>
              </w:rPr>
              <w:t xml:space="preserve">                Label = Label("Pending Commercial Actions"),</w:t>
            </w:r>
          </w:p>
        </w:tc>
        <w:tc>
          <w:tcPr>
            <w:tcW w:type="dxa" w:w="2590"/>
            <w:vAlign w:val="top"/>
          </w:tcPr>
          <w:p>
            <w:r/>
            <w:r>
              <w:rPr>
                <w:rFonts w:ascii="Arial" w:hAnsi="Arial"/>
                <w:b w:val="0"/>
                <w:sz w:val="12"/>
              </w:rPr>
              <w:t>Sets the related menu label.</w:t>
            </w:r>
          </w:p>
        </w:tc>
        <w:tc>
          <w:tcPr>
            <w:tcW w:type="dxa" w:w="2590"/>
            <w:vAlign w:val="top"/>
          </w:tcPr>
          <w:p>
            <w:r/>
            <w:r>
              <w:rPr>
                <w:rFonts w:ascii="Arial" w:hAnsi="Arial"/>
                <w:b w:val="0"/>
                <w:sz w:val="12"/>
              </w:rPr>
              <w:t>Uses the Label helper and current LanguageCode.</w:t>
            </w:r>
          </w:p>
        </w:tc>
        <w:tc>
          <w:tcPr>
            <w:tcW w:type="dxa" w:w="2590"/>
            <w:vAlign w:val="top"/>
          </w:tcPr>
          <w:p>
            <w:r/>
            <w:r>
              <w:rPr>
                <w:rFonts w:ascii="Arial" w:hAnsi="Arial"/>
                <w:b w:val="0"/>
                <w:sz w:val="12"/>
              </w:rPr>
              <w:t>This was where unsupported 1033 contributed to the first failure.</w:t>
            </w:r>
          </w:p>
        </w:tc>
        <w:tc>
          <w:tcPr>
            <w:tcW w:type="dxa" w:w="2590"/>
            <w:vAlign w:val="top"/>
          </w:tcPr>
          <w:p>
            <w:r/>
            <w:r>
              <w:rPr>
                <w:rFonts w:ascii="Arial" w:hAnsi="Arial"/>
                <w:b w:val="0"/>
                <w:sz w:val="12"/>
              </w:rPr>
              <w:t>Use an enabled organization language such as 1031 in this tenant.</w:t>
            </w:r>
          </w:p>
        </w:tc>
      </w:tr>
      <w:tr>
        <w:tc>
          <w:tcPr>
            <w:tcW w:type="dxa" w:w="2590"/>
            <w:vAlign w:val="top"/>
          </w:tcPr>
          <w:p>
            <w:r/>
            <w:r>
              <w:rPr>
                <w:rFonts w:ascii="Arial" w:hAnsi="Arial"/>
                <w:b w:val="0"/>
                <w:sz w:val="12"/>
              </w:rPr>
              <w:t>60</w:t>
            </w:r>
          </w:p>
        </w:tc>
        <w:tc>
          <w:tcPr>
            <w:tcW w:type="dxa" w:w="2590"/>
            <w:vAlign w:val="top"/>
          </w:tcPr>
          <w:p>
            <w:r/>
            <w:r>
              <w:rPr>
                <w:rFonts w:ascii="Arial" w:hAnsi="Arial"/>
                <w:b w:val="0"/>
                <w:sz w:val="12"/>
              </w:rPr>
              <w:t xml:space="preserve">                Order = 10000</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62</w:t>
            </w:r>
          </w:p>
        </w:tc>
        <w:tc>
          <w:tcPr>
            <w:tcW w:type="dxa" w:w="2590"/>
            <w:vAlign w:val="top"/>
          </w:tcPr>
          <w:p>
            <w:r/>
            <w:r>
              <w:rPr>
                <w:rFonts w:ascii="Arial" w:hAnsi="Arial"/>
                <w:b w:val="0"/>
                <w:sz w:val="12"/>
              </w:rPr>
              <w:t xml:space="preserve">            CascadeConfiguration = new CascadeConfiguration</w:t>
            </w:r>
          </w:p>
        </w:tc>
        <w:tc>
          <w:tcPr>
            <w:tcW w:type="dxa" w:w="2590"/>
            <w:vAlign w:val="top"/>
          </w:tcPr>
          <w:p>
            <w:r/>
            <w:r>
              <w:rPr>
                <w:rFonts w:ascii="Arial" w:hAnsi="Arial"/>
                <w:b w:val="0"/>
                <w:sz w:val="12"/>
              </w:rPr>
              <w:t>Starts cascade behavior configuration.</w:t>
            </w:r>
          </w:p>
        </w:tc>
        <w:tc>
          <w:tcPr>
            <w:tcW w:type="dxa" w:w="2590"/>
            <w:vAlign w:val="top"/>
          </w:tcPr>
          <w:p>
            <w:r/>
            <w:r>
              <w:rPr>
                <w:rFonts w:ascii="Arial" w:hAnsi="Arial"/>
                <w:b w:val="0"/>
                <w:sz w:val="12"/>
              </w:rPr>
              <w:t>Defines what happens to child records when the parent opportunity is assigned, deleted, merged, shared, etc.</w:t>
            </w:r>
          </w:p>
        </w:tc>
        <w:tc>
          <w:tcPr>
            <w:tcW w:type="dxa" w:w="2590"/>
            <w:vAlign w:val="top"/>
          </w:tcPr>
          <w:p>
            <w:r/>
            <w:r>
              <w:rPr>
                <w:rFonts w:ascii="Arial" w:hAnsi="Arial"/>
                <w:b w:val="0"/>
                <w:sz w:val="12"/>
              </w:rPr>
              <w:t>Protects commercial audit records from accidental destructive cascades.</w:t>
            </w:r>
          </w:p>
        </w:tc>
        <w:tc>
          <w:tcPr>
            <w:tcW w:type="dxa" w:w="2590"/>
            <w:vAlign w:val="top"/>
          </w:tcPr>
          <w:p>
            <w:r/>
            <w:r>
              <w:rPr>
                <w:rFonts w:ascii="Arial" w:hAnsi="Arial"/>
                <w:b w:val="0"/>
                <w:sz w:val="12"/>
              </w:rPr>
              <w:t>Aggressive cascade deletes could remove important approval/audit data.</w:t>
            </w:r>
          </w:p>
        </w:tc>
      </w:tr>
      <w:tr>
        <w:tc>
          <w:tcPr>
            <w:tcW w:type="dxa" w:w="2590"/>
            <w:vAlign w:val="top"/>
          </w:tcPr>
          <w:p>
            <w:r/>
            <w:r>
              <w:rPr>
                <w:rFonts w:ascii="Arial" w:hAnsi="Arial"/>
                <w:b w:val="0"/>
                <w:sz w:val="12"/>
              </w:rPr>
              <w:t>63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64</w:t>
            </w:r>
          </w:p>
        </w:tc>
        <w:tc>
          <w:tcPr>
            <w:tcW w:type="dxa" w:w="2590"/>
            <w:vAlign w:val="top"/>
          </w:tcPr>
          <w:p>
            <w:r/>
            <w:r>
              <w:rPr>
                <w:rFonts w:ascii="Arial" w:hAnsi="Arial"/>
                <w:b w:val="0"/>
                <w:sz w:val="12"/>
              </w:rPr>
              <w:t xml:space="preserve">                Assign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65</w:t>
            </w:r>
          </w:p>
        </w:tc>
        <w:tc>
          <w:tcPr>
            <w:tcW w:type="dxa" w:w="2590"/>
            <w:vAlign w:val="top"/>
          </w:tcPr>
          <w:p>
            <w:r/>
            <w:r>
              <w:rPr>
                <w:rFonts w:ascii="Arial" w:hAnsi="Arial"/>
                <w:b w:val="0"/>
                <w:sz w:val="12"/>
              </w:rPr>
              <w:t xml:space="preserve">                Delete = CascadeType.RemoveLink,</w:t>
            </w:r>
          </w:p>
        </w:tc>
        <w:tc>
          <w:tcPr>
            <w:tcW w:type="dxa" w:w="2590"/>
            <w:vAlign w:val="top"/>
          </w:tcPr>
          <w:p>
            <w:r/>
            <w:r>
              <w:rPr>
                <w:rFonts w:ascii="Arial" w:hAnsi="Arial"/>
                <w:b w:val="0"/>
                <w:sz w:val="12"/>
              </w:rPr>
              <w:t>Configures delete behavior to remove the link.</w:t>
            </w:r>
          </w:p>
        </w:tc>
        <w:tc>
          <w:tcPr>
            <w:tcW w:type="dxa" w:w="2590"/>
            <w:vAlign w:val="top"/>
          </w:tcPr>
          <w:p>
            <w:r/>
            <w:r>
              <w:rPr>
                <w:rFonts w:ascii="Arial" w:hAnsi="Arial"/>
                <w:b w:val="0"/>
                <w:sz w:val="12"/>
              </w:rPr>
              <w:t>If the parent is deleted, Dataverse removes the relationship link rather than cascading deletion.</w:t>
            </w:r>
          </w:p>
        </w:tc>
        <w:tc>
          <w:tcPr>
            <w:tcW w:type="dxa" w:w="2590"/>
            <w:vAlign w:val="top"/>
          </w:tcPr>
          <w:p>
            <w:r/>
            <w:r>
              <w:rPr>
                <w:rFonts w:ascii="Arial" w:hAnsi="Arial"/>
                <w:b w:val="0"/>
                <w:sz w:val="12"/>
              </w:rPr>
              <w:t>Preserves pending action records where possible.</w:t>
            </w:r>
          </w:p>
        </w:tc>
        <w:tc>
          <w:tcPr>
            <w:tcW w:type="dxa" w:w="2590"/>
            <w:vAlign w:val="top"/>
          </w:tcPr>
          <w:p>
            <w:r/>
            <w:r>
              <w:rPr>
                <w:rFonts w:ascii="Arial" w:hAnsi="Arial"/>
                <w:b w:val="0"/>
                <w:sz w:val="12"/>
              </w:rPr>
              <w:t>A cascade delete could erase audit data.</w:t>
            </w:r>
          </w:p>
        </w:tc>
      </w:tr>
      <w:tr>
        <w:tc>
          <w:tcPr>
            <w:tcW w:type="dxa" w:w="2590"/>
            <w:vAlign w:val="top"/>
          </w:tcPr>
          <w:p>
            <w:r/>
            <w:r>
              <w:rPr>
                <w:rFonts w:ascii="Arial" w:hAnsi="Arial"/>
                <w:b w:val="0"/>
                <w:sz w:val="12"/>
              </w:rPr>
              <w:t>66</w:t>
            </w:r>
          </w:p>
        </w:tc>
        <w:tc>
          <w:tcPr>
            <w:tcW w:type="dxa" w:w="2590"/>
            <w:vAlign w:val="top"/>
          </w:tcPr>
          <w:p>
            <w:r/>
            <w:r>
              <w:rPr>
                <w:rFonts w:ascii="Arial" w:hAnsi="Arial"/>
                <w:b w:val="0"/>
                <w:sz w:val="12"/>
              </w:rPr>
              <w:t xml:space="preserve">                Merge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67</w:t>
            </w:r>
          </w:p>
        </w:tc>
        <w:tc>
          <w:tcPr>
            <w:tcW w:type="dxa" w:w="2590"/>
            <w:vAlign w:val="top"/>
          </w:tcPr>
          <w:p>
            <w:r/>
            <w:r>
              <w:rPr>
                <w:rFonts w:ascii="Arial" w:hAnsi="Arial"/>
                <w:b w:val="0"/>
                <w:sz w:val="12"/>
              </w:rPr>
              <w:t xml:space="preserve">                Reparent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68</w:t>
            </w:r>
          </w:p>
        </w:tc>
        <w:tc>
          <w:tcPr>
            <w:tcW w:type="dxa" w:w="2590"/>
            <w:vAlign w:val="top"/>
          </w:tcPr>
          <w:p>
            <w:r/>
            <w:r>
              <w:rPr>
                <w:rFonts w:ascii="Arial" w:hAnsi="Arial"/>
                <w:b w:val="0"/>
                <w:sz w:val="12"/>
              </w:rPr>
              <w:t xml:space="preserve">                Share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69</w:t>
            </w:r>
          </w:p>
        </w:tc>
        <w:tc>
          <w:tcPr>
            <w:tcW w:type="dxa" w:w="2590"/>
            <w:vAlign w:val="top"/>
          </w:tcPr>
          <w:p>
            <w:r/>
            <w:r>
              <w:rPr>
                <w:rFonts w:ascii="Arial" w:hAnsi="Arial"/>
                <w:b w:val="0"/>
                <w:sz w:val="12"/>
              </w:rPr>
              <w:t xml:space="preserve">                Unshare = CascadeType.NoCascade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70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71</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72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73</w:t>
            </w:r>
          </w:p>
        </w:tc>
        <w:tc>
          <w:tcPr>
            <w:tcW w:type="dxa" w:w="2590"/>
            <w:vAlign w:val="top"/>
          </w:tcPr>
          <w:p>
            <w:r/>
            <w:r>
              <w:rPr>
                <w:rFonts w:ascii="Arial" w:hAnsi="Arial"/>
                <w:b w:val="0"/>
                <w:sz w:val="12"/>
              </w:rPr>
              <w:t xml:space="preserve">        var lookup = new LookupAttributeMetadata</w:t>
            </w:r>
          </w:p>
        </w:tc>
        <w:tc>
          <w:tcPr>
            <w:tcW w:type="dxa" w:w="2590"/>
            <w:vAlign w:val="top"/>
          </w:tcPr>
          <w:p>
            <w:r/>
            <w:r>
              <w:rPr>
                <w:rFonts w:ascii="Arial" w:hAnsi="Arial"/>
                <w:b w:val="0"/>
                <w:sz w:val="12"/>
              </w:rPr>
              <w:t>Starts lookup column metadata definition.</w:t>
            </w:r>
          </w:p>
        </w:tc>
        <w:tc>
          <w:tcPr>
            <w:tcW w:type="dxa" w:w="2590"/>
            <w:vAlign w:val="top"/>
          </w:tcPr>
          <w:p>
            <w:r/>
            <w:r>
              <w:rPr>
                <w:rFonts w:ascii="Arial" w:hAnsi="Arial"/>
                <w:b w:val="0"/>
                <w:sz w:val="12"/>
              </w:rPr>
              <w:t>The lookup column stores the Opportunity reference on the child table.</w:t>
            </w:r>
          </w:p>
        </w:tc>
        <w:tc>
          <w:tcPr>
            <w:tcW w:type="dxa" w:w="2590"/>
            <w:vAlign w:val="top"/>
          </w:tcPr>
          <w:p>
            <w:r/>
            <w:r>
              <w:rPr>
                <w:rFonts w:ascii="Arial" w:hAnsi="Arial"/>
                <w:b w:val="0"/>
                <w:sz w:val="12"/>
              </w:rPr>
              <w:t>Creates the visible Opportunity column in Pending Commercial Action.</w:t>
            </w:r>
          </w:p>
        </w:tc>
        <w:tc>
          <w:tcPr>
            <w:tcW w:type="dxa" w:w="2590"/>
            <w:vAlign w:val="top"/>
          </w:tcPr>
          <w:p>
            <w:r/>
            <w:r>
              <w:rPr>
                <w:rFonts w:ascii="Arial" w:hAnsi="Arial"/>
                <w:b w:val="0"/>
                <w:sz w:val="12"/>
              </w:rPr>
              <w:t>Missing lookup means no direct relationship to Opportunity.</w:t>
            </w:r>
          </w:p>
        </w:tc>
      </w:tr>
      <w:tr>
        <w:tc>
          <w:tcPr>
            <w:tcW w:type="dxa" w:w="2590"/>
            <w:vAlign w:val="top"/>
          </w:tcPr>
          <w:p>
            <w:r/>
            <w:r>
              <w:rPr>
                <w:rFonts w:ascii="Arial" w:hAnsi="Arial"/>
                <w:b w:val="0"/>
                <w:sz w:val="12"/>
              </w:rPr>
              <w:t>74</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75</w:t>
            </w:r>
          </w:p>
        </w:tc>
        <w:tc>
          <w:tcPr>
            <w:tcW w:type="dxa" w:w="2590"/>
            <w:vAlign w:val="top"/>
          </w:tcPr>
          <w:p>
            <w:r/>
            <w:r>
              <w:rPr>
                <w:rFonts w:ascii="Arial" w:hAnsi="Arial"/>
                <w:b w:val="0"/>
                <w:sz w:val="12"/>
              </w:rPr>
              <w:t xml:space="preserve">            SchemaName = "aso_opportunityid",</w:t>
            </w:r>
          </w:p>
        </w:tc>
        <w:tc>
          <w:tcPr>
            <w:tcW w:type="dxa" w:w="2590"/>
            <w:vAlign w:val="top"/>
          </w:tcPr>
          <w:p>
            <w:r/>
            <w:r>
              <w:rPr>
                <w:rFonts w:ascii="Arial" w:hAnsi="Arial"/>
                <w:b w:val="0"/>
                <w:sz w:val="12"/>
              </w:rPr>
              <w:t>Sets the lookup column schema name.</w:t>
            </w:r>
          </w:p>
        </w:tc>
        <w:tc>
          <w:tcPr>
            <w:tcW w:type="dxa" w:w="2590"/>
            <w:vAlign w:val="top"/>
          </w:tcPr>
          <w:p>
            <w:r/>
            <w:r>
              <w:rPr>
                <w:rFonts w:ascii="Arial" w:hAnsi="Arial"/>
                <w:b w:val="0"/>
                <w:sz w:val="12"/>
              </w:rPr>
              <w:t>The column created on Pending Commercial Action is aso_opportunityid.</w:t>
            </w:r>
          </w:p>
        </w:tc>
        <w:tc>
          <w:tcPr>
            <w:tcW w:type="dxa" w:w="2590"/>
            <w:vAlign w:val="top"/>
          </w:tcPr>
          <w:p>
            <w:r/>
            <w:r>
              <w:rPr>
                <w:rFonts w:ascii="Arial" w:hAnsi="Arial"/>
                <w:b w:val="0"/>
                <w:sz w:val="12"/>
              </w:rPr>
              <w:t>This was the missing column after the first script failed.</w:t>
            </w:r>
          </w:p>
        </w:tc>
        <w:tc>
          <w:tcPr>
            <w:tcW w:type="dxa" w:w="2590"/>
            <w:vAlign w:val="top"/>
          </w:tcPr>
          <w:p>
            <w:r/>
            <w:r>
              <w:rPr>
                <w:rFonts w:ascii="Arial" w:hAnsi="Arial"/>
                <w:b w:val="0"/>
                <w:sz w:val="12"/>
              </w:rPr>
              <w:t>Wrong name breaks downstream scripts/flows expecting aso_opportunityid.</w:t>
            </w:r>
          </w:p>
        </w:tc>
      </w:tr>
      <w:tr>
        <w:tc>
          <w:tcPr>
            <w:tcW w:type="dxa" w:w="2590"/>
            <w:vAlign w:val="top"/>
          </w:tcPr>
          <w:p>
            <w:r/>
            <w:r>
              <w:rPr>
                <w:rFonts w:ascii="Arial" w:hAnsi="Arial"/>
                <w:b w:val="0"/>
                <w:sz w:val="12"/>
              </w:rPr>
              <w:t>76</w:t>
            </w:r>
          </w:p>
        </w:tc>
        <w:tc>
          <w:tcPr>
            <w:tcW w:type="dxa" w:w="2590"/>
            <w:vAlign w:val="top"/>
          </w:tcPr>
          <w:p>
            <w:r/>
            <w:r>
              <w:rPr>
                <w:rFonts w:ascii="Arial" w:hAnsi="Arial"/>
                <w:b w:val="0"/>
                <w:sz w:val="12"/>
              </w:rPr>
              <w:t xml:space="preserve">            DisplayName = Label("Opportunity"),</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77</w:t>
            </w:r>
          </w:p>
        </w:tc>
        <w:tc>
          <w:tcPr>
            <w:tcW w:type="dxa" w:w="2590"/>
            <w:vAlign w:val="top"/>
          </w:tcPr>
          <w:p>
            <w:r/>
            <w:r>
              <w:rPr>
                <w:rFonts w:ascii="Arial" w:hAnsi="Arial"/>
                <w:b w:val="0"/>
                <w:sz w:val="12"/>
              </w:rPr>
              <w:t xml:space="preserve">            Description = Label("Related Opportunity for the pending commercial action."),</w:t>
            </w:r>
          </w:p>
        </w:tc>
        <w:tc>
          <w:tcPr>
            <w:tcW w:type="dxa" w:w="2590"/>
            <w:vAlign w:val="top"/>
          </w:tcPr>
          <w:p>
            <w:r/>
            <w:r>
              <w:rPr>
                <w:rFonts w:ascii="Arial" w:hAnsi="Arial"/>
                <w:b w:val="0"/>
                <w:sz w:val="12"/>
              </w:rPr>
              <w:t>Adds a metadata description.</w:t>
            </w:r>
          </w:p>
        </w:tc>
        <w:tc>
          <w:tcPr>
            <w:tcW w:type="dxa" w:w="2590"/>
            <w:vAlign w:val="top"/>
          </w:tcPr>
          <w:p>
            <w:r/>
            <w:r>
              <w:rPr>
                <w:rFonts w:ascii="Arial" w:hAnsi="Arial"/>
                <w:b w:val="0"/>
                <w:sz w:val="12"/>
              </w:rPr>
              <w:t>Dataverse stores this explanation on the table or column metadata.</w:t>
            </w:r>
          </w:p>
        </w:tc>
        <w:tc>
          <w:tcPr>
            <w:tcW w:type="dxa" w:w="2590"/>
            <w:vAlign w:val="top"/>
          </w:tcPr>
          <w:p>
            <w:r/>
            <w:r>
              <w:rPr>
                <w:rFonts w:ascii="Arial" w:hAnsi="Arial"/>
                <w:b w:val="0"/>
                <w:sz w:val="12"/>
              </w:rPr>
              <w:t>Helps future IT teams understand intent.</w:t>
            </w:r>
          </w:p>
        </w:tc>
        <w:tc>
          <w:tcPr>
            <w:tcW w:type="dxa" w:w="2590"/>
            <w:vAlign w:val="top"/>
          </w:tcPr>
          <w:p>
            <w:r/>
            <w:r>
              <w:rPr>
                <w:rFonts w:ascii="Arial" w:hAnsi="Arial"/>
                <w:b w:val="0"/>
                <w:sz w:val="12"/>
              </w:rPr>
              <w:t>Descriptions are easy to skip but important for maintainability.</w:t>
            </w:r>
          </w:p>
        </w:tc>
      </w:tr>
      <w:tr>
        <w:tc>
          <w:tcPr>
            <w:tcW w:type="dxa" w:w="2590"/>
            <w:vAlign w:val="top"/>
          </w:tcPr>
          <w:p>
            <w:r/>
            <w:r>
              <w:rPr>
                <w:rFonts w:ascii="Arial" w:hAnsi="Arial"/>
                <w:b w:val="0"/>
                <w:sz w:val="12"/>
              </w:rPr>
              <w:t>78</w:t>
            </w:r>
          </w:p>
        </w:tc>
        <w:tc>
          <w:tcPr>
            <w:tcW w:type="dxa" w:w="2590"/>
            <w:vAlign w:val="top"/>
          </w:tcPr>
          <w:p>
            <w:r/>
            <w:r>
              <w:rPr>
                <w:rFonts w:ascii="Arial" w:hAnsi="Arial"/>
                <w:b w:val="0"/>
                <w:sz w:val="12"/>
              </w:rPr>
              <w:t xml:space="preserve">            RequiredLevel = Optional()</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79</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80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81</w:t>
            </w:r>
          </w:p>
        </w:tc>
        <w:tc>
          <w:tcPr>
            <w:tcW w:type="dxa" w:w="2590"/>
            <w:vAlign w:val="top"/>
          </w:tcPr>
          <w:p>
            <w:r/>
            <w:r>
              <w:rPr>
                <w:rFonts w:ascii="Arial" w:hAnsi="Arial"/>
                <w:b w:val="0"/>
                <w:sz w:val="12"/>
              </w:rPr>
              <w:t xml:space="preserve">        var request = new CreateOneToManyRequest</w:t>
            </w:r>
          </w:p>
        </w:tc>
        <w:tc>
          <w:tcPr>
            <w:tcW w:type="dxa" w:w="2590"/>
            <w:vAlign w:val="top"/>
          </w:tcPr>
          <w:p>
            <w:r/>
            <w:r>
              <w:rPr>
                <w:rFonts w:ascii="Arial" w:hAnsi="Arial"/>
                <w:b w:val="0"/>
                <w:sz w:val="12"/>
              </w:rPr>
              <w:t>Creates the relationship creation request.</w:t>
            </w:r>
          </w:p>
        </w:tc>
        <w:tc>
          <w:tcPr>
            <w:tcW w:type="dxa" w:w="2590"/>
            <w:vAlign w:val="top"/>
          </w:tcPr>
          <w:p>
            <w:r/>
            <w:r>
              <w:rPr>
                <w:rFonts w:ascii="Arial" w:hAnsi="Arial"/>
                <w:b w:val="0"/>
                <w:sz w:val="12"/>
              </w:rPr>
              <w:t>Combines the relationship metadata and lookup attribute into one SDK operation.</w:t>
            </w:r>
          </w:p>
        </w:tc>
        <w:tc>
          <w:tcPr>
            <w:tcW w:type="dxa" w:w="2590"/>
            <w:vAlign w:val="top"/>
          </w:tcPr>
          <w:p>
            <w:r/>
            <w:r>
              <w:rPr>
                <w:rFonts w:ascii="Arial" w:hAnsi="Arial"/>
                <w:b w:val="0"/>
                <w:sz w:val="12"/>
              </w:rPr>
              <w:t>This is how Dataverse creates lookup relationships programmatically.</w:t>
            </w:r>
          </w:p>
        </w:tc>
        <w:tc>
          <w:tcPr>
            <w:tcW w:type="dxa" w:w="2590"/>
            <w:vAlign w:val="top"/>
          </w:tcPr>
          <w:p>
            <w:r/>
            <w:r>
              <w:rPr>
                <w:rFonts w:ascii="Arial" w:hAnsi="Arial"/>
                <w:b w:val="0"/>
                <w:sz w:val="12"/>
              </w:rPr>
              <w:t>Incorrect metadata can create wrong relationship direction or fail validation.</w:t>
            </w:r>
          </w:p>
        </w:tc>
      </w:tr>
      <w:tr>
        <w:tc>
          <w:tcPr>
            <w:tcW w:type="dxa" w:w="2590"/>
            <w:vAlign w:val="top"/>
          </w:tcPr>
          <w:p>
            <w:r/>
            <w:r>
              <w:rPr>
                <w:rFonts w:ascii="Arial" w:hAnsi="Arial"/>
                <w:b w:val="0"/>
                <w:sz w:val="12"/>
              </w:rPr>
              <w:t>82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83</w:t>
            </w:r>
          </w:p>
        </w:tc>
        <w:tc>
          <w:tcPr>
            <w:tcW w:type="dxa" w:w="2590"/>
            <w:vAlign w:val="top"/>
          </w:tcPr>
          <w:p>
            <w:r/>
            <w:r>
              <w:rPr>
                <w:rFonts w:ascii="Arial" w:hAnsi="Arial"/>
                <w:b w:val="0"/>
                <w:sz w:val="12"/>
              </w:rPr>
              <w:t xml:space="preserve">            OneToManyRelationship = relationship,</w:t>
            </w:r>
          </w:p>
        </w:tc>
        <w:tc>
          <w:tcPr>
            <w:tcW w:type="dxa" w:w="2590"/>
            <w:vAlign w:val="top"/>
          </w:tcPr>
          <w:p>
            <w:r/>
            <w:r>
              <w:rPr>
                <w:rFonts w:ascii="Arial" w:hAnsi="Arial"/>
                <w:b w:val="0"/>
                <w:sz w:val="12"/>
              </w:rPr>
              <w:t>Adds the relationship metadata to the request.</w:t>
            </w:r>
          </w:p>
        </w:tc>
        <w:tc>
          <w:tcPr>
            <w:tcW w:type="dxa" w:w="2590"/>
            <w:vAlign w:val="top"/>
          </w:tcPr>
          <w:p>
            <w:r/>
            <w:r>
              <w:rPr>
                <w:rFonts w:ascii="Arial" w:hAnsi="Arial"/>
                <w:b w:val="0"/>
                <w:sz w:val="12"/>
              </w:rPr>
              <w:t>Passes schema, parent/child tables, menu configuration, and cascade behavior.</w:t>
            </w:r>
          </w:p>
        </w:tc>
        <w:tc>
          <w:tcPr>
            <w:tcW w:type="dxa" w:w="2590"/>
            <w:vAlign w:val="top"/>
          </w:tcPr>
          <w:p>
            <w:r/>
            <w:r>
              <w:rPr>
                <w:rFonts w:ascii="Arial" w:hAnsi="Arial"/>
                <w:b w:val="0"/>
                <w:sz w:val="12"/>
              </w:rPr>
              <w:t>Required to create the relationship.</w:t>
            </w:r>
          </w:p>
        </w:tc>
        <w:tc>
          <w:tcPr>
            <w:tcW w:type="dxa" w:w="2590"/>
            <w:vAlign w:val="top"/>
          </w:tcPr>
          <w:p>
            <w:r/>
            <w:r>
              <w:rPr>
                <w:rFonts w:ascii="Arial" w:hAnsi="Arial"/>
                <w:b w:val="0"/>
                <w:sz w:val="12"/>
              </w:rPr>
              <w:t>Without it, Dataverse does not know relationship structure.</w:t>
            </w:r>
          </w:p>
        </w:tc>
      </w:tr>
      <w:tr>
        <w:tc>
          <w:tcPr>
            <w:tcW w:type="dxa" w:w="2590"/>
            <w:vAlign w:val="top"/>
          </w:tcPr>
          <w:p>
            <w:r/>
            <w:r>
              <w:rPr>
                <w:rFonts w:ascii="Arial" w:hAnsi="Arial"/>
                <w:b w:val="0"/>
                <w:sz w:val="12"/>
              </w:rPr>
              <w:t>84</w:t>
            </w:r>
          </w:p>
        </w:tc>
        <w:tc>
          <w:tcPr>
            <w:tcW w:type="dxa" w:w="2590"/>
            <w:vAlign w:val="top"/>
          </w:tcPr>
          <w:p>
            <w:r/>
            <w:r>
              <w:rPr>
                <w:rFonts w:ascii="Arial" w:hAnsi="Arial"/>
                <w:b w:val="0"/>
                <w:sz w:val="12"/>
              </w:rPr>
              <w:t xml:space="preserve">            Lookup = lookup,</w:t>
            </w:r>
          </w:p>
        </w:tc>
        <w:tc>
          <w:tcPr>
            <w:tcW w:type="dxa" w:w="2590"/>
            <w:vAlign w:val="top"/>
          </w:tcPr>
          <w:p>
            <w:r/>
            <w:r>
              <w:rPr>
                <w:rFonts w:ascii="Arial" w:hAnsi="Arial"/>
                <w:b w:val="0"/>
                <w:sz w:val="12"/>
              </w:rPr>
              <w:t>Adds lookup column metadata to the request.</w:t>
            </w:r>
          </w:p>
        </w:tc>
        <w:tc>
          <w:tcPr>
            <w:tcW w:type="dxa" w:w="2590"/>
            <w:vAlign w:val="top"/>
          </w:tcPr>
          <w:p>
            <w:r/>
            <w:r>
              <w:rPr>
                <w:rFonts w:ascii="Arial" w:hAnsi="Arial"/>
                <w:b w:val="0"/>
                <w:sz w:val="12"/>
              </w:rPr>
              <w:t>Passes schema, display label, description, and required level.</w:t>
            </w:r>
          </w:p>
        </w:tc>
        <w:tc>
          <w:tcPr>
            <w:tcW w:type="dxa" w:w="2590"/>
            <w:vAlign w:val="top"/>
          </w:tcPr>
          <w:p>
            <w:r/>
            <w:r>
              <w:rPr>
                <w:rFonts w:ascii="Arial" w:hAnsi="Arial"/>
                <w:b w:val="0"/>
                <w:sz w:val="12"/>
              </w:rPr>
              <w:t>Creates the actual Opportunity lookup field on the child table.</w:t>
            </w:r>
          </w:p>
        </w:tc>
        <w:tc>
          <w:tcPr>
            <w:tcW w:type="dxa" w:w="2590"/>
            <w:vAlign w:val="top"/>
          </w:tcPr>
          <w:p>
            <w:r/>
            <w:r>
              <w:rPr>
                <w:rFonts w:ascii="Arial" w:hAnsi="Arial"/>
                <w:b w:val="0"/>
                <w:sz w:val="12"/>
              </w:rPr>
              <w:t>Without it, no lookup column appears.</w:t>
            </w:r>
          </w:p>
        </w:tc>
      </w:tr>
      <w:tr>
        <w:tc>
          <w:tcPr>
            <w:tcW w:type="dxa" w:w="2590"/>
            <w:vAlign w:val="top"/>
          </w:tcPr>
          <w:p>
            <w:r/>
            <w:r>
              <w:rPr>
                <w:rFonts w:ascii="Arial" w:hAnsi="Arial"/>
                <w:b w:val="0"/>
                <w:sz w:val="12"/>
              </w:rPr>
              <w:t>85</w:t>
            </w:r>
          </w:p>
        </w:tc>
        <w:tc>
          <w:tcPr>
            <w:tcW w:type="dxa" w:w="2590"/>
            <w:vAlign w:val="top"/>
          </w:tcPr>
          <w:p>
            <w:r/>
            <w:r>
              <w:rPr>
                <w:rFonts w:ascii="Arial" w:hAnsi="Arial"/>
                <w:b w:val="0"/>
                <w:sz w:val="12"/>
              </w:rPr>
              <w:t xml:space="preserve">            SolutionUniqueName = SolutionUniqueName</w:t>
            </w:r>
          </w:p>
        </w:tc>
        <w:tc>
          <w:tcPr>
            <w:tcW w:type="dxa" w:w="2590"/>
            <w:vAlign w:val="top"/>
          </w:tcPr>
          <w:p>
            <w:r/>
            <w:r>
              <w:rPr>
                <w:rFonts w:ascii="Arial" w:hAnsi="Arial"/>
                <w:b w:val="0"/>
                <w:sz w:val="12"/>
              </w:rPr>
              <w:t>Associates the created component with ASO.Core.</w:t>
            </w:r>
          </w:p>
        </w:tc>
        <w:tc>
          <w:tcPr>
            <w:tcW w:type="dxa" w:w="2590"/>
            <w:vAlign w:val="top"/>
          </w:tcPr>
          <w:p>
            <w:r/>
            <w:r>
              <w:rPr>
                <w:rFonts w:ascii="Arial" w:hAnsi="Arial"/>
                <w:b w:val="0"/>
                <w:sz w:val="12"/>
              </w:rPr>
              <w:t>The SDK passes the solution unique name to the create request.</w:t>
            </w:r>
          </w:p>
        </w:tc>
        <w:tc>
          <w:tcPr>
            <w:tcW w:type="dxa" w:w="2590"/>
            <w:vAlign w:val="top"/>
          </w:tcPr>
          <w:p>
            <w:r/>
            <w:r>
              <w:rPr>
                <w:rFonts w:ascii="Arial" w:hAnsi="Arial"/>
                <w:b w:val="0"/>
                <w:sz w:val="12"/>
              </w:rPr>
              <w:t>Critical for export, ALM, and keeping changes out of accidental default-only context.</w:t>
            </w:r>
          </w:p>
        </w:tc>
        <w:tc>
          <w:tcPr>
            <w:tcW w:type="dxa" w:w="2590"/>
            <w:vAlign w:val="top"/>
          </w:tcPr>
          <w:p>
            <w:r/>
            <w:r>
              <w:rPr>
                <w:rFonts w:ascii="Arial" w:hAnsi="Arial"/>
                <w:b w:val="0"/>
                <w:sz w:val="12"/>
              </w:rPr>
              <w:t>Wrong solution unique name means components may not appear in ASO.Core.</w:t>
            </w:r>
          </w:p>
        </w:tc>
      </w:tr>
      <w:tr>
        <w:tc>
          <w:tcPr>
            <w:tcW w:type="dxa" w:w="2590"/>
            <w:vAlign w:val="top"/>
          </w:tcPr>
          <w:p>
            <w:r/>
            <w:r>
              <w:rPr>
                <w:rFonts w:ascii="Arial" w:hAnsi="Arial"/>
                <w:b w:val="0"/>
                <w:sz w:val="12"/>
              </w:rPr>
              <w:t>86</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87</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88</w:t>
            </w:r>
          </w:p>
        </w:tc>
        <w:tc>
          <w:tcPr>
            <w:tcW w:type="dxa" w:w="2590"/>
            <w:vAlign w:val="top"/>
          </w:tcPr>
          <w:p>
            <w:r/>
            <w:r>
              <w:rPr>
                <w:rFonts w:ascii="Arial" w:hAnsi="Arial"/>
                <w:b w:val="0"/>
                <w:sz w:val="12"/>
              </w:rPr>
              <w:t xml:space="preserve">        service.Execute(request);</w:t>
            </w:r>
          </w:p>
        </w:tc>
        <w:tc>
          <w:tcPr>
            <w:tcW w:type="dxa" w:w="2590"/>
            <w:vAlign w:val="top"/>
          </w:tcPr>
          <w:p>
            <w:r/>
            <w:r>
              <w:rPr>
                <w:rFonts w:ascii="Arial" w:hAnsi="Arial"/>
                <w:b w:val="0"/>
                <w:sz w:val="12"/>
              </w:rPr>
              <w:t>Executes a create request.</w:t>
            </w:r>
          </w:p>
        </w:tc>
        <w:tc>
          <w:tcPr>
            <w:tcW w:type="dxa" w:w="2590"/>
            <w:vAlign w:val="top"/>
          </w:tcPr>
          <w:p>
            <w:r/>
            <w:r>
              <w:rPr>
                <w:rFonts w:ascii="Arial" w:hAnsi="Arial"/>
                <w:b w:val="0"/>
                <w:sz w:val="12"/>
              </w:rPr>
              <w:t>Sends CreateAttributeRequest or CreateOneToManyRequest to Dataverse.</w:t>
            </w:r>
          </w:p>
        </w:tc>
        <w:tc>
          <w:tcPr>
            <w:tcW w:type="dxa" w:w="2590"/>
            <w:vAlign w:val="top"/>
          </w:tcPr>
          <w:p>
            <w:r/>
            <w:r>
              <w:rPr>
                <w:rFonts w:ascii="Arial" w:hAnsi="Arial"/>
                <w:b w:val="0"/>
                <w:sz w:val="12"/>
              </w:rPr>
              <w:t>Actually creates a column or relationship.</w:t>
            </w:r>
          </w:p>
        </w:tc>
        <w:tc>
          <w:tcPr>
            <w:tcW w:type="dxa" w:w="2590"/>
            <w:vAlign w:val="top"/>
          </w:tcPr>
          <w:p>
            <w:r/>
            <w:r>
              <w:rPr>
                <w:rFonts w:ascii="Arial" w:hAnsi="Arial"/>
                <w:b w:val="0"/>
                <w:sz w:val="12"/>
              </w:rPr>
              <w:t>Failures here indicate permissions, invalid metadata, or language/choice issues.</w:t>
            </w:r>
          </w:p>
        </w:tc>
      </w:tr>
      <w:tr>
        <w:tc>
          <w:tcPr>
            <w:tcW w:type="dxa" w:w="2590"/>
            <w:vAlign w:val="top"/>
          </w:tcPr>
          <w:p>
            <w:r/>
            <w:r>
              <w:rPr>
                <w:rFonts w:ascii="Arial" w:hAnsi="Arial"/>
                <w:b w:val="0"/>
                <w:sz w:val="12"/>
              </w:rPr>
              <w:t>89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90</w:t>
            </w:r>
          </w:p>
        </w:tc>
        <w:tc>
          <w:tcPr>
            <w:tcW w:type="dxa" w:w="2590"/>
            <w:vAlign w:val="top"/>
          </w:tcPr>
          <w:p>
            <w:r/>
            <w:r>
              <w:rPr>
                <w:rFonts w:ascii="Arial" w:hAnsi="Arial"/>
                <w:b w:val="0"/>
                <w:sz w:val="12"/>
              </w:rPr>
              <w:t xml:space="preserve">        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91</w:t>
            </w:r>
          </w:p>
        </w:tc>
        <w:tc>
          <w:tcPr>
            <w:tcW w:type="dxa" w:w="2590"/>
            <w:vAlign w:val="top"/>
          </w:tcPr>
          <w:p>
            <w:r/>
            <w:r>
              <w:rPr>
                <w:rFonts w:ascii="Arial" w:hAnsi="Arial"/>
                <w:b w:val="0"/>
                <w:sz w:val="12"/>
              </w:rPr>
              <w:t xml:space="preserve">        Console.WriteLine("CREATED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92</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93</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94</w:t>
            </w:r>
          </w:p>
        </w:tc>
        <w:tc>
          <w:tcPr>
            <w:tcW w:type="dxa" w:w="2590"/>
            <w:vAlign w:val="top"/>
          </w:tcPr>
          <w:p>
            <w:r/>
            <w:r>
              <w:rPr>
                <w:rFonts w:ascii="Arial" w:hAnsi="Arial"/>
                <w:b w:val="0"/>
                <w:sz w:val="12"/>
              </w:rPr>
              <w:t xml:space="preserve">    catch (Exception ex)</w:t>
            </w:r>
          </w:p>
        </w:tc>
        <w:tc>
          <w:tcPr>
            <w:tcW w:type="dxa" w:w="2590"/>
            <w:vAlign w:val="top"/>
          </w:tcPr>
          <w:p>
            <w:r/>
            <w:r>
              <w:rPr>
                <w:rFonts w:ascii="Arial" w:hAnsi="Arial"/>
                <w:b w:val="0"/>
                <w:sz w:val="12"/>
              </w:rPr>
              <w:t>Starts exception handling.</w:t>
            </w:r>
          </w:p>
        </w:tc>
        <w:tc>
          <w:tcPr>
            <w:tcW w:type="dxa" w:w="2590"/>
            <w:vAlign w:val="top"/>
          </w:tcPr>
          <w:p>
            <w:r/>
            <w:r>
              <w:rPr>
                <w:rFonts w:ascii="Arial" w:hAnsi="Arial"/>
                <w:b w:val="0"/>
                <w:sz w:val="12"/>
              </w:rPr>
              <w:t>Captures SDK/Dataverse errors for the current operation.</w:t>
            </w:r>
          </w:p>
        </w:tc>
        <w:tc>
          <w:tcPr>
            <w:tcW w:type="dxa" w:w="2590"/>
            <w:vAlign w:val="top"/>
          </w:tcPr>
          <w:p>
            <w:r/>
            <w:r>
              <w:rPr>
                <w:rFonts w:ascii="Arial" w:hAnsi="Arial"/>
                <w:b w:val="0"/>
                <w:sz w:val="12"/>
              </w:rPr>
              <w:t>Keeps the operator informed about exact failures.</w:t>
            </w:r>
          </w:p>
        </w:tc>
        <w:tc>
          <w:tcPr>
            <w:tcW w:type="dxa" w:w="2590"/>
            <w:vAlign w:val="top"/>
          </w:tcPr>
          <w:p>
            <w:r/>
            <w:r>
              <w:rPr>
                <w:rFonts w:ascii="Arial" w:hAnsi="Arial"/>
                <w:b w:val="0"/>
                <w:sz w:val="12"/>
              </w:rPr>
              <w:t>Ignoring exceptions makes recovery difficult.</w:t>
            </w:r>
          </w:p>
        </w:tc>
      </w:tr>
      <w:tr>
        <w:tc>
          <w:tcPr>
            <w:tcW w:type="dxa" w:w="2590"/>
            <w:vAlign w:val="top"/>
          </w:tcPr>
          <w:p>
            <w:r/>
            <w:r>
              <w:rPr>
                <w:rFonts w:ascii="Arial" w:hAnsi="Arial"/>
                <w:b w:val="0"/>
                <w:sz w:val="12"/>
              </w:rPr>
              <w:t>95</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96</w:t>
            </w:r>
          </w:p>
        </w:tc>
        <w:tc>
          <w:tcPr>
            <w:tcW w:type="dxa" w:w="2590"/>
            <w:vAlign w:val="top"/>
          </w:tcPr>
          <w:p>
            <w:r/>
            <w:r>
              <w:rPr>
                <w:rFonts w:ascii="Arial" w:hAnsi="Arial"/>
                <w:b w:val="0"/>
                <w:sz w:val="12"/>
              </w:rPr>
              <w:t xml:space="preserve">        Console.ForegroundColor = ConsoleColor.Red;</w:t>
            </w:r>
          </w:p>
        </w:tc>
        <w:tc>
          <w:tcPr>
            <w:tcW w:type="dxa" w:w="2590"/>
            <w:vAlign w:val="top"/>
          </w:tcPr>
          <w:p>
            <w:r/>
            <w:r>
              <w:rPr>
                <w:rFonts w:ascii="Arial" w:hAnsi="Arial"/>
                <w:b w:val="0"/>
                <w:sz w:val="12"/>
              </w:rPr>
              <w:t>Changes terminal output to red.</w:t>
            </w:r>
          </w:p>
        </w:tc>
        <w:tc>
          <w:tcPr>
            <w:tcW w:type="dxa" w:w="2590"/>
            <w:vAlign w:val="top"/>
          </w:tcPr>
          <w:p>
            <w:r/>
            <w:r>
              <w:rPr>
                <w:rFonts w:ascii="Arial" w:hAnsi="Arial"/>
                <w:b w:val="0"/>
                <w:sz w:val="12"/>
              </w:rPr>
              <w:t>Used for failure messages so operators can identify errors immediately.</w:t>
            </w:r>
          </w:p>
        </w:tc>
        <w:tc>
          <w:tcPr>
            <w:tcW w:type="dxa" w:w="2590"/>
            <w:vAlign w:val="top"/>
          </w:tcPr>
          <w:p>
            <w:r/>
            <w:r>
              <w:rPr>
                <w:rFonts w:ascii="Arial" w:hAnsi="Arial"/>
                <w:b w:val="0"/>
                <w:sz w:val="12"/>
              </w:rPr>
              <w:t>Improves operational readability.</w:t>
            </w:r>
          </w:p>
        </w:tc>
        <w:tc>
          <w:tcPr>
            <w:tcW w:type="dxa" w:w="2590"/>
            <w:vAlign w:val="top"/>
          </w:tcPr>
          <w:p>
            <w:r/>
            <w:r>
              <w:rPr>
                <w:rFonts w:ascii="Arial" w:hAnsi="Arial"/>
                <w:b w:val="0"/>
                <w:sz w:val="12"/>
              </w:rPr>
              <w:t>If colors are not reset, later messages can remain incorrectly colored.</w:t>
            </w:r>
          </w:p>
        </w:tc>
      </w:tr>
      <w:tr>
        <w:tc>
          <w:tcPr>
            <w:tcW w:type="dxa" w:w="2590"/>
            <w:vAlign w:val="top"/>
          </w:tcPr>
          <w:p>
            <w:r/>
            <w:r>
              <w:rPr>
                <w:rFonts w:ascii="Arial" w:hAnsi="Arial"/>
                <w:b w:val="0"/>
                <w:sz w:val="12"/>
              </w:rPr>
              <w:t>97</w:t>
            </w:r>
          </w:p>
        </w:tc>
        <w:tc>
          <w:tcPr>
            <w:tcW w:type="dxa" w:w="2590"/>
            <w:vAlign w:val="top"/>
          </w:tcPr>
          <w:p>
            <w:r/>
            <w:r>
              <w:rPr>
                <w:rFonts w:ascii="Arial" w:hAnsi="Arial"/>
                <w:b w:val="0"/>
                <w:sz w:val="12"/>
              </w:rPr>
              <w:t xml:space="preserve">        Console.WriteLine("FAILED LOOKUP: aso_opportunityid");</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98</w:t>
            </w:r>
          </w:p>
        </w:tc>
        <w:tc>
          <w:tcPr>
            <w:tcW w:type="dxa" w:w="2590"/>
            <w:vAlign w:val="top"/>
          </w:tcPr>
          <w:p>
            <w:r/>
            <w:r>
              <w:rPr>
                <w:rFonts w:ascii="Arial" w:hAnsi="Arial"/>
                <w:b w:val="0"/>
                <w:sz w:val="12"/>
              </w:rPr>
              <w:t xml:space="preserve">        Console.WriteLine(ex.Message);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99</w:t>
            </w:r>
          </w:p>
        </w:tc>
        <w:tc>
          <w:tcPr>
            <w:tcW w:type="dxa" w:w="2590"/>
            <w:vAlign w:val="top"/>
          </w:tcPr>
          <w:p>
            <w:r/>
            <w:r>
              <w:rPr>
                <w:rFonts w:ascii="Arial" w:hAnsi="Arial"/>
                <w:b w:val="0"/>
                <w:sz w:val="12"/>
              </w:rPr>
              <w:t xml:space="preserve">        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100</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101</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102</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103</w:t>
            </w:r>
          </w:p>
        </w:tc>
        <w:tc>
          <w:tcPr>
            <w:tcW w:type="dxa" w:w="2590"/>
            <w:vAlign w:val="top"/>
          </w:tcPr>
          <w:p>
            <w:r/>
            <w:r>
              <w:rPr>
                <w:rFonts w:ascii="Arial" w:hAnsi="Arial"/>
                <w:b w:val="0"/>
                <w:sz w:val="12"/>
              </w:rPr>
              <w:t>Console.WriteLine();</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104</w:t>
            </w:r>
          </w:p>
        </w:tc>
        <w:tc>
          <w:tcPr>
            <w:tcW w:type="dxa" w:w="2590"/>
            <w:vAlign w:val="top"/>
          </w:tcPr>
          <w:p>
            <w:r/>
            <w:r>
              <w:rPr>
                <w:rFonts w:ascii="Arial" w:hAnsi="Arial"/>
                <w:b w:val="0"/>
                <w:sz w:val="12"/>
              </w:rPr>
              <w:t>Console.WriteLine("Publishing Pending Commercial Action and Opportunity customizations...");</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105</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106</w:t>
            </w:r>
          </w:p>
        </w:tc>
        <w:tc>
          <w:tcPr>
            <w:tcW w:type="dxa" w:w="2590"/>
            <w:vAlign w:val="top"/>
          </w:tcPr>
          <w:p>
            <w:r/>
            <w:r>
              <w:rPr>
                <w:rFonts w:ascii="Arial" w:hAnsi="Arial"/>
                <w:b w:val="0"/>
                <w:sz w:val="12"/>
              </w:rPr>
              <w:t>service.Execute(new PublishXmlRequest</w:t>
            </w:r>
          </w:p>
        </w:tc>
        <w:tc>
          <w:tcPr>
            <w:tcW w:type="dxa" w:w="2590"/>
            <w:vAlign w:val="top"/>
          </w:tcPr>
          <w:p>
            <w:r/>
            <w:r>
              <w:rPr>
                <w:rFonts w:ascii="Arial" w:hAnsi="Arial"/>
                <w:b w:val="0"/>
                <w:sz w:val="12"/>
              </w:rPr>
              <w:t>Creates a targeted publish request.</w:t>
            </w:r>
          </w:p>
        </w:tc>
        <w:tc>
          <w:tcPr>
            <w:tcW w:type="dxa" w:w="2590"/>
            <w:vAlign w:val="top"/>
          </w:tcPr>
          <w:p>
            <w:r/>
            <w:r>
              <w:rPr>
                <w:rFonts w:ascii="Arial" w:hAnsi="Arial"/>
                <w:b w:val="0"/>
                <w:sz w:val="12"/>
              </w:rPr>
              <w:t>Publishes metadata changes for specific entities rather than everything.</w:t>
            </w:r>
          </w:p>
        </w:tc>
        <w:tc>
          <w:tcPr>
            <w:tcW w:type="dxa" w:w="2590"/>
            <w:vAlign w:val="top"/>
          </w:tcPr>
          <w:p>
            <w:r/>
            <w:r>
              <w:rPr>
                <w:rFonts w:ascii="Arial" w:hAnsi="Arial"/>
                <w:b w:val="0"/>
                <w:sz w:val="12"/>
              </w:rPr>
              <w:t>Makes created columns/relationships visible and usable in the maker portal.</w:t>
            </w:r>
          </w:p>
        </w:tc>
        <w:tc>
          <w:tcPr>
            <w:tcW w:type="dxa" w:w="2590"/>
            <w:vAlign w:val="top"/>
          </w:tcPr>
          <w:p>
            <w:r/>
            <w:r>
              <w:rPr>
                <w:rFonts w:ascii="Arial" w:hAnsi="Arial"/>
                <w:b w:val="0"/>
                <w:sz w:val="12"/>
              </w:rPr>
              <w:t>Without publish, changes may not appear immediately.</w:t>
            </w:r>
          </w:p>
        </w:tc>
      </w:tr>
      <w:tr>
        <w:tc>
          <w:tcPr>
            <w:tcW w:type="dxa" w:w="2590"/>
            <w:vAlign w:val="top"/>
          </w:tcPr>
          <w:p>
            <w:r/>
            <w:r>
              <w:rPr>
                <w:rFonts w:ascii="Arial" w:hAnsi="Arial"/>
                <w:b w:val="0"/>
                <w:sz w:val="12"/>
              </w:rPr>
              <w:t>107</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108</w:t>
            </w:r>
          </w:p>
        </w:tc>
        <w:tc>
          <w:tcPr>
            <w:tcW w:type="dxa" w:w="2590"/>
            <w:vAlign w:val="top"/>
          </w:tcPr>
          <w:p>
            <w:r/>
            <w:r>
              <w:rPr>
                <w:rFonts w:ascii="Arial" w:hAnsi="Arial"/>
                <w:b w:val="0"/>
                <w:sz w:val="12"/>
              </w:rPr>
              <w:t xml:space="preserve">    ParameterXml = "&lt;importexportxml&gt;&lt;entities&gt;&lt;entity&gt;aso_pendingcommercialaction&lt;/entity&gt;&lt;entity&gt;opportunity&lt;/entity&gt;&lt;/entities&gt;&lt;/importexportxml&gt;"</w:t>
            </w:r>
          </w:p>
        </w:tc>
        <w:tc>
          <w:tcPr>
            <w:tcW w:type="dxa" w:w="2590"/>
            <w:vAlign w:val="top"/>
          </w:tcPr>
          <w:p>
            <w:r/>
            <w:r>
              <w:rPr>
                <w:rFonts w:ascii="Arial" w:hAnsi="Arial"/>
                <w:b w:val="0"/>
                <w:sz w:val="12"/>
              </w:rPr>
              <w:t>Defines which tables to publish.</w:t>
            </w:r>
          </w:p>
        </w:tc>
        <w:tc>
          <w:tcPr>
            <w:tcW w:type="dxa" w:w="2590"/>
            <w:vAlign w:val="top"/>
          </w:tcPr>
          <w:p>
            <w:r/>
            <w:r>
              <w:rPr>
                <w:rFonts w:ascii="Arial" w:hAnsi="Arial"/>
                <w:b w:val="0"/>
                <w:sz w:val="12"/>
              </w:rPr>
              <w:t>The XML lists aso_pendingcommercialaction and opportunity.</w:t>
            </w:r>
          </w:p>
        </w:tc>
        <w:tc>
          <w:tcPr>
            <w:tcW w:type="dxa" w:w="2590"/>
            <w:vAlign w:val="top"/>
          </w:tcPr>
          <w:p>
            <w:r/>
            <w:r>
              <w:rPr>
                <w:rFonts w:ascii="Arial" w:hAnsi="Arial"/>
                <w:b w:val="0"/>
                <w:sz w:val="12"/>
              </w:rPr>
              <w:t>Both sides are relevant because a relationship touches both tables.</w:t>
            </w:r>
          </w:p>
        </w:tc>
        <w:tc>
          <w:tcPr>
            <w:tcW w:type="dxa" w:w="2590"/>
            <w:vAlign w:val="top"/>
          </w:tcPr>
          <w:p>
            <w:r/>
            <w:r>
              <w:rPr>
                <w:rFonts w:ascii="Arial" w:hAnsi="Arial"/>
                <w:b w:val="0"/>
                <w:sz w:val="12"/>
              </w:rPr>
              <w:t>Wrong XML may publish too little or fail.</w:t>
            </w:r>
          </w:p>
        </w:tc>
      </w:tr>
      <w:tr>
        <w:tc>
          <w:tcPr>
            <w:tcW w:type="dxa" w:w="2590"/>
            <w:vAlign w:val="top"/>
          </w:tcPr>
          <w:p>
            <w:r/>
            <w:r>
              <w:rPr>
                <w:rFonts w:ascii="Arial" w:hAnsi="Arial"/>
                <w:b w:val="0"/>
                <w:sz w:val="12"/>
              </w:rPr>
              <w:t>109</w:t>
            </w:r>
          </w:p>
        </w:tc>
        <w:tc>
          <w:tcPr>
            <w:tcW w:type="dxa" w:w="2590"/>
            <w:vAlign w:val="top"/>
          </w:tcPr>
          <w:p>
            <w:r/>
            <w:r>
              <w:rPr>
                <w:rFonts w:ascii="Arial" w:hAnsi="Arial"/>
                <w:b w:val="0"/>
                <w:sz w:val="12"/>
              </w:rPr>
              <w:t>});</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110</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111</w:t>
            </w:r>
          </w:p>
        </w:tc>
        <w:tc>
          <w:tcPr>
            <w:tcW w:type="dxa" w:w="2590"/>
            <w:vAlign w:val="top"/>
          </w:tcPr>
          <w:p>
            <w:r/>
            <w:r>
              <w:rPr>
                <w:rFonts w:ascii="Arial" w:hAnsi="Arial"/>
                <w:b w:val="0"/>
                <w:sz w:val="12"/>
              </w:rPr>
              <w:t>Console.ForegroundColor = ConsoleColor.Green;</w:t>
            </w:r>
          </w:p>
        </w:tc>
        <w:tc>
          <w:tcPr>
            <w:tcW w:type="dxa" w:w="2590"/>
            <w:vAlign w:val="top"/>
          </w:tcPr>
          <w:p>
            <w:r/>
            <w:r>
              <w:rPr>
                <w:rFonts w:ascii="Arial" w:hAnsi="Arial"/>
                <w:b w:val="0"/>
                <w:sz w:val="12"/>
              </w:rPr>
              <w:t>Changes terminal output to green.</w:t>
            </w:r>
          </w:p>
        </w:tc>
        <w:tc>
          <w:tcPr>
            <w:tcW w:type="dxa" w:w="2590"/>
            <w:vAlign w:val="top"/>
          </w:tcPr>
          <w:p>
            <w:r/>
            <w:r>
              <w:rPr>
                <w:rFonts w:ascii="Arial" w:hAnsi="Arial"/>
                <w:b w:val="0"/>
                <w:sz w:val="12"/>
              </w:rPr>
              <w:t>Used for successful creation/publishing messages.</w:t>
            </w:r>
          </w:p>
        </w:tc>
        <w:tc>
          <w:tcPr>
            <w:tcW w:type="dxa" w:w="2590"/>
            <w:vAlign w:val="top"/>
          </w:tcPr>
          <w:p>
            <w:r/>
            <w:r>
              <w:rPr>
                <w:rFonts w:ascii="Arial" w:hAnsi="Arial"/>
                <w:b w:val="0"/>
                <w:sz w:val="12"/>
              </w:rPr>
              <w:t>Gives visual confirmation of completed metadata actions.</w:t>
            </w:r>
          </w:p>
        </w:tc>
        <w:tc>
          <w:tcPr>
            <w:tcW w:type="dxa" w:w="2590"/>
            <w:vAlign w:val="top"/>
          </w:tcPr>
          <w:p>
            <w:r/>
            <w:r>
              <w:rPr>
                <w:rFonts w:ascii="Arial" w:hAnsi="Arial"/>
                <w:b w:val="0"/>
                <w:sz w:val="12"/>
              </w:rPr>
              <w:t>Purely cosmetic, but useful during long script runs.</w:t>
            </w:r>
          </w:p>
        </w:tc>
      </w:tr>
      <w:tr>
        <w:tc>
          <w:tcPr>
            <w:tcW w:type="dxa" w:w="2590"/>
            <w:vAlign w:val="top"/>
          </w:tcPr>
          <w:p>
            <w:r/>
            <w:r>
              <w:rPr>
                <w:rFonts w:ascii="Arial" w:hAnsi="Arial"/>
                <w:b w:val="0"/>
                <w:sz w:val="12"/>
              </w:rPr>
              <w:t>112</w:t>
            </w:r>
          </w:p>
        </w:tc>
        <w:tc>
          <w:tcPr>
            <w:tcW w:type="dxa" w:w="2590"/>
            <w:vAlign w:val="top"/>
          </w:tcPr>
          <w:p>
            <w:r/>
            <w:r>
              <w:rPr>
                <w:rFonts w:ascii="Arial" w:hAnsi="Arial"/>
                <w:b w:val="0"/>
                <w:sz w:val="12"/>
              </w:rPr>
              <w:t>Console.WriteLine("Done. Validate in ASO.Core -&gt; Tables -&gt; Pending Commercial Action -&gt; Columns.");</w:t>
            </w:r>
          </w:p>
        </w:tc>
        <w:tc>
          <w:tcPr>
            <w:tcW w:type="dxa" w:w="2590"/>
            <w:vAlign w:val="top"/>
          </w:tcPr>
          <w:p>
            <w:r/>
            <w:r>
              <w:rPr>
                <w:rFonts w:ascii="Arial" w:hAnsi="Arial"/>
                <w:b w:val="0"/>
                <w:sz w:val="12"/>
              </w:rPr>
              <w:t>Writes a status message to the terminal.</w:t>
            </w:r>
          </w:p>
        </w:tc>
        <w:tc>
          <w:tcPr>
            <w:tcW w:type="dxa" w:w="2590"/>
            <w:vAlign w:val="top"/>
          </w:tcPr>
          <w:p>
            <w:r/>
            <w:r>
              <w:rPr>
                <w:rFonts w:ascii="Arial" w:hAnsi="Arial"/>
                <w:b w:val="0"/>
                <w:sz w:val="12"/>
              </w:rPr>
              <w:t>Provides an execution log for the operator.</w:t>
            </w:r>
          </w:p>
        </w:tc>
        <w:tc>
          <w:tcPr>
            <w:tcW w:type="dxa" w:w="2590"/>
            <w:vAlign w:val="top"/>
          </w:tcPr>
          <w:p>
            <w:r/>
            <w:r>
              <w:rPr>
                <w:rFonts w:ascii="Arial" w:hAnsi="Arial"/>
                <w:b w:val="0"/>
                <w:sz w:val="12"/>
              </w:rPr>
              <w:t>Makes the run auditable and easier to troubleshoot.</w:t>
            </w:r>
          </w:p>
        </w:tc>
        <w:tc>
          <w:tcPr>
            <w:tcW w:type="dxa" w:w="2590"/>
            <w:vAlign w:val="top"/>
          </w:tcPr>
          <w:p>
            <w:r/>
            <w:r>
              <w:rPr>
                <w:rFonts w:ascii="Arial" w:hAnsi="Arial"/>
                <w:b w:val="0"/>
                <w:sz w:val="12"/>
              </w:rPr>
              <w:t>If messages are vague, failures become harder to interpret.</w:t>
            </w:r>
          </w:p>
        </w:tc>
      </w:tr>
      <w:tr>
        <w:tc>
          <w:tcPr>
            <w:tcW w:type="dxa" w:w="2590"/>
            <w:vAlign w:val="top"/>
          </w:tcPr>
          <w:p>
            <w:r/>
            <w:r>
              <w:rPr>
                <w:rFonts w:ascii="Arial" w:hAnsi="Arial"/>
                <w:b w:val="0"/>
                <w:sz w:val="12"/>
              </w:rPr>
              <w:t>113</w:t>
            </w:r>
          </w:p>
        </w:tc>
        <w:tc>
          <w:tcPr>
            <w:tcW w:type="dxa" w:w="2590"/>
            <w:vAlign w:val="top"/>
          </w:tcPr>
          <w:p>
            <w:r/>
            <w:r>
              <w:rPr>
                <w:rFonts w:ascii="Arial" w:hAnsi="Arial"/>
                <w:b w:val="0"/>
                <w:sz w:val="12"/>
              </w:rPr>
              <w:t>Console.ResetColor();</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114</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115</w:t>
            </w:r>
          </w:p>
        </w:tc>
        <w:tc>
          <w:tcPr>
            <w:tcW w:type="dxa" w:w="2590"/>
            <w:vAlign w:val="top"/>
          </w:tcPr>
          <w:p>
            <w:r/>
            <w:r>
              <w:rPr>
                <w:rFonts w:ascii="Arial" w:hAnsi="Arial"/>
                <w:b w:val="0"/>
                <w:sz w:val="12"/>
              </w:rPr>
              <w:t>static HashSet&lt;string&gt; GetExistingAttributeLogicalNames(ServiceClient service, string entityLogicalName)</w:t>
            </w:r>
          </w:p>
        </w:tc>
        <w:tc>
          <w:tcPr>
            <w:tcW w:type="dxa" w:w="2590"/>
            <w:vAlign w:val="top"/>
          </w:tcPr>
          <w:p>
            <w:r/>
            <w:r>
              <w:rPr>
                <w:rFonts w:ascii="Arial" w:hAnsi="Arial"/>
                <w:b w:val="0"/>
                <w:sz w:val="12"/>
              </w:rPr>
              <w:t>Defines a helper to retrieve existing column names.</w:t>
            </w:r>
          </w:p>
        </w:tc>
        <w:tc>
          <w:tcPr>
            <w:tcW w:type="dxa" w:w="2590"/>
            <w:vAlign w:val="top"/>
          </w:tcPr>
          <w:p>
            <w:r/>
            <w:r>
              <w:rPr>
                <w:rFonts w:ascii="Arial" w:hAnsi="Arial"/>
                <w:b w:val="0"/>
                <w:sz w:val="12"/>
              </w:rPr>
              <w:t>Returns a set for fast case-insensitive lookup.</w:t>
            </w:r>
          </w:p>
        </w:tc>
        <w:tc>
          <w:tcPr>
            <w:tcW w:type="dxa" w:w="2590"/>
            <w:vAlign w:val="top"/>
          </w:tcPr>
          <w:p>
            <w:r/>
            <w:r>
              <w:rPr>
                <w:rFonts w:ascii="Arial" w:hAnsi="Arial"/>
                <w:b w:val="0"/>
                <w:sz w:val="12"/>
              </w:rPr>
              <w:t>Supports safe reruns and partial recovery.</w:t>
            </w:r>
          </w:p>
        </w:tc>
        <w:tc>
          <w:tcPr>
            <w:tcW w:type="dxa" w:w="2590"/>
            <w:vAlign w:val="top"/>
          </w:tcPr>
          <w:p>
            <w:r/>
            <w:r>
              <w:rPr>
                <w:rFonts w:ascii="Arial" w:hAnsi="Arial"/>
                <w:b w:val="0"/>
                <w:sz w:val="12"/>
              </w:rPr>
              <w:t>If not reliable, duplicate detection fails.</w:t>
            </w:r>
          </w:p>
        </w:tc>
      </w:tr>
      <w:tr>
        <w:tc>
          <w:tcPr>
            <w:tcW w:type="dxa" w:w="2590"/>
            <w:vAlign w:val="top"/>
          </w:tcPr>
          <w:p>
            <w:r/>
            <w:r>
              <w:rPr>
                <w:rFonts w:ascii="Arial" w:hAnsi="Arial"/>
                <w:b w:val="0"/>
                <w:sz w:val="12"/>
              </w:rPr>
              <w:t>116</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117</w:t>
            </w:r>
          </w:p>
        </w:tc>
        <w:tc>
          <w:tcPr>
            <w:tcW w:type="dxa" w:w="2590"/>
            <w:vAlign w:val="top"/>
          </w:tcPr>
          <w:p>
            <w:r/>
            <w:r>
              <w:rPr>
                <w:rFonts w:ascii="Arial" w:hAnsi="Arial"/>
                <w:b w:val="0"/>
                <w:sz w:val="12"/>
              </w:rPr>
              <w:t xml:space="preserve">    var response = (RetrieveEntityResponse)service.Execute(new RetrieveEntityRequest</w:t>
            </w:r>
          </w:p>
        </w:tc>
        <w:tc>
          <w:tcPr>
            <w:tcW w:type="dxa" w:w="2590"/>
            <w:vAlign w:val="top"/>
          </w:tcPr>
          <w:p>
            <w:r/>
            <w:r>
              <w:rPr>
                <w:rFonts w:ascii="Arial" w:hAnsi="Arial"/>
                <w:b w:val="0"/>
                <w:sz w:val="12"/>
              </w:rPr>
              <w:t>Creates a metadata retrieval request.</w:t>
            </w:r>
          </w:p>
        </w:tc>
        <w:tc>
          <w:tcPr>
            <w:tcW w:type="dxa" w:w="2590"/>
            <w:vAlign w:val="top"/>
          </w:tcPr>
          <w:p>
            <w:r/>
            <w:r>
              <w:rPr>
                <w:rFonts w:ascii="Arial" w:hAnsi="Arial"/>
                <w:b w:val="0"/>
                <w:sz w:val="12"/>
              </w:rPr>
              <w:t>Dataverse uses it to retrieve table or attribute metadata.</w:t>
            </w:r>
          </w:p>
        </w:tc>
        <w:tc>
          <w:tcPr>
            <w:tcW w:type="dxa" w:w="2590"/>
            <w:vAlign w:val="top"/>
          </w:tcPr>
          <w:p>
            <w:r/>
            <w:r>
              <w:rPr>
                <w:rFonts w:ascii="Arial" w:hAnsi="Arial"/>
                <w:b w:val="0"/>
                <w:sz w:val="12"/>
              </w:rPr>
              <w:t>Needed to check existing tables/columns.</w:t>
            </w:r>
          </w:p>
        </w:tc>
        <w:tc>
          <w:tcPr>
            <w:tcW w:type="dxa" w:w="2590"/>
            <w:vAlign w:val="top"/>
          </w:tcPr>
          <w:p>
            <w:r/>
            <w:r>
              <w:rPr>
                <w:rFonts w:ascii="Arial" w:hAnsi="Arial"/>
                <w:b w:val="0"/>
                <w:sz w:val="12"/>
              </w:rPr>
              <w:t>Wrong filters may return incomplete metadata.</w:t>
            </w:r>
          </w:p>
        </w:tc>
      </w:tr>
      <w:tr>
        <w:tc>
          <w:tcPr>
            <w:tcW w:type="dxa" w:w="2590"/>
            <w:vAlign w:val="top"/>
          </w:tcPr>
          <w:p>
            <w:r/>
            <w:r>
              <w:rPr>
                <w:rFonts w:ascii="Arial" w:hAnsi="Arial"/>
                <w:b w:val="0"/>
                <w:sz w:val="12"/>
              </w:rPr>
              <w:t>118</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119</w:t>
            </w:r>
          </w:p>
        </w:tc>
        <w:tc>
          <w:tcPr>
            <w:tcW w:type="dxa" w:w="2590"/>
            <w:vAlign w:val="top"/>
          </w:tcPr>
          <w:p>
            <w:r/>
            <w:r>
              <w:rPr>
                <w:rFonts w:ascii="Arial" w:hAnsi="Arial"/>
                <w:b w:val="0"/>
                <w:sz w:val="12"/>
              </w:rPr>
              <w:t xml:space="preserve">        LogicalName = entityLogicalName,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120</w:t>
            </w:r>
          </w:p>
        </w:tc>
        <w:tc>
          <w:tcPr>
            <w:tcW w:type="dxa" w:w="2590"/>
            <w:vAlign w:val="top"/>
          </w:tcPr>
          <w:p>
            <w:r/>
            <w:r>
              <w:rPr>
                <w:rFonts w:ascii="Arial" w:hAnsi="Arial"/>
                <w:b w:val="0"/>
                <w:sz w:val="12"/>
              </w:rPr>
              <w:t xml:space="preserve">        EntityFilters = EntityFilters.Attributes,</w:t>
            </w:r>
          </w:p>
        </w:tc>
        <w:tc>
          <w:tcPr>
            <w:tcW w:type="dxa" w:w="2590"/>
            <w:vAlign w:val="top"/>
          </w:tcPr>
          <w:p>
            <w:r/>
            <w:r>
              <w:rPr>
                <w:rFonts w:ascii="Arial" w:hAnsi="Arial"/>
                <w:b w:val="0"/>
                <w:sz w:val="12"/>
              </w:rPr>
              <w:t>Requests column/attribute metadata.</w:t>
            </w:r>
          </w:p>
        </w:tc>
        <w:tc>
          <w:tcPr>
            <w:tcW w:type="dxa" w:w="2590"/>
            <w:vAlign w:val="top"/>
          </w:tcPr>
          <w:p>
            <w:r/>
            <w:r>
              <w:rPr>
                <w:rFonts w:ascii="Arial" w:hAnsi="Arial"/>
                <w:b w:val="0"/>
                <w:sz w:val="12"/>
              </w:rPr>
              <w:t>The response includes existing table attributes.</w:t>
            </w:r>
          </w:p>
        </w:tc>
        <w:tc>
          <w:tcPr>
            <w:tcW w:type="dxa" w:w="2590"/>
            <w:vAlign w:val="top"/>
          </w:tcPr>
          <w:p>
            <w:r/>
            <w:r>
              <w:rPr>
                <w:rFonts w:ascii="Arial" w:hAnsi="Arial"/>
                <w:b w:val="0"/>
                <w:sz w:val="12"/>
              </w:rPr>
              <w:t>Needed for existing column checks.</w:t>
            </w:r>
          </w:p>
        </w:tc>
        <w:tc>
          <w:tcPr>
            <w:tcW w:type="dxa" w:w="2590"/>
            <w:vAlign w:val="top"/>
          </w:tcPr>
          <w:p>
            <w:r/>
            <w:r>
              <w:rPr>
                <w:rFonts w:ascii="Arial" w:hAnsi="Arial"/>
                <w:b w:val="0"/>
                <w:sz w:val="12"/>
              </w:rPr>
              <w:t>Using only Entity filters would not return columns.</w:t>
            </w:r>
          </w:p>
        </w:tc>
      </w:tr>
      <w:tr>
        <w:tc>
          <w:tcPr>
            <w:tcW w:type="dxa" w:w="2590"/>
            <w:vAlign w:val="top"/>
          </w:tcPr>
          <w:p>
            <w:r/>
            <w:r>
              <w:rPr>
                <w:rFonts w:ascii="Arial" w:hAnsi="Arial"/>
                <w:b w:val="0"/>
                <w:sz w:val="12"/>
              </w:rPr>
              <w:t>121</w:t>
            </w:r>
          </w:p>
        </w:tc>
        <w:tc>
          <w:tcPr>
            <w:tcW w:type="dxa" w:w="2590"/>
            <w:vAlign w:val="top"/>
          </w:tcPr>
          <w:p>
            <w:r/>
            <w:r>
              <w:rPr>
                <w:rFonts w:ascii="Arial" w:hAnsi="Arial"/>
                <w:b w:val="0"/>
                <w:sz w:val="12"/>
              </w:rPr>
              <w:t xml:space="preserve">        RetrieveAsIfPublished = true</w:t>
            </w:r>
          </w:p>
        </w:tc>
        <w:tc>
          <w:tcPr>
            <w:tcW w:type="dxa" w:w="2590"/>
            <w:vAlign w:val="top"/>
          </w:tcPr>
          <w:p>
            <w:r/>
            <w:r>
              <w:rPr>
                <w:rFonts w:ascii="Arial" w:hAnsi="Arial"/>
                <w:b w:val="0"/>
                <w:sz w:val="12"/>
              </w:rPr>
              <w:t>Reads metadata as if all customizations are published.</w:t>
            </w:r>
          </w:p>
        </w:tc>
        <w:tc>
          <w:tcPr>
            <w:tcW w:type="dxa" w:w="2590"/>
            <w:vAlign w:val="top"/>
          </w:tcPr>
          <w:p>
            <w:r/>
            <w:r>
              <w:rPr>
                <w:rFonts w:ascii="Arial" w:hAnsi="Arial"/>
                <w:b w:val="0"/>
                <w:sz w:val="12"/>
              </w:rPr>
              <w:t>Helps include recent metadata changes.</w:t>
            </w:r>
          </w:p>
        </w:tc>
        <w:tc>
          <w:tcPr>
            <w:tcW w:type="dxa" w:w="2590"/>
            <w:vAlign w:val="top"/>
          </w:tcPr>
          <w:p>
            <w:r/>
            <w:r>
              <w:rPr>
                <w:rFonts w:ascii="Arial" w:hAnsi="Arial"/>
                <w:b w:val="0"/>
                <w:sz w:val="12"/>
              </w:rPr>
              <w:t>Improves reliability after script-created components.</w:t>
            </w:r>
          </w:p>
        </w:tc>
        <w:tc>
          <w:tcPr>
            <w:tcW w:type="dxa" w:w="2590"/>
            <w:vAlign w:val="top"/>
          </w:tcPr>
          <w:p>
            <w:r/>
            <w:r>
              <w:rPr>
                <w:rFonts w:ascii="Arial" w:hAnsi="Arial"/>
                <w:b w:val="0"/>
                <w:sz w:val="12"/>
              </w:rPr>
              <w:t>If false, recently created unpublished metadata might not be detected.</w:t>
            </w:r>
          </w:p>
        </w:tc>
      </w:tr>
      <w:tr>
        <w:tc>
          <w:tcPr>
            <w:tcW w:type="dxa" w:w="2590"/>
            <w:vAlign w:val="top"/>
          </w:tcPr>
          <w:p>
            <w:r/>
            <w:r>
              <w:rPr>
                <w:rFonts w:ascii="Arial" w:hAnsi="Arial"/>
                <w:b w:val="0"/>
                <w:sz w:val="12"/>
              </w:rPr>
              <w:t>122</w:t>
            </w:r>
          </w:p>
        </w:tc>
        <w:tc>
          <w:tcPr>
            <w:tcW w:type="dxa" w:w="2590"/>
            <w:vAlign w:val="top"/>
          </w:tcPr>
          <w:p>
            <w:r/>
            <w:r>
              <w:rPr>
                <w:rFonts w:ascii="Arial" w:hAnsi="Arial"/>
                <w:b w:val="0"/>
                <w:sz w:val="12"/>
              </w:rPr>
              <w:t xml:space="preserve">    });</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123</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124</w:t>
            </w:r>
          </w:p>
        </w:tc>
        <w:tc>
          <w:tcPr>
            <w:tcW w:type="dxa" w:w="2590"/>
            <w:vAlign w:val="top"/>
          </w:tcPr>
          <w:p>
            <w:r/>
            <w:r>
              <w:rPr>
                <w:rFonts w:ascii="Arial" w:hAnsi="Arial"/>
                <w:b w:val="0"/>
                <w:sz w:val="12"/>
              </w:rPr>
              <w:t xml:space="preserve">    return response.EntityMetadata.Attributes</w:t>
            </w:r>
          </w:p>
        </w:tc>
        <w:tc>
          <w:tcPr>
            <w:tcW w:type="dxa" w:w="2590"/>
            <w:vAlign w:val="top"/>
          </w:tcPr>
          <w:p>
            <w:r/>
            <w:r>
              <w:rPr>
                <w:rFonts w:ascii="Arial" w:hAnsi="Arial"/>
                <w:b w:val="0"/>
                <w:sz w:val="12"/>
              </w:rPr>
              <w:t>Starts building a list of existing attribute logical names.</w:t>
            </w:r>
          </w:p>
        </w:tc>
        <w:tc>
          <w:tcPr>
            <w:tcW w:type="dxa" w:w="2590"/>
            <w:vAlign w:val="top"/>
          </w:tcPr>
          <w:p>
            <w:r/>
            <w:r>
              <w:rPr>
                <w:rFonts w:ascii="Arial" w:hAnsi="Arial"/>
                <w:b w:val="0"/>
                <w:sz w:val="12"/>
              </w:rPr>
              <w:t>Reads the metadata response returned by Dataverse.</w:t>
            </w:r>
          </w:p>
        </w:tc>
        <w:tc>
          <w:tcPr>
            <w:tcW w:type="dxa" w:w="2590"/>
            <w:vAlign w:val="top"/>
          </w:tcPr>
          <w:p>
            <w:r/>
            <w:r>
              <w:rPr>
                <w:rFonts w:ascii="Arial" w:hAnsi="Arial"/>
                <w:b w:val="0"/>
                <w:sz w:val="12"/>
              </w:rPr>
              <w:t>Forms the basis of idempotency checks.</w:t>
            </w:r>
          </w:p>
        </w:tc>
        <w:tc>
          <w:tcPr>
            <w:tcW w:type="dxa" w:w="2590"/>
            <w:vAlign w:val="top"/>
          </w:tcPr>
          <w:p>
            <w:r/>
            <w:r>
              <w:rPr>
                <w:rFonts w:ascii="Arial" w:hAnsi="Arial"/>
                <w:b w:val="0"/>
                <w:sz w:val="12"/>
              </w:rPr>
              <w:t>If the response is null, the helper would fail.</w:t>
            </w:r>
          </w:p>
        </w:tc>
      </w:tr>
      <w:tr>
        <w:tc>
          <w:tcPr>
            <w:tcW w:type="dxa" w:w="2590"/>
            <w:vAlign w:val="top"/>
          </w:tcPr>
          <w:p>
            <w:r/>
            <w:r>
              <w:rPr>
                <w:rFonts w:ascii="Arial" w:hAnsi="Arial"/>
                <w:b w:val="0"/>
                <w:sz w:val="12"/>
              </w:rPr>
              <w:t>125</w:t>
            </w:r>
          </w:p>
        </w:tc>
        <w:tc>
          <w:tcPr>
            <w:tcW w:type="dxa" w:w="2590"/>
            <w:vAlign w:val="top"/>
          </w:tcPr>
          <w:p>
            <w:r/>
            <w:r>
              <w:rPr>
                <w:rFonts w:ascii="Arial" w:hAnsi="Arial"/>
                <w:b w:val="0"/>
                <w:sz w:val="12"/>
              </w:rPr>
              <w:t xml:space="preserve">        .Where(a =&gt; !string.IsNullOrWhiteSpace(a.LogicalName))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126</w:t>
            </w:r>
          </w:p>
        </w:tc>
        <w:tc>
          <w:tcPr>
            <w:tcW w:type="dxa" w:w="2590"/>
            <w:vAlign w:val="top"/>
          </w:tcPr>
          <w:p>
            <w:r/>
            <w:r>
              <w:rPr>
                <w:rFonts w:ascii="Arial" w:hAnsi="Arial"/>
                <w:b w:val="0"/>
                <w:sz w:val="12"/>
              </w:rPr>
              <w:t xml:space="preserve">        .Select(a =&gt; a.LogicalName!)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127</w:t>
            </w:r>
          </w:p>
        </w:tc>
        <w:tc>
          <w:tcPr>
            <w:tcW w:type="dxa" w:w="2590"/>
            <w:vAlign w:val="top"/>
          </w:tcPr>
          <w:p>
            <w:r/>
            <w:r>
              <w:rPr>
                <w:rFonts w:ascii="Arial" w:hAnsi="Arial"/>
                <w:b w:val="0"/>
                <w:sz w:val="12"/>
              </w:rPr>
              <w:t xml:space="preserve">        .ToHashSet(StringComparer.OrdinalIgnoreCase);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128</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129</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130</w:t>
            </w:r>
          </w:p>
        </w:tc>
        <w:tc>
          <w:tcPr>
            <w:tcW w:type="dxa" w:w="2590"/>
            <w:vAlign w:val="top"/>
          </w:tcPr>
          <w:p>
            <w:r/>
            <w:r>
              <w:rPr>
                <w:rFonts w:ascii="Arial" w:hAnsi="Arial"/>
                <w:b w:val="0"/>
                <w:sz w:val="12"/>
              </w:rPr>
              <w:t>static Label Label(string value) =&gt; new(value, LanguageCode);</w:t>
            </w:r>
          </w:p>
        </w:tc>
        <w:tc>
          <w:tcPr>
            <w:tcW w:type="dxa" w:w="2590"/>
            <w:vAlign w:val="top"/>
          </w:tcPr>
          <w:p>
            <w:r/>
            <w:r>
              <w:rPr>
                <w:rFonts w:ascii="Arial" w:hAnsi="Arial"/>
                <w:b w:val="0"/>
                <w:sz w:val="12"/>
              </w:rPr>
              <w:t>Defines a helper for localized labels.</w:t>
            </w:r>
          </w:p>
        </w:tc>
        <w:tc>
          <w:tcPr>
            <w:tcW w:type="dxa" w:w="2590"/>
            <w:vAlign w:val="top"/>
          </w:tcPr>
          <w:p>
            <w:r/>
            <w:r>
              <w:rPr>
                <w:rFonts w:ascii="Arial" w:hAnsi="Arial"/>
                <w:b w:val="0"/>
                <w:sz w:val="12"/>
              </w:rPr>
              <w:t>Creates Dataverse Label objects using the configured LanguageCode.</w:t>
            </w:r>
          </w:p>
        </w:tc>
        <w:tc>
          <w:tcPr>
            <w:tcW w:type="dxa" w:w="2590"/>
            <w:vAlign w:val="top"/>
          </w:tcPr>
          <w:p>
            <w:r/>
            <w:r>
              <w:rPr>
                <w:rFonts w:ascii="Arial" w:hAnsi="Arial"/>
                <w:b w:val="0"/>
                <w:sz w:val="12"/>
              </w:rPr>
              <w:t>Avoids repeating label creation logic everywhere.</w:t>
            </w:r>
          </w:p>
        </w:tc>
        <w:tc>
          <w:tcPr>
            <w:tcW w:type="dxa" w:w="2590"/>
            <w:vAlign w:val="top"/>
          </w:tcPr>
          <w:p>
            <w:r/>
            <w:r>
              <w:rPr>
                <w:rFonts w:ascii="Arial" w:hAnsi="Arial"/>
                <w:b w:val="0"/>
                <w:sz w:val="12"/>
              </w:rPr>
              <w:t>Using unsupported LanguageCode caused the initial lookup failure.</w:t>
            </w:r>
          </w:p>
        </w:tc>
      </w:tr>
      <w:tr>
        <w:tc>
          <w:tcPr>
            <w:tcW w:type="dxa" w:w="2590"/>
            <w:vAlign w:val="top"/>
          </w:tcPr>
          <w:p>
            <w:r/>
            <w:r>
              <w:rPr>
                <w:rFonts w:ascii="Arial" w:hAnsi="Arial"/>
                <w:b w:val="0"/>
                <w:sz w:val="12"/>
              </w:rPr>
              <w:t>131</w:t>
            </w:r>
          </w:p>
        </w:tc>
        <w:tc>
          <w:tcPr>
            <w:tcW w:type="dxa" w:w="2590"/>
            <w:vAlign w:val="top"/>
          </w:tcPr>
          <w:p>
            <w:r/>
            <w:r>
              <w:rPr>
                <w:rFonts w:ascii="Arial" w:hAnsi="Arial"/>
                <w:b w:val="0"/>
                <w:sz w:val="12"/>
              </w:rPr>
              <w:t>(blank)</w:t>
            </w:r>
          </w:p>
        </w:tc>
        <w:tc>
          <w:tcPr>
            <w:tcW w:type="dxa" w:w="2590"/>
            <w:vAlign w:val="top"/>
          </w:tcPr>
          <w:p>
            <w:r/>
            <w:r>
              <w:rPr>
                <w:rFonts w:ascii="Arial" w:hAnsi="Arial"/>
                <w:b w:val="0"/>
                <w:sz w:val="12"/>
              </w:rPr>
              <w:t>Blank readability line.</w:t>
            </w:r>
          </w:p>
        </w:tc>
        <w:tc>
          <w:tcPr>
            <w:tcW w:type="dxa" w:w="2590"/>
            <w:vAlign w:val="top"/>
          </w:tcPr>
          <w:p>
            <w:r/>
            <w:r>
              <w:rPr>
                <w:rFonts w:ascii="Arial" w:hAnsi="Arial"/>
                <w:b w:val="0"/>
                <w:sz w:val="12"/>
              </w:rPr>
              <w:t>No runtime behavior; separates logical code blocks.</w:t>
            </w:r>
          </w:p>
        </w:tc>
        <w:tc>
          <w:tcPr>
            <w:tcW w:type="dxa" w:w="2590"/>
            <w:vAlign w:val="top"/>
          </w:tcPr>
          <w:p>
            <w:r/>
            <w:r>
              <w:rPr>
                <w:rFonts w:ascii="Arial" w:hAnsi="Arial"/>
                <w:b w:val="0"/>
                <w:sz w:val="12"/>
              </w:rPr>
              <w:t>Improves maintainability and visual scanning.</w:t>
            </w:r>
          </w:p>
        </w:tc>
        <w:tc>
          <w:tcPr>
            <w:tcW w:type="dxa" w:w="2590"/>
            <w:vAlign w:val="top"/>
          </w:tcPr>
          <w:p>
            <w:r/>
            <w:r>
              <w:rPr>
                <w:rFonts w:ascii="Arial" w:hAnsi="Arial"/>
                <w:b w:val="0"/>
                <w:sz w:val="12"/>
              </w:rPr>
              <w:t>None.</w:t>
            </w:r>
          </w:p>
        </w:tc>
      </w:tr>
      <w:tr>
        <w:tc>
          <w:tcPr>
            <w:tcW w:type="dxa" w:w="2590"/>
            <w:vAlign w:val="top"/>
          </w:tcPr>
          <w:p>
            <w:r/>
            <w:r>
              <w:rPr>
                <w:rFonts w:ascii="Arial" w:hAnsi="Arial"/>
                <w:b w:val="0"/>
                <w:sz w:val="12"/>
              </w:rPr>
              <w:t>132</w:t>
            </w:r>
          </w:p>
        </w:tc>
        <w:tc>
          <w:tcPr>
            <w:tcW w:type="dxa" w:w="2590"/>
            <w:vAlign w:val="top"/>
          </w:tcPr>
          <w:p>
            <w:r/>
            <w:r>
              <w:rPr>
                <w:rFonts w:ascii="Arial" w:hAnsi="Arial"/>
                <w:b w:val="0"/>
                <w:sz w:val="12"/>
              </w:rPr>
              <w:t>static AttributeRequiredLevelManagedProperty Optional()</w:t>
            </w:r>
          </w:p>
        </w:tc>
        <w:tc>
          <w:tcPr>
            <w:tcW w:type="dxa" w:w="2590"/>
            <w:vAlign w:val="top"/>
          </w:tcPr>
          <w:p>
            <w:r/>
            <w:r>
              <w:rPr>
                <w:rFonts w:ascii="Arial" w:hAnsi="Arial"/>
                <w:b w:val="0"/>
                <w:sz w:val="12"/>
              </w:rPr>
              <w:t>Defines a helper for optional fields.</w:t>
            </w:r>
          </w:p>
        </w:tc>
        <w:tc>
          <w:tcPr>
            <w:tcW w:type="dxa" w:w="2590"/>
            <w:vAlign w:val="top"/>
          </w:tcPr>
          <w:p>
            <w:r/>
            <w:r>
              <w:rPr>
                <w:rFonts w:ascii="Arial" w:hAnsi="Arial"/>
                <w:b w:val="0"/>
                <w:sz w:val="12"/>
              </w:rPr>
              <w:t>Returns AttributeRequiredLevel.None wrapped in a Dataverse managed property.</w:t>
            </w:r>
          </w:p>
        </w:tc>
        <w:tc>
          <w:tcPr>
            <w:tcW w:type="dxa" w:w="2590"/>
            <w:vAlign w:val="top"/>
          </w:tcPr>
          <w:p>
            <w:r/>
            <w:r>
              <w:rPr>
                <w:rFonts w:ascii="Arial" w:hAnsi="Arial"/>
                <w:b w:val="0"/>
                <w:sz w:val="12"/>
              </w:rPr>
              <w:t>Keeps most custom columns optional for MVP flexibility.</w:t>
            </w:r>
          </w:p>
        </w:tc>
        <w:tc>
          <w:tcPr>
            <w:tcW w:type="dxa" w:w="2590"/>
            <w:vAlign w:val="top"/>
          </w:tcPr>
          <w:p>
            <w:r/>
            <w:r>
              <w:rPr>
                <w:rFonts w:ascii="Arial" w:hAnsi="Arial"/>
                <w:b w:val="0"/>
                <w:sz w:val="12"/>
              </w:rPr>
              <w:t>Making fields required too early can break integrations and tests.</w:t>
            </w:r>
          </w:p>
        </w:tc>
      </w:tr>
      <w:tr>
        <w:tc>
          <w:tcPr>
            <w:tcW w:type="dxa" w:w="2590"/>
            <w:vAlign w:val="top"/>
          </w:tcPr>
          <w:p>
            <w:r/>
            <w:r>
              <w:rPr>
                <w:rFonts w:ascii="Arial" w:hAnsi="Arial"/>
                <w:b w:val="0"/>
                <w:sz w:val="12"/>
              </w:rPr>
              <w:t>133</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134</w:t>
            </w:r>
          </w:p>
        </w:tc>
        <w:tc>
          <w:tcPr>
            <w:tcW w:type="dxa" w:w="2590"/>
            <w:vAlign w:val="top"/>
          </w:tcPr>
          <w:p>
            <w:r/>
            <w:r>
              <w:rPr>
                <w:rFonts w:ascii="Arial" w:hAnsi="Arial"/>
                <w:b w:val="0"/>
                <w:sz w:val="12"/>
              </w:rPr>
              <w:t xml:space="preserve">    return new AttributeRequiredLevelManagedProperty(AttributeRequiredLevel.None);</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r>
        <w:tc>
          <w:tcPr>
            <w:tcW w:type="dxa" w:w="2590"/>
            <w:vAlign w:val="top"/>
          </w:tcPr>
          <w:p>
            <w:r/>
            <w:r>
              <w:rPr>
                <w:rFonts w:ascii="Arial" w:hAnsi="Arial"/>
                <w:b w:val="0"/>
                <w:sz w:val="12"/>
              </w:rPr>
              <w:t>135</w:t>
            </w:r>
          </w:p>
        </w:tc>
        <w:tc>
          <w:tcPr>
            <w:tcW w:type="dxa" w:w="2590"/>
            <w:vAlign w:val="top"/>
          </w:tcPr>
          <w:p>
            <w:r/>
            <w:r>
              <w:rPr>
                <w:rFonts w:ascii="Arial" w:hAnsi="Arial"/>
                <w:b w:val="0"/>
                <w:sz w:val="12"/>
              </w:rPr>
              <w:t>}</w:t>
            </w:r>
          </w:p>
        </w:tc>
        <w:tc>
          <w:tcPr>
            <w:tcW w:type="dxa" w:w="2590"/>
            <w:vAlign w:val="top"/>
          </w:tcPr>
          <w:p>
            <w:r/>
            <w:r>
              <w:rPr>
                <w:rFonts w:ascii="Arial" w:hAnsi="Arial"/>
                <w:b w:val="0"/>
                <w:sz w:val="12"/>
              </w:rPr>
              <w:t>Structural C# syntax.</w:t>
            </w:r>
          </w:p>
        </w:tc>
        <w:tc>
          <w:tcPr>
            <w:tcW w:type="dxa" w:w="2590"/>
            <w:vAlign w:val="top"/>
          </w:tcPr>
          <w:p>
            <w:r/>
            <w:r>
              <w:rPr>
                <w:rFonts w:ascii="Arial" w:hAnsi="Arial"/>
                <w:b w:val="0"/>
                <w:sz w:val="12"/>
              </w:rPr>
              <w:t>Groups code into blocks or closes object initializers/statements.</w:t>
            </w:r>
          </w:p>
        </w:tc>
        <w:tc>
          <w:tcPr>
            <w:tcW w:type="dxa" w:w="2590"/>
            <w:vAlign w:val="top"/>
          </w:tcPr>
          <w:p>
            <w:r/>
            <w:r>
              <w:rPr>
                <w:rFonts w:ascii="Arial" w:hAnsi="Arial"/>
                <w:b w:val="0"/>
                <w:sz w:val="12"/>
              </w:rPr>
              <w:t>Required for valid C# compilation and scope control.</w:t>
            </w:r>
          </w:p>
        </w:tc>
        <w:tc>
          <w:tcPr>
            <w:tcW w:type="dxa" w:w="2590"/>
            <w:vAlign w:val="top"/>
          </w:tcPr>
          <w:p>
            <w:r/>
            <w:r>
              <w:rPr>
                <w:rFonts w:ascii="Arial" w:hAnsi="Arial"/>
                <w:b w:val="0"/>
                <w:sz w:val="12"/>
              </w:rPr>
              <w:t>Missing braces or semicolons cause build errors.</w:t>
            </w:r>
          </w:p>
        </w:tc>
      </w:tr>
      <w:tr>
        <w:tc>
          <w:tcPr>
            <w:tcW w:type="dxa" w:w="2590"/>
            <w:vAlign w:val="top"/>
          </w:tcPr>
          <w:p>
            <w:r/>
            <w:r>
              <w:rPr>
                <w:rFonts w:ascii="Arial" w:hAnsi="Arial"/>
                <w:b w:val="0"/>
                <w:sz w:val="12"/>
              </w:rPr>
              <w:t>136</w:t>
            </w:r>
          </w:p>
        </w:tc>
        <w:tc>
          <w:tcPr>
            <w:tcW w:type="dxa" w:w="2590"/>
            <w:vAlign w:val="top"/>
          </w:tcPr>
          <w:p>
            <w:r/>
            <w:r>
              <w:rPr>
                <w:rFonts w:ascii="Arial" w:hAnsi="Arial"/>
                <w:b w:val="0"/>
                <w:sz w:val="12"/>
              </w:rPr>
              <w:t>EOF</w:t>
            </w:r>
          </w:p>
        </w:tc>
        <w:tc>
          <w:tcPr>
            <w:tcW w:type="dxa" w:w="2590"/>
            <w:vAlign w:val="top"/>
          </w:tcPr>
          <w:p>
            <w:r/>
            <w:r>
              <w:rPr>
                <w:rFonts w:ascii="Arial" w:hAnsi="Arial"/>
                <w:b w:val="0"/>
                <w:sz w:val="12"/>
              </w:rPr>
              <w:t>Executes part of the script's metadata creation logic.</w:t>
            </w:r>
          </w:p>
        </w:tc>
        <w:tc>
          <w:tcPr>
            <w:tcW w:type="dxa" w:w="2590"/>
            <w:vAlign w:val="top"/>
          </w:tcPr>
          <w:p>
            <w:r/>
            <w:r>
              <w:rPr>
                <w:rFonts w:ascii="Arial" w:hAnsi="Arial"/>
                <w:b w:val="0"/>
                <w:sz w:val="12"/>
              </w:rPr>
              <w:t>This line participates in defining, checking, creating, logging, or publishing Dataverse metadata.</w:t>
            </w:r>
          </w:p>
        </w:tc>
        <w:tc>
          <w:tcPr>
            <w:tcW w:type="dxa" w:w="2590"/>
            <w:vAlign w:val="top"/>
          </w:tcPr>
          <w:p>
            <w:r/>
            <w:r>
              <w:rPr>
                <w:rFonts w:ascii="Arial" w:hAnsi="Arial"/>
                <w:b w:val="0"/>
                <w:sz w:val="12"/>
              </w:rPr>
              <w:t>It contributes to the controlled creation of the Pending Commercial Action table or lookup fix.</w:t>
            </w:r>
          </w:p>
        </w:tc>
        <w:tc>
          <w:tcPr>
            <w:tcW w:type="dxa" w:w="2590"/>
            <w:vAlign w:val="top"/>
          </w:tcPr>
          <w:p>
            <w:r/>
            <w:r>
              <w:rPr>
                <w:rFonts w:ascii="Arial" w:hAnsi="Arial"/>
                <w:b w:val="0"/>
                <w:sz w:val="12"/>
              </w:rPr>
              <w:t>If changed, validate compile output and Power Apps metadata carefully.</w:t>
            </w:r>
          </w:p>
        </w:tc>
      </w:tr>
    </w:tbl>
    <w:p/>
    <w:p>
      <w:pPr>
        <w:pStyle w:val="Heading2"/>
      </w:pPr>
      <w:r>
        <w:t>Appendix - Full fix script</w:t>
      </w:r>
    </w:p>
    <w:p>
      <w:pPr>
        <w:pStyle w:val="NoSpacing"/>
      </w:pPr>
      <w:r>
        <w:rPr>
          <w:rFonts w:ascii="Courier New" w:hAnsi="Courier New"/>
          <w:sz w:val="12"/>
        </w:rPr>
        <w:t>001: using Microsoft.Crm.Sdk.Messages;</w:t>
      </w:r>
    </w:p>
    <w:p>
      <w:pPr>
        <w:pStyle w:val="NoSpacing"/>
      </w:pPr>
      <w:r>
        <w:rPr>
          <w:rFonts w:ascii="Courier New" w:hAnsi="Courier New"/>
          <w:sz w:val="12"/>
        </w:rPr>
        <w:t>002: using Microsoft.PowerPlatform.Dataverse.Client;</w:t>
      </w:r>
    </w:p>
    <w:p>
      <w:pPr>
        <w:pStyle w:val="NoSpacing"/>
      </w:pPr>
      <w:r>
        <w:rPr>
          <w:rFonts w:ascii="Courier New" w:hAnsi="Courier New"/>
          <w:sz w:val="12"/>
        </w:rPr>
        <w:t>003: using Microsoft.Xrm.Sdk;</w:t>
      </w:r>
    </w:p>
    <w:p>
      <w:pPr>
        <w:pStyle w:val="NoSpacing"/>
      </w:pPr>
      <w:r>
        <w:rPr>
          <w:rFonts w:ascii="Courier New" w:hAnsi="Courier New"/>
          <w:sz w:val="12"/>
        </w:rPr>
        <w:t>004: using Microsoft.Xrm.Sdk.Messages;</w:t>
      </w:r>
    </w:p>
    <w:p>
      <w:pPr>
        <w:pStyle w:val="NoSpacing"/>
      </w:pPr>
      <w:r>
        <w:rPr>
          <w:rFonts w:ascii="Courier New" w:hAnsi="Courier New"/>
          <w:sz w:val="12"/>
        </w:rPr>
        <w:t>005: using Microsoft.Xrm.Sdk.Metadata;</w:t>
      </w:r>
    </w:p>
    <w:p>
      <w:pPr>
        <w:pStyle w:val="NoSpacing"/>
      </w:pPr>
      <w:r>
        <w:rPr>
          <w:rFonts w:ascii="Courier New" w:hAnsi="Courier New"/>
          <w:sz w:val="12"/>
        </w:rPr>
        <w:t xml:space="preserve">006: </w:t>
      </w:r>
    </w:p>
    <w:p>
      <w:pPr>
        <w:pStyle w:val="NoSpacing"/>
      </w:pPr>
      <w:r>
        <w:rPr>
          <w:rFonts w:ascii="Courier New" w:hAnsi="Courier New"/>
          <w:sz w:val="12"/>
        </w:rPr>
        <w:t>007: const string DataverseUrl = "https://phoenicarix-ci.crm4.dynamics.com";</w:t>
      </w:r>
    </w:p>
    <w:p>
      <w:pPr>
        <w:pStyle w:val="NoSpacing"/>
      </w:pPr>
      <w:r>
        <w:rPr>
          <w:rFonts w:ascii="Courier New" w:hAnsi="Courier New"/>
          <w:sz w:val="12"/>
        </w:rPr>
        <w:t>008: const string SolutionUniqueName = "ASOCore";</w:t>
      </w:r>
    </w:p>
    <w:p>
      <w:pPr>
        <w:pStyle w:val="NoSpacing"/>
      </w:pPr>
      <w:r>
        <w:rPr>
          <w:rFonts w:ascii="Courier New" w:hAnsi="Courier New"/>
          <w:sz w:val="12"/>
        </w:rPr>
        <w:t>009: const string EntityLogicalName = "aso_pendingcommercialaction";</w:t>
      </w:r>
    </w:p>
    <w:p>
      <w:pPr>
        <w:pStyle w:val="NoSpacing"/>
      </w:pPr>
      <w:r>
        <w:rPr>
          <w:rFonts w:ascii="Courier New" w:hAnsi="Courier New"/>
          <w:sz w:val="12"/>
        </w:rPr>
        <w:t>010: const int LanguageCode = 1031;</w:t>
      </w:r>
    </w:p>
    <w:p>
      <w:pPr>
        <w:pStyle w:val="NoSpacing"/>
      </w:pPr>
      <w:r>
        <w:rPr>
          <w:rFonts w:ascii="Courier New" w:hAnsi="Courier New"/>
          <w:sz w:val="12"/>
        </w:rPr>
        <w:t xml:space="preserve">011: </w:t>
      </w:r>
    </w:p>
    <w:p>
      <w:pPr>
        <w:pStyle w:val="NoSpacing"/>
      </w:pPr>
      <w:r>
        <w:rPr>
          <w:rFonts w:ascii="Courier New" w:hAnsi="Courier New"/>
          <w:sz w:val="12"/>
        </w:rPr>
        <w:t>012: var connectionString =</w:t>
      </w:r>
    </w:p>
    <w:p>
      <w:pPr>
        <w:pStyle w:val="NoSpacing"/>
      </w:pPr>
      <w:r>
        <w:rPr>
          <w:rFonts w:ascii="Courier New" w:hAnsi="Courier New"/>
          <w:sz w:val="12"/>
        </w:rPr>
        <w:t>013:     $@"AuthType=OAuth;</w:t>
      </w:r>
    </w:p>
    <w:p>
      <w:pPr>
        <w:pStyle w:val="NoSpacing"/>
      </w:pPr>
      <w:r>
        <w:rPr>
          <w:rFonts w:ascii="Courier New" w:hAnsi="Courier New"/>
          <w:sz w:val="12"/>
        </w:rPr>
        <w:t>014:        Url={DataverseUrl};</w:t>
      </w:r>
    </w:p>
    <w:p>
      <w:pPr>
        <w:pStyle w:val="NoSpacing"/>
      </w:pPr>
      <w:r>
        <w:rPr>
          <w:rFonts w:ascii="Courier New" w:hAnsi="Courier New"/>
          <w:sz w:val="12"/>
        </w:rPr>
        <w:t>015:        LoginPrompt=Auto;</w:t>
      </w:r>
    </w:p>
    <w:p>
      <w:pPr>
        <w:pStyle w:val="NoSpacing"/>
      </w:pPr>
      <w:r>
        <w:rPr>
          <w:rFonts w:ascii="Courier New" w:hAnsi="Courier New"/>
          <w:sz w:val="12"/>
        </w:rPr>
        <w:t>016:        ClientId=51f81489-12ee-4a9e-aaae-a2591f45987d;</w:t>
      </w:r>
    </w:p>
    <w:p>
      <w:pPr>
        <w:pStyle w:val="NoSpacing"/>
      </w:pPr>
      <w:r>
        <w:rPr>
          <w:rFonts w:ascii="Courier New" w:hAnsi="Courier New"/>
          <w:sz w:val="12"/>
        </w:rPr>
        <w:t>017:        RedirectUri=http://localhost";</w:t>
      </w:r>
    </w:p>
    <w:p>
      <w:pPr>
        <w:pStyle w:val="NoSpacing"/>
      </w:pPr>
      <w:r>
        <w:rPr>
          <w:rFonts w:ascii="Courier New" w:hAnsi="Courier New"/>
          <w:sz w:val="12"/>
        </w:rPr>
        <w:t xml:space="preserve">018: </w:t>
      </w:r>
    </w:p>
    <w:p>
      <w:pPr>
        <w:pStyle w:val="NoSpacing"/>
      </w:pPr>
      <w:r>
        <w:rPr>
          <w:rFonts w:ascii="Courier New" w:hAnsi="Courier New"/>
          <w:sz w:val="12"/>
        </w:rPr>
        <w:t>019: using var service = new ServiceClient(connectionString);</w:t>
      </w:r>
    </w:p>
    <w:p>
      <w:pPr>
        <w:pStyle w:val="NoSpacing"/>
      </w:pPr>
      <w:r>
        <w:rPr>
          <w:rFonts w:ascii="Courier New" w:hAnsi="Courier New"/>
          <w:sz w:val="12"/>
        </w:rPr>
        <w:t xml:space="preserve">020: </w:t>
      </w:r>
    </w:p>
    <w:p>
      <w:pPr>
        <w:pStyle w:val="NoSpacing"/>
      </w:pPr>
      <w:r>
        <w:rPr>
          <w:rFonts w:ascii="Courier New" w:hAnsi="Courier New"/>
          <w:sz w:val="12"/>
        </w:rPr>
        <w:t>021: if (!service.IsReady)</w:t>
      </w:r>
    </w:p>
    <w:p>
      <w:pPr>
        <w:pStyle w:val="NoSpacing"/>
      </w:pPr>
      <w:r>
        <w:rPr>
          <w:rFonts w:ascii="Courier New" w:hAnsi="Courier New"/>
          <w:sz w:val="12"/>
        </w:rPr>
        <w:t>022: {</w:t>
      </w:r>
    </w:p>
    <w:p>
      <w:pPr>
        <w:pStyle w:val="NoSpacing"/>
      </w:pPr>
      <w:r>
        <w:rPr>
          <w:rFonts w:ascii="Courier New" w:hAnsi="Courier New"/>
          <w:sz w:val="12"/>
        </w:rPr>
        <w:t>023:     Console.ForegroundColor = ConsoleColor.Red;</w:t>
      </w:r>
    </w:p>
    <w:p>
      <w:pPr>
        <w:pStyle w:val="NoSpacing"/>
      </w:pPr>
      <w:r>
        <w:rPr>
          <w:rFonts w:ascii="Courier New" w:hAnsi="Courier New"/>
          <w:sz w:val="12"/>
        </w:rPr>
        <w:t>024:     Console.WriteLine("Connection failed:");</w:t>
      </w:r>
    </w:p>
    <w:p>
      <w:pPr>
        <w:pStyle w:val="NoSpacing"/>
      </w:pPr>
      <w:r>
        <w:rPr>
          <w:rFonts w:ascii="Courier New" w:hAnsi="Courier New"/>
          <w:sz w:val="12"/>
        </w:rPr>
        <w:t>025:     Console.WriteLine(service.LastError);</w:t>
      </w:r>
    </w:p>
    <w:p>
      <w:pPr>
        <w:pStyle w:val="NoSpacing"/>
      </w:pPr>
      <w:r>
        <w:rPr>
          <w:rFonts w:ascii="Courier New" w:hAnsi="Courier New"/>
          <w:sz w:val="12"/>
        </w:rPr>
        <w:t>026:     Console.ResetColor();</w:t>
      </w:r>
    </w:p>
    <w:p>
      <w:pPr>
        <w:pStyle w:val="NoSpacing"/>
      </w:pPr>
      <w:r>
        <w:rPr>
          <w:rFonts w:ascii="Courier New" w:hAnsi="Courier New"/>
          <w:sz w:val="12"/>
        </w:rPr>
        <w:t>027:     return;</w:t>
      </w:r>
    </w:p>
    <w:p>
      <w:pPr>
        <w:pStyle w:val="NoSpacing"/>
      </w:pPr>
      <w:r>
        <w:rPr>
          <w:rFonts w:ascii="Courier New" w:hAnsi="Courier New"/>
          <w:sz w:val="12"/>
        </w:rPr>
        <w:t>028: }</w:t>
      </w:r>
    </w:p>
    <w:p>
      <w:pPr>
        <w:pStyle w:val="NoSpacing"/>
      </w:pPr>
      <w:r>
        <w:rPr>
          <w:rFonts w:ascii="Courier New" w:hAnsi="Courier New"/>
          <w:sz w:val="12"/>
        </w:rPr>
        <w:t xml:space="preserve">029: </w:t>
      </w:r>
    </w:p>
    <w:p>
      <w:pPr>
        <w:pStyle w:val="NoSpacing"/>
      </w:pPr>
      <w:r>
        <w:rPr>
          <w:rFonts w:ascii="Courier New" w:hAnsi="Courier New"/>
          <w:sz w:val="12"/>
        </w:rPr>
        <w:t>030: Console.WriteLine($"Connected to: {DataverseUrl}");</w:t>
      </w:r>
    </w:p>
    <w:p>
      <w:pPr>
        <w:pStyle w:val="NoSpacing"/>
      </w:pPr>
      <w:r>
        <w:rPr>
          <w:rFonts w:ascii="Courier New" w:hAnsi="Courier New"/>
          <w:sz w:val="12"/>
        </w:rPr>
        <w:t>031: Console.WriteLine($"Target solution: {SolutionUniqueName}");</w:t>
      </w:r>
    </w:p>
    <w:p>
      <w:pPr>
        <w:pStyle w:val="NoSpacing"/>
      </w:pPr>
      <w:r>
        <w:rPr>
          <w:rFonts w:ascii="Courier New" w:hAnsi="Courier New"/>
          <w:sz w:val="12"/>
        </w:rPr>
        <w:t>032: Console.WriteLine($"Target table: {EntityLogicalName}");</w:t>
      </w:r>
    </w:p>
    <w:p>
      <w:pPr>
        <w:pStyle w:val="NoSpacing"/>
      </w:pPr>
      <w:r>
        <w:rPr>
          <w:rFonts w:ascii="Courier New" w:hAnsi="Courier New"/>
          <w:sz w:val="12"/>
        </w:rPr>
        <w:t>033: Console.WriteLine("Fixing missing Opportunity lookup only...");</w:t>
      </w:r>
    </w:p>
    <w:p>
      <w:pPr>
        <w:pStyle w:val="NoSpacing"/>
      </w:pPr>
      <w:r>
        <w:rPr>
          <w:rFonts w:ascii="Courier New" w:hAnsi="Courier New"/>
          <w:sz w:val="12"/>
        </w:rPr>
        <w:t>034: Console.WriteLine();</w:t>
      </w:r>
    </w:p>
    <w:p>
      <w:pPr>
        <w:pStyle w:val="NoSpacing"/>
      </w:pPr>
      <w:r>
        <w:rPr>
          <w:rFonts w:ascii="Courier New" w:hAnsi="Courier New"/>
          <w:sz w:val="12"/>
        </w:rPr>
        <w:t xml:space="preserve">035: </w:t>
      </w:r>
    </w:p>
    <w:p>
      <w:pPr>
        <w:pStyle w:val="NoSpacing"/>
      </w:pPr>
      <w:r>
        <w:rPr>
          <w:rFonts w:ascii="Courier New" w:hAnsi="Courier New"/>
          <w:sz w:val="12"/>
        </w:rPr>
        <w:t>036: var existingAttributes = GetExistingAttributeLogicalNames(service, EntityLogicalName);</w:t>
      </w:r>
    </w:p>
    <w:p>
      <w:pPr>
        <w:pStyle w:val="NoSpacing"/>
      </w:pPr>
      <w:r>
        <w:rPr>
          <w:rFonts w:ascii="Courier New" w:hAnsi="Courier New"/>
          <w:sz w:val="12"/>
        </w:rPr>
        <w:t xml:space="preserve">037: </w:t>
      </w:r>
    </w:p>
    <w:p>
      <w:pPr>
        <w:pStyle w:val="NoSpacing"/>
      </w:pPr>
      <w:r>
        <w:rPr>
          <w:rFonts w:ascii="Courier New" w:hAnsi="Courier New"/>
          <w:sz w:val="12"/>
        </w:rPr>
        <w:t>038: if (existingAttributes.Contains("aso_opportunityid"))</w:t>
      </w:r>
    </w:p>
    <w:p>
      <w:pPr>
        <w:pStyle w:val="NoSpacing"/>
      </w:pPr>
      <w:r>
        <w:rPr>
          <w:rFonts w:ascii="Courier New" w:hAnsi="Courier New"/>
          <w:sz w:val="12"/>
        </w:rPr>
        <w:t>039: {</w:t>
      </w:r>
    </w:p>
    <w:p>
      <w:pPr>
        <w:pStyle w:val="NoSpacing"/>
      </w:pPr>
      <w:r>
        <w:rPr>
          <w:rFonts w:ascii="Courier New" w:hAnsi="Courier New"/>
          <w:sz w:val="12"/>
        </w:rPr>
        <w:t>040:     Console.ForegroundColor = ConsoleColor.Yellow;</w:t>
      </w:r>
    </w:p>
    <w:p>
      <w:pPr>
        <w:pStyle w:val="NoSpacing"/>
      </w:pPr>
      <w:r>
        <w:rPr>
          <w:rFonts w:ascii="Courier New" w:hAnsi="Courier New"/>
          <w:sz w:val="12"/>
        </w:rPr>
        <w:t>041:     Console.WriteLine("SKIP existing lookup: aso_opportunityid");</w:t>
      </w:r>
    </w:p>
    <w:p>
      <w:pPr>
        <w:pStyle w:val="NoSpacing"/>
      </w:pPr>
      <w:r>
        <w:rPr>
          <w:rFonts w:ascii="Courier New" w:hAnsi="Courier New"/>
          <w:sz w:val="12"/>
        </w:rPr>
        <w:t>042:     Console.ResetColor();</w:t>
      </w:r>
    </w:p>
    <w:p>
      <w:pPr>
        <w:pStyle w:val="NoSpacing"/>
      </w:pPr>
      <w:r>
        <w:rPr>
          <w:rFonts w:ascii="Courier New" w:hAnsi="Courier New"/>
          <w:sz w:val="12"/>
        </w:rPr>
        <w:t>043: }</w:t>
      </w:r>
    </w:p>
    <w:p>
      <w:pPr>
        <w:pStyle w:val="NoSpacing"/>
      </w:pPr>
      <w:r>
        <w:rPr>
          <w:rFonts w:ascii="Courier New" w:hAnsi="Courier New"/>
          <w:sz w:val="12"/>
        </w:rPr>
        <w:t>044: else</w:t>
      </w:r>
    </w:p>
    <w:p>
      <w:pPr>
        <w:pStyle w:val="NoSpacing"/>
      </w:pPr>
      <w:r>
        <w:rPr>
          <w:rFonts w:ascii="Courier New" w:hAnsi="Courier New"/>
          <w:sz w:val="12"/>
        </w:rPr>
        <w:t>045: {</w:t>
      </w:r>
    </w:p>
    <w:p>
      <w:pPr>
        <w:pStyle w:val="NoSpacing"/>
      </w:pPr>
      <w:r>
        <w:rPr>
          <w:rFonts w:ascii="Courier New" w:hAnsi="Courier New"/>
          <w:sz w:val="12"/>
        </w:rPr>
        <w:t>046:     try</w:t>
      </w:r>
    </w:p>
    <w:p>
      <w:pPr>
        <w:pStyle w:val="NoSpacing"/>
      </w:pPr>
      <w:r>
        <w:rPr>
          <w:rFonts w:ascii="Courier New" w:hAnsi="Courier New"/>
          <w:sz w:val="12"/>
        </w:rPr>
        <w:t>047:     {</w:t>
      </w:r>
    </w:p>
    <w:p>
      <w:pPr>
        <w:pStyle w:val="NoSpacing"/>
      </w:pPr>
      <w:r>
        <w:rPr>
          <w:rFonts w:ascii="Courier New" w:hAnsi="Courier New"/>
          <w:sz w:val="12"/>
        </w:rPr>
        <w:t>048:         Console.WriteLine("Creating Opportunity lookup relationship...");</w:t>
      </w:r>
    </w:p>
    <w:p>
      <w:pPr>
        <w:pStyle w:val="NoSpacing"/>
      </w:pPr>
      <w:r>
        <w:rPr>
          <w:rFonts w:ascii="Courier New" w:hAnsi="Courier New"/>
          <w:sz w:val="12"/>
        </w:rPr>
        <w:t xml:space="preserve">049: </w:t>
      </w:r>
    </w:p>
    <w:p>
      <w:pPr>
        <w:pStyle w:val="NoSpacing"/>
      </w:pPr>
      <w:r>
        <w:rPr>
          <w:rFonts w:ascii="Courier New" w:hAnsi="Courier New"/>
          <w:sz w:val="12"/>
        </w:rPr>
        <w:t>050:         var relationship = new OneToManyRelationshipMetadata</w:t>
      </w:r>
    </w:p>
    <w:p>
      <w:pPr>
        <w:pStyle w:val="NoSpacing"/>
      </w:pPr>
      <w:r>
        <w:rPr>
          <w:rFonts w:ascii="Courier New" w:hAnsi="Courier New"/>
          <w:sz w:val="12"/>
        </w:rPr>
        <w:t>051:         {</w:t>
      </w:r>
    </w:p>
    <w:p>
      <w:pPr>
        <w:pStyle w:val="NoSpacing"/>
      </w:pPr>
      <w:r>
        <w:rPr>
          <w:rFonts w:ascii="Courier New" w:hAnsi="Courier New"/>
          <w:sz w:val="12"/>
        </w:rPr>
        <w:t>052:             SchemaName = "aso_opportunity_aso_pendingcommercialaction",</w:t>
      </w:r>
    </w:p>
    <w:p>
      <w:pPr>
        <w:pStyle w:val="NoSpacing"/>
      </w:pPr>
      <w:r>
        <w:rPr>
          <w:rFonts w:ascii="Courier New" w:hAnsi="Courier New"/>
          <w:sz w:val="12"/>
        </w:rPr>
        <w:t>053:             ReferencedEntity = "opportunity",</w:t>
      </w:r>
    </w:p>
    <w:p>
      <w:pPr>
        <w:pStyle w:val="NoSpacing"/>
      </w:pPr>
      <w:r>
        <w:rPr>
          <w:rFonts w:ascii="Courier New" w:hAnsi="Courier New"/>
          <w:sz w:val="12"/>
        </w:rPr>
        <w:t>054:             ReferencingEntity = EntityLogicalName,</w:t>
      </w:r>
    </w:p>
    <w:p>
      <w:pPr>
        <w:pStyle w:val="NoSpacing"/>
      </w:pPr>
      <w:r>
        <w:rPr>
          <w:rFonts w:ascii="Courier New" w:hAnsi="Courier New"/>
          <w:sz w:val="12"/>
        </w:rPr>
        <w:t>055:             AssociatedMenuConfiguration = new AssociatedMenuConfiguration</w:t>
      </w:r>
    </w:p>
    <w:p>
      <w:pPr>
        <w:pStyle w:val="NoSpacing"/>
      </w:pPr>
      <w:r>
        <w:rPr>
          <w:rFonts w:ascii="Courier New" w:hAnsi="Courier New"/>
          <w:sz w:val="12"/>
        </w:rPr>
        <w:t>056:             {</w:t>
      </w:r>
    </w:p>
    <w:p>
      <w:pPr>
        <w:pStyle w:val="NoSpacing"/>
      </w:pPr>
      <w:r>
        <w:rPr>
          <w:rFonts w:ascii="Courier New" w:hAnsi="Courier New"/>
          <w:sz w:val="12"/>
        </w:rPr>
        <w:t>057:                 Behavior = AssociatedMenuBehavior.UseLabel,</w:t>
      </w:r>
    </w:p>
    <w:p>
      <w:pPr>
        <w:pStyle w:val="NoSpacing"/>
      </w:pPr>
      <w:r>
        <w:rPr>
          <w:rFonts w:ascii="Courier New" w:hAnsi="Courier New"/>
          <w:sz w:val="12"/>
        </w:rPr>
        <w:t>058:                 Group = AssociatedMenuGroup.Details,</w:t>
      </w:r>
    </w:p>
    <w:p>
      <w:pPr>
        <w:pStyle w:val="NoSpacing"/>
      </w:pPr>
      <w:r>
        <w:rPr>
          <w:rFonts w:ascii="Courier New" w:hAnsi="Courier New"/>
          <w:sz w:val="12"/>
        </w:rPr>
        <w:t>059:                 Label = Label("Pending Commercial Actions"),</w:t>
      </w:r>
    </w:p>
    <w:p>
      <w:pPr>
        <w:pStyle w:val="NoSpacing"/>
      </w:pPr>
      <w:r>
        <w:rPr>
          <w:rFonts w:ascii="Courier New" w:hAnsi="Courier New"/>
          <w:sz w:val="12"/>
        </w:rPr>
        <w:t>060:                 Order = 10000</w:t>
      </w:r>
    </w:p>
    <w:p>
      <w:pPr>
        <w:pStyle w:val="NoSpacing"/>
      </w:pPr>
      <w:r>
        <w:rPr>
          <w:rFonts w:ascii="Courier New" w:hAnsi="Courier New"/>
          <w:sz w:val="12"/>
        </w:rPr>
        <w:t>061:             },</w:t>
      </w:r>
    </w:p>
    <w:p>
      <w:pPr>
        <w:pStyle w:val="NoSpacing"/>
      </w:pPr>
      <w:r>
        <w:rPr>
          <w:rFonts w:ascii="Courier New" w:hAnsi="Courier New"/>
          <w:sz w:val="12"/>
        </w:rPr>
        <w:t>062:             CascadeConfiguration = new CascadeConfiguration</w:t>
      </w:r>
    </w:p>
    <w:p>
      <w:pPr>
        <w:pStyle w:val="NoSpacing"/>
      </w:pPr>
      <w:r>
        <w:rPr>
          <w:rFonts w:ascii="Courier New" w:hAnsi="Courier New"/>
          <w:sz w:val="12"/>
        </w:rPr>
        <w:t>063:             {</w:t>
      </w:r>
    </w:p>
    <w:p>
      <w:pPr>
        <w:pStyle w:val="NoSpacing"/>
      </w:pPr>
      <w:r>
        <w:rPr>
          <w:rFonts w:ascii="Courier New" w:hAnsi="Courier New"/>
          <w:sz w:val="12"/>
        </w:rPr>
        <w:t>064:                 Assign = CascadeType.NoCascade,</w:t>
      </w:r>
    </w:p>
    <w:p>
      <w:pPr>
        <w:pStyle w:val="NoSpacing"/>
      </w:pPr>
      <w:r>
        <w:rPr>
          <w:rFonts w:ascii="Courier New" w:hAnsi="Courier New"/>
          <w:sz w:val="12"/>
        </w:rPr>
        <w:t>065:                 Delete = CascadeType.RemoveLink,</w:t>
      </w:r>
    </w:p>
    <w:p>
      <w:pPr>
        <w:pStyle w:val="NoSpacing"/>
      </w:pPr>
      <w:r>
        <w:rPr>
          <w:rFonts w:ascii="Courier New" w:hAnsi="Courier New"/>
          <w:sz w:val="12"/>
        </w:rPr>
        <w:t>066:                 Merge = CascadeType.NoCascade,</w:t>
      </w:r>
    </w:p>
    <w:p>
      <w:pPr>
        <w:pStyle w:val="NoSpacing"/>
      </w:pPr>
      <w:r>
        <w:rPr>
          <w:rFonts w:ascii="Courier New" w:hAnsi="Courier New"/>
          <w:sz w:val="12"/>
        </w:rPr>
        <w:t>067:                 Reparent = CascadeType.NoCascade,</w:t>
      </w:r>
    </w:p>
    <w:p>
      <w:pPr>
        <w:pStyle w:val="NoSpacing"/>
      </w:pPr>
      <w:r>
        <w:rPr>
          <w:rFonts w:ascii="Courier New" w:hAnsi="Courier New"/>
          <w:sz w:val="12"/>
        </w:rPr>
        <w:t>068:                 Share = CascadeType.NoCascade,</w:t>
      </w:r>
    </w:p>
    <w:p>
      <w:pPr>
        <w:pStyle w:val="NoSpacing"/>
      </w:pPr>
      <w:r>
        <w:rPr>
          <w:rFonts w:ascii="Courier New" w:hAnsi="Courier New"/>
          <w:sz w:val="12"/>
        </w:rPr>
        <w:t>069:                 Unshare = CascadeType.NoCascade</w:t>
      </w:r>
    </w:p>
    <w:p>
      <w:pPr>
        <w:pStyle w:val="NoSpacing"/>
      </w:pPr>
      <w:r>
        <w:rPr>
          <w:rFonts w:ascii="Courier New" w:hAnsi="Courier New"/>
          <w:sz w:val="12"/>
        </w:rPr>
        <w:t>070:             }</w:t>
      </w:r>
    </w:p>
    <w:p>
      <w:pPr>
        <w:pStyle w:val="NoSpacing"/>
      </w:pPr>
      <w:r>
        <w:rPr>
          <w:rFonts w:ascii="Courier New" w:hAnsi="Courier New"/>
          <w:sz w:val="12"/>
        </w:rPr>
        <w:t>071:         };</w:t>
      </w:r>
    </w:p>
    <w:p>
      <w:pPr>
        <w:pStyle w:val="NoSpacing"/>
      </w:pPr>
      <w:r>
        <w:rPr>
          <w:rFonts w:ascii="Courier New" w:hAnsi="Courier New"/>
          <w:sz w:val="12"/>
        </w:rPr>
        <w:t xml:space="preserve">072: </w:t>
      </w:r>
    </w:p>
    <w:p>
      <w:pPr>
        <w:pStyle w:val="NoSpacing"/>
      </w:pPr>
      <w:r>
        <w:rPr>
          <w:rFonts w:ascii="Courier New" w:hAnsi="Courier New"/>
          <w:sz w:val="12"/>
        </w:rPr>
        <w:t>073:         var lookup = new LookupAttributeMetadata</w:t>
      </w:r>
    </w:p>
    <w:p>
      <w:pPr>
        <w:pStyle w:val="NoSpacing"/>
      </w:pPr>
      <w:r>
        <w:rPr>
          <w:rFonts w:ascii="Courier New" w:hAnsi="Courier New"/>
          <w:sz w:val="12"/>
        </w:rPr>
        <w:t>074:         {</w:t>
      </w:r>
    </w:p>
    <w:p>
      <w:pPr>
        <w:pStyle w:val="NoSpacing"/>
      </w:pPr>
      <w:r>
        <w:rPr>
          <w:rFonts w:ascii="Courier New" w:hAnsi="Courier New"/>
          <w:sz w:val="12"/>
        </w:rPr>
        <w:t>075:             SchemaName = "aso_opportunityid",</w:t>
      </w:r>
    </w:p>
    <w:p>
      <w:pPr>
        <w:pStyle w:val="NoSpacing"/>
      </w:pPr>
      <w:r>
        <w:rPr>
          <w:rFonts w:ascii="Courier New" w:hAnsi="Courier New"/>
          <w:sz w:val="12"/>
        </w:rPr>
        <w:t>076:             DisplayName = Label("Opportunity"),</w:t>
      </w:r>
    </w:p>
    <w:p>
      <w:pPr>
        <w:pStyle w:val="NoSpacing"/>
      </w:pPr>
      <w:r>
        <w:rPr>
          <w:rFonts w:ascii="Courier New" w:hAnsi="Courier New"/>
          <w:sz w:val="12"/>
        </w:rPr>
        <w:t>077:             Description = Label("Related Opportunity for the pending commercial action."),</w:t>
      </w:r>
    </w:p>
    <w:p>
      <w:pPr>
        <w:pStyle w:val="NoSpacing"/>
      </w:pPr>
      <w:r>
        <w:rPr>
          <w:rFonts w:ascii="Courier New" w:hAnsi="Courier New"/>
          <w:sz w:val="12"/>
        </w:rPr>
        <w:t>078:             RequiredLevel = Optional()</w:t>
      </w:r>
    </w:p>
    <w:p>
      <w:pPr>
        <w:pStyle w:val="NoSpacing"/>
      </w:pPr>
      <w:r>
        <w:rPr>
          <w:rFonts w:ascii="Courier New" w:hAnsi="Courier New"/>
          <w:sz w:val="12"/>
        </w:rPr>
        <w:t>079:         };</w:t>
      </w:r>
    </w:p>
    <w:p>
      <w:pPr>
        <w:pStyle w:val="NoSpacing"/>
      </w:pPr>
      <w:r>
        <w:rPr>
          <w:rFonts w:ascii="Courier New" w:hAnsi="Courier New"/>
          <w:sz w:val="12"/>
        </w:rPr>
        <w:t xml:space="preserve">080: </w:t>
      </w:r>
    </w:p>
    <w:p>
      <w:pPr>
        <w:pStyle w:val="NoSpacing"/>
      </w:pPr>
      <w:r>
        <w:rPr>
          <w:rFonts w:ascii="Courier New" w:hAnsi="Courier New"/>
          <w:sz w:val="12"/>
        </w:rPr>
        <w:t>081:         var request = new CreateOneToManyRequest</w:t>
      </w:r>
    </w:p>
    <w:p>
      <w:pPr>
        <w:pStyle w:val="NoSpacing"/>
      </w:pPr>
      <w:r>
        <w:rPr>
          <w:rFonts w:ascii="Courier New" w:hAnsi="Courier New"/>
          <w:sz w:val="12"/>
        </w:rPr>
        <w:t>082:         {</w:t>
      </w:r>
    </w:p>
    <w:p>
      <w:pPr>
        <w:pStyle w:val="NoSpacing"/>
      </w:pPr>
      <w:r>
        <w:rPr>
          <w:rFonts w:ascii="Courier New" w:hAnsi="Courier New"/>
          <w:sz w:val="12"/>
        </w:rPr>
        <w:t>083:             OneToManyRelationship = relationship,</w:t>
      </w:r>
    </w:p>
    <w:p>
      <w:pPr>
        <w:pStyle w:val="NoSpacing"/>
      </w:pPr>
      <w:r>
        <w:rPr>
          <w:rFonts w:ascii="Courier New" w:hAnsi="Courier New"/>
          <w:sz w:val="12"/>
        </w:rPr>
        <w:t>084:             Lookup = lookup,</w:t>
      </w:r>
    </w:p>
    <w:p>
      <w:pPr>
        <w:pStyle w:val="NoSpacing"/>
      </w:pPr>
      <w:r>
        <w:rPr>
          <w:rFonts w:ascii="Courier New" w:hAnsi="Courier New"/>
          <w:sz w:val="12"/>
        </w:rPr>
        <w:t>085:             SolutionUniqueName = SolutionUniqueName</w:t>
      </w:r>
    </w:p>
    <w:p>
      <w:pPr>
        <w:pStyle w:val="NoSpacing"/>
      </w:pPr>
      <w:r>
        <w:rPr>
          <w:rFonts w:ascii="Courier New" w:hAnsi="Courier New"/>
          <w:sz w:val="12"/>
        </w:rPr>
        <w:t>086:         };</w:t>
      </w:r>
    </w:p>
    <w:p>
      <w:pPr>
        <w:pStyle w:val="NoSpacing"/>
      </w:pPr>
      <w:r>
        <w:rPr>
          <w:rFonts w:ascii="Courier New" w:hAnsi="Courier New"/>
          <w:sz w:val="12"/>
        </w:rPr>
        <w:t xml:space="preserve">087: </w:t>
      </w:r>
    </w:p>
    <w:p>
      <w:pPr>
        <w:pStyle w:val="NoSpacing"/>
      </w:pPr>
      <w:r>
        <w:rPr>
          <w:rFonts w:ascii="Courier New" w:hAnsi="Courier New"/>
          <w:sz w:val="12"/>
        </w:rPr>
        <w:t>088:         service.Execute(request);</w:t>
      </w:r>
    </w:p>
    <w:p>
      <w:pPr>
        <w:pStyle w:val="NoSpacing"/>
      </w:pPr>
      <w:r>
        <w:rPr>
          <w:rFonts w:ascii="Courier New" w:hAnsi="Courier New"/>
          <w:sz w:val="12"/>
        </w:rPr>
        <w:t xml:space="preserve">089: </w:t>
      </w:r>
    </w:p>
    <w:p>
      <w:pPr>
        <w:pStyle w:val="NoSpacing"/>
      </w:pPr>
      <w:r>
        <w:rPr>
          <w:rFonts w:ascii="Courier New" w:hAnsi="Courier New"/>
          <w:sz w:val="12"/>
        </w:rPr>
        <w:t>090:         Console.ForegroundColor = ConsoleColor.Green;</w:t>
      </w:r>
    </w:p>
    <w:p>
      <w:pPr>
        <w:pStyle w:val="NoSpacing"/>
      </w:pPr>
      <w:r>
        <w:rPr>
          <w:rFonts w:ascii="Courier New" w:hAnsi="Courier New"/>
          <w:sz w:val="12"/>
        </w:rPr>
        <w:t>091:         Console.WriteLine("CREATED LOOKUP: aso_opportunityid");</w:t>
      </w:r>
    </w:p>
    <w:p>
      <w:pPr>
        <w:pStyle w:val="NoSpacing"/>
      </w:pPr>
      <w:r>
        <w:rPr>
          <w:rFonts w:ascii="Courier New" w:hAnsi="Courier New"/>
          <w:sz w:val="12"/>
        </w:rPr>
        <w:t>092:         Console.ResetColor();</w:t>
      </w:r>
    </w:p>
    <w:p>
      <w:pPr>
        <w:pStyle w:val="NoSpacing"/>
      </w:pPr>
      <w:r>
        <w:rPr>
          <w:rFonts w:ascii="Courier New" w:hAnsi="Courier New"/>
          <w:sz w:val="12"/>
        </w:rPr>
        <w:t>093:     }</w:t>
      </w:r>
    </w:p>
    <w:p>
      <w:pPr>
        <w:pStyle w:val="NoSpacing"/>
      </w:pPr>
      <w:r>
        <w:rPr>
          <w:rFonts w:ascii="Courier New" w:hAnsi="Courier New"/>
          <w:sz w:val="12"/>
        </w:rPr>
        <w:t>094:     catch (Exception ex)</w:t>
      </w:r>
    </w:p>
    <w:p>
      <w:pPr>
        <w:pStyle w:val="NoSpacing"/>
      </w:pPr>
      <w:r>
        <w:rPr>
          <w:rFonts w:ascii="Courier New" w:hAnsi="Courier New"/>
          <w:sz w:val="12"/>
        </w:rPr>
        <w:t>095:     {</w:t>
      </w:r>
    </w:p>
    <w:p>
      <w:pPr>
        <w:pStyle w:val="NoSpacing"/>
      </w:pPr>
      <w:r>
        <w:rPr>
          <w:rFonts w:ascii="Courier New" w:hAnsi="Courier New"/>
          <w:sz w:val="12"/>
        </w:rPr>
        <w:t>096:         Console.ForegroundColor = ConsoleColor.Red;</w:t>
      </w:r>
    </w:p>
    <w:p>
      <w:pPr>
        <w:pStyle w:val="NoSpacing"/>
      </w:pPr>
      <w:r>
        <w:rPr>
          <w:rFonts w:ascii="Courier New" w:hAnsi="Courier New"/>
          <w:sz w:val="12"/>
        </w:rPr>
        <w:t>097:         Console.WriteLine("FAILED LOOKUP: aso_opportunityid");</w:t>
      </w:r>
    </w:p>
    <w:p>
      <w:pPr>
        <w:pStyle w:val="NoSpacing"/>
      </w:pPr>
      <w:r>
        <w:rPr>
          <w:rFonts w:ascii="Courier New" w:hAnsi="Courier New"/>
          <w:sz w:val="12"/>
        </w:rPr>
        <w:t>098:         Console.WriteLine(ex.Message);</w:t>
      </w:r>
    </w:p>
    <w:p>
      <w:pPr>
        <w:pStyle w:val="NoSpacing"/>
      </w:pPr>
      <w:r>
        <w:rPr>
          <w:rFonts w:ascii="Courier New" w:hAnsi="Courier New"/>
          <w:sz w:val="12"/>
        </w:rPr>
        <w:t>099:         Console.ResetColor();</w:t>
      </w:r>
    </w:p>
    <w:p>
      <w:pPr>
        <w:pStyle w:val="NoSpacing"/>
      </w:pPr>
      <w:r>
        <w:rPr>
          <w:rFonts w:ascii="Courier New" w:hAnsi="Courier New"/>
          <w:sz w:val="12"/>
        </w:rPr>
        <w:t>100:     }</w:t>
      </w:r>
    </w:p>
    <w:p>
      <w:pPr>
        <w:pStyle w:val="NoSpacing"/>
      </w:pPr>
      <w:r>
        <w:rPr>
          <w:rFonts w:ascii="Courier New" w:hAnsi="Courier New"/>
          <w:sz w:val="12"/>
        </w:rPr>
        <w:t>101: }</w:t>
      </w:r>
    </w:p>
    <w:p>
      <w:pPr>
        <w:pStyle w:val="NoSpacing"/>
      </w:pPr>
      <w:r>
        <w:rPr>
          <w:rFonts w:ascii="Courier New" w:hAnsi="Courier New"/>
          <w:sz w:val="12"/>
        </w:rPr>
        <w:t xml:space="preserve">102: </w:t>
      </w:r>
    </w:p>
    <w:p>
      <w:pPr>
        <w:pStyle w:val="NoSpacing"/>
      </w:pPr>
      <w:r>
        <w:rPr>
          <w:rFonts w:ascii="Courier New" w:hAnsi="Courier New"/>
          <w:sz w:val="12"/>
        </w:rPr>
        <w:t>103: Console.WriteLine();</w:t>
      </w:r>
    </w:p>
    <w:p>
      <w:pPr>
        <w:pStyle w:val="NoSpacing"/>
      </w:pPr>
      <w:r>
        <w:rPr>
          <w:rFonts w:ascii="Courier New" w:hAnsi="Courier New"/>
          <w:sz w:val="12"/>
        </w:rPr>
        <w:t>104: Console.WriteLine("Publishing Pending Commercial Action and Opportunity customizations...");</w:t>
      </w:r>
    </w:p>
    <w:p>
      <w:pPr>
        <w:pStyle w:val="NoSpacing"/>
      </w:pPr>
      <w:r>
        <w:rPr>
          <w:rFonts w:ascii="Courier New" w:hAnsi="Courier New"/>
          <w:sz w:val="12"/>
        </w:rPr>
        <w:t xml:space="preserve">105: </w:t>
      </w:r>
    </w:p>
    <w:p>
      <w:pPr>
        <w:pStyle w:val="NoSpacing"/>
      </w:pPr>
      <w:r>
        <w:rPr>
          <w:rFonts w:ascii="Courier New" w:hAnsi="Courier New"/>
          <w:sz w:val="12"/>
        </w:rPr>
        <w:t>106: service.Execute(new PublishXmlRequest</w:t>
      </w:r>
    </w:p>
    <w:p>
      <w:pPr>
        <w:pStyle w:val="NoSpacing"/>
      </w:pPr>
      <w:r>
        <w:rPr>
          <w:rFonts w:ascii="Courier New" w:hAnsi="Courier New"/>
          <w:sz w:val="12"/>
        </w:rPr>
        <w:t>107: {</w:t>
      </w:r>
    </w:p>
    <w:p>
      <w:pPr>
        <w:pStyle w:val="NoSpacing"/>
      </w:pPr>
      <w:r>
        <w:rPr>
          <w:rFonts w:ascii="Courier New" w:hAnsi="Courier New"/>
          <w:sz w:val="12"/>
        </w:rPr>
        <w:t>108:     ParameterXml = "&lt;importexportxml&gt;&lt;entities&gt;&lt;entity&gt;aso_pendingcommercialaction&lt;/entity&gt;&lt;entity&gt;opportunity&lt;/entity&gt;&lt;/entities&gt;&lt;/importexportxml&gt;"</w:t>
      </w:r>
    </w:p>
    <w:p>
      <w:pPr>
        <w:pStyle w:val="NoSpacing"/>
      </w:pPr>
      <w:r>
        <w:rPr>
          <w:rFonts w:ascii="Courier New" w:hAnsi="Courier New"/>
          <w:sz w:val="12"/>
        </w:rPr>
        <w:t>109: });</w:t>
      </w:r>
    </w:p>
    <w:p>
      <w:pPr>
        <w:pStyle w:val="NoSpacing"/>
      </w:pPr>
      <w:r>
        <w:rPr>
          <w:rFonts w:ascii="Courier New" w:hAnsi="Courier New"/>
          <w:sz w:val="12"/>
        </w:rPr>
        <w:t xml:space="preserve">110: </w:t>
      </w:r>
    </w:p>
    <w:p>
      <w:pPr>
        <w:pStyle w:val="NoSpacing"/>
      </w:pPr>
      <w:r>
        <w:rPr>
          <w:rFonts w:ascii="Courier New" w:hAnsi="Courier New"/>
          <w:sz w:val="12"/>
        </w:rPr>
        <w:t>111: Console.ForegroundColor = ConsoleColor.Green;</w:t>
      </w:r>
    </w:p>
    <w:p>
      <w:pPr>
        <w:pStyle w:val="NoSpacing"/>
      </w:pPr>
      <w:r>
        <w:rPr>
          <w:rFonts w:ascii="Courier New" w:hAnsi="Courier New"/>
          <w:sz w:val="12"/>
        </w:rPr>
        <w:t>112: Console.WriteLine("Done. Validate in ASO.Core -&gt; Tables -&gt; Pending Commercial Action -&gt; Columns.");</w:t>
      </w:r>
    </w:p>
    <w:p>
      <w:pPr>
        <w:pStyle w:val="NoSpacing"/>
      </w:pPr>
      <w:r>
        <w:rPr>
          <w:rFonts w:ascii="Courier New" w:hAnsi="Courier New"/>
          <w:sz w:val="12"/>
        </w:rPr>
        <w:t>113: Console.ResetColor();</w:t>
      </w:r>
    </w:p>
    <w:p>
      <w:pPr>
        <w:pStyle w:val="NoSpacing"/>
      </w:pPr>
      <w:r>
        <w:rPr>
          <w:rFonts w:ascii="Courier New" w:hAnsi="Courier New"/>
          <w:sz w:val="12"/>
        </w:rPr>
        <w:t xml:space="preserve">114: </w:t>
      </w:r>
    </w:p>
    <w:p>
      <w:pPr>
        <w:pStyle w:val="NoSpacing"/>
      </w:pPr>
      <w:r>
        <w:rPr>
          <w:rFonts w:ascii="Courier New" w:hAnsi="Courier New"/>
          <w:sz w:val="12"/>
        </w:rPr>
        <w:t>115: static HashSet&lt;string&gt; GetExistingAttributeLogicalNames(ServiceClient service, string entityLogicalName)</w:t>
      </w:r>
    </w:p>
    <w:p>
      <w:pPr>
        <w:pStyle w:val="NoSpacing"/>
      </w:pPr>
      <w:r>
        <w:rPr>
          <w:rFonts w:ascii="Courier New" w:hAnsi="Courier New"/>
          <w:sz w:val="12"/>
        </w:rPr>
        <w:t>116: {</w:t>
      </w:r>
    </w:p>
    <w:p>
      <w:pPr>
        <w:pStyle w:val="NoSpacing"/>
      </w:pPr>
      <w:r>
        <w:rPr>
          <w:rFonts w:ascii="Courier New" w:hAnsi="Courier New"/>
          <w:sz w:val="12"/>
        </w:rPr>
        <w:t>117:     var response = (RetrieveEntityResponse)service.Execute(new RetrieveEntityRequest</w:t>
      </w:r>
    </w:p>
    <w:p>
      <w:pPr>
        <w:pStyle w:val="NoSpacing"/>
      </w:pPr>
      <w:r>
        <w:rPr>
          <w:rFonts w:ascii="Courier New" w:hAnsi="Courier New"/>
          <w:sz w:val="12"/>
        </w:rPr>
        <w:t>118:     {</w:t>
      </w:r>
    </w:p>
    <w:p>
      <w:pPr>
        <w:pStyle w:val="NoSpacing"/>
      </w:pPr>
      <w:r>
        <w:rPr>
          <w:rFonts w:ascii="Courier New" w:hAnsi="Courier New"/>
          <w:sz w:val="12"/>
        </w:rPr>
        <w:t>119:         LogicalName = entityLogicalName,</w:t>
      </w:r>
    </w:p>
    <w:p>
      <w:pPr>
        <w:pStyle w:val="NoSpacing"/>
      </w:pPr>
      <w:r>
        <w:rPr>
          <w:rFonts w:ascii="Courier New" w:hAnsi="Courier New"/>
          <w:sz w:val="12"/>
        </w:rPr>
        <w:t>120:         EntityFilters = EntityFilters.Attributes,</w:t>
      </w:r>
    </w:p>
    <w:p>
      <w:pPr>
        <w:pStyle w:val="NoSpacing"/>
      </w:pPr>
      <w:r>
        <w:rPr>
          <w:rFonts w:ascii="Courier New" w:hAnsi="Courier New"/>
          <w:sz w:val="12"/>
        </w:rPr>
        <w:t>121:         RetrieveAsIfPublished = true</w:t>
      </w:r>
    </w:p>
    <w:p>
      <w:pPr>
        <w:pStyle w:val="NoSpacing"/>
      </w:pPr>
      <w:r>
        <w:rPr>
          <w:rFonts w:ascii="Courier New" w:hAnsi="Courier New"/>
          <w:sz w:val="12"/>
        </w:rPr>
        <w:t>122:     });</w:t>
      </w:r>
    </w:p>
    <w:p>
      <w:pPr>
        <w:pStyle w:val="NoSpacing"/>
      </w:pPr>
      <w:r>
        <w:rPr>
          <w:rFonts w:ascii="Courier New" w:hAnsi="Courier New"/>
          <w:sz w:val="12"/>
        </w:rPr>
        <w:t xml:space="preserve">123: </w:t>
      </w:r>
    </w:p>
    <w:p>
      <w:pPr>
        <w:pStyle w:val="NoSpacing"/>
      </w:pPr>
      <w:r>
        <w:rPr>
          <w:rFonts w:ascii="Courier New" w:hAnsi="Courier New"/>
          <w:sz w:val="12"/>
        </w:rPr>
        <w:t>124:     return response.EntityMetadata.Attributes</w:t>
      </w:r>
    </w:p>
    <w:p>
      <w:pPr>
        <w:pStyle w:val="NoSpacing"/>
      </w:pPr>
      <w:r>
        <w:rPr>
          <w:rFonts w:ascii="Courier New" w:hAnsi="Courier New"/>
          <w:sz w:val="12"/>
        </w:rPr>
        <w:t>125:         .Where(a =&gt; !string.IsNullOrWhiteSpace(a.LogicalName))</w:t>
      </w:r>
    </w:p>
    <w:p>
      <w:pPr>
        <w:pStyle w:val="NoSpacing"/>
      </w:pPr>
      <w:r>
        <w:rPr>
          <w:rFonts w:ascii="Courier New" w:hAnsi="Courier New"/>
          <w:sz w:val="12"/>
        </w:rPr>
        <w:t>126:         .Select(a =&gt; a.LogicalName!)</w:t>
      </w:r>
    </w:p>
    <w:p>
      <w:pPr>
        <w:pStyle w:val="NoSpacing"/>
      </w:pPr>
      <w:r>
        <w:rPr>
          <w:rFonts w:ascii="Courier New" w:hAnsi="Courier New"/>
          <w:sz w:val="12"/>
        </w:rPr>
        <w:t>127:         .ToHashSet(StringComparer.OrdinalIgnoreCase);</w:t>
      </w:r>
    </w:p>
    <w:p>
      <w:pPr>
        <w:pStyle w:val="NoSpacing"/>
      </w:pPr>
      <w:r>
        <w:rPr>
          <w:rFonts w:ascii="Courier New" w:hAnsi="Courier New"/>
          <w:sz w:val="12"/>
        </w:rPr>
        <w:t>128: }</w:t>
      </w:r>
    </w:p>
    <w:p>
      <w:pPr>
        <w:pStyle w:val="NoSpacing"/>
      </w:pPr>
      <w:r>
        <w:rPr>
          <w:rFonts w:ascii="Courier New" w:hAnsi="Courier New"/>
          <w:sz w:val="12"/>
        </w:rPr>
        <w:t xml:space="preserve">129: </w:t>
      </w:r>
    </w:p>
    <w:p>
      <w:pPr>
        <w:pStyle w:val="NoSpacing"/>
      </w:pPr>
      <w:r>
        <w:rPr>
          <w:rFonts w:ascii="Courier New" w:hAnsi="Courier New"/>
          <w:sz w:val="12"/>
        </w:rPr>
        <w:t>130: static Label Label(string value) =&gt; new(value, LanguageCode);</w:t>
      </w:r>
    </w:p>
    <w:p>
      <w:pPr>
        <w:pStyle w:val="NoSpacing"/>
      </w:pPr>
      <w:r>
        <w:rPr>
          <w:rFonts w:ascii="Courier New" w:hAnsi="Courier New"/>
          <w:sz w:val="12"/>
        </w:rPr>
        <w:t xml:space="preserve">131: </w:t>
      </w:r>
    </w:p>
    <w:p>
      <w:pPr>
        <w:pStyle w:val="NoSpacing"/>
      </w:pPr>
      <w:r>
        <w:rPr>
          <w:rFonts w:ascii="Courier New" w:hAnsi="Courier New"/>
          <w:sz w:val="12"/>
        </w:rPr>
        <w:t>132: static AttributeRequiredLevelManagedProperty Optional()</w:t>
      </w:r>
    </w:p>
    <w:p>
      <w:pPr>
        <w:pStyle w:val="NoSpacing"/>
      </w:pPr>
      <w:r>
        <w:rPr>
          <w:rFonts w:ascii="Courier New" w:hAnsi="Courier New"/>
          <w:sz w:val="12"/>
        </w:rPr>
        <w:t>133: {</w:t>
      </w:r>
    </w:p>
    <w:p>
      <w:pPr>
        <w:pStyle w:val="NoSpacing"/>
      </w:pPr>
      <w:r>
        <w:rPr>
          <w:rFonts w:ascii="Courier New" w:hAnsi="Courier New"/>
          <w:sz w:val="12"/>
        </w:rPr>
        <w:t>134:     return new AttributeRequiredLevelManagedProperty(AttributeRequiredLevel.None);</w:t>
      </w:r>
    </w:p>
    <w:p>
      <w:pPr>
        <w:pStyle w:val="NoSpacing"/>
      </w:pPr>
      <w:r>
        <w:rPr>
          <w:rFonts w:ascii="Courier New" w:hAnsi="Courier New"/>
          <w:sz w:val="12"/>
        </w:rPr>
        <w:t>135: }</w:t>
      </w:r>
    </w:p>
    <w:p>
      <w:pPr>
        <w:pStyle w:val="NoSpacing"/>
      </w:pPr>
      <w:r>
        <w:rPr>
          <w:rFonts w:ascii="Courier New" w:hAnsi="Courier New"/>
          <w:sz w:val="12"/>
        </w:rPr>
        <w:t>136: EOF</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Agentic Sales Orchestrator - Pending Commercial Action Documentation | Phoenicarix-CI | ASO.Core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