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衡岭 HL-7 设备保修办法</w:t>
      </w:r>
    </w:p>
    <w:p>
      <w:r>
        <w:t xml:space="preserve">公开合成 RAG 测试资料。所有对象、制度和金额均为虚构，不代表真实组织政策。</w:t>
      </w:r>
    </w:p>
    <w:p>
      <w:pPr>
        <w:pStyle w:val="Heading1"/>
      </w:pPr>
      <w:r>
        <w:t xml:space="preserve">适用范围</w:t>
      </w:r>
    </w:p>
    <w:p>
      <w:r>
        <w:t xml:space="preserve">仅适用于购买日期为 2025-01-01 至 2025-12-31 的衡岭 HL-7 设备。服务对象为政企客户。</w:t>
      </w:r>
    </w:p>
    <w:p>
      <w:pPr>
        <w:pStyle w:val="Heading1"/>
      </w:pPr>
      <w:r>
        <w:t xml:space="preserve">保修期与免费额度</w:t>
      </w:r>
    </w:p>
    <w:p>
      <w:pPr>
        <w:pStyle w:val="Heading2"/>
      </w:pPr>
      <w:r>
        <w:t xml:space="preserve">1. 保修起算与期限</w:t>
      </w:r>
    </w:p>
    <w:p>
      <w:r>
        <w:t xml:space="preserve">出厂质量故障的免费维修期为签收次日起 24 个月。</w:t>
      </w:r>
    </w:p>
    <w:p>
      <w:pPr>
        <w:pStyle w:val="Heading2"/>
      </w:pPr>
      <w:r>
        <w:t xml:space="preserve">2. 易损件免费额度</w:t>
      </w:r>
    </w:p>
    <w:p>
      <w:r>
        <w:t xml:space="preserve">易损件自然损坏维修时，单次免费额度上限如下表。</w:t>
      </w:r>
    </w:p>
    <w:tbl>
      <w:tr>
        <w:tc>
          <w:p>
            <w:r>
              <w:t xml:space="preserve">零部件</w:t>
            </w:r>
          </w:p>
        </w:tc>
        <w:tc>
          <w:p>
            <w:r>
              <w:t xml:space="preserve">单次免费额度</w:t>
            </w:r>
          </w:p>
        </w:tc>
      </w:tr>
      <w:tr>
        <w:tc>
          <w:p>
            <w:r>
              <w:t xml:space="preserve">电池</w:t>
            </w:r>
          </w:p>
        </w:tc>
        <w:tc>
          <w:p>
            <w:r>
              <w:t xml:space="preserve">不超过 320 元</w:t>
            </w:r>
          </w:p>
        </w:tc>
      </w:tr>
      <w:tr>
        <w:tc>
          <w:p>
            <w:r>
              <w:t xml:space="preserve">屏幕</w:t>
            </w:r>
          </w:p>
        </w:tc>
        <w:tc>
          <w:p>
            <w:r>
              <w:t xml:space="preserve">不超过 880 元</w:t>
            </w:r>
          </w:p>
        </w:tc>
      </w:tr>
      <w:tr>
        <w:tc>
          <w:p>
            <w:r>
              <w:t xml:space="preserve">散热模组</w:t>
            </w:r>
          </w:p>
        </w:tc>
        <w:tc>
          <w:p>
            <w:r>
              <w:t xml:space="preserve">不超过 210 元</w:t>
            </w:r>
          </w:p>
        </w:tc>
      </w:tr>
    </w:tbl>
    <w:p>
      <w:pPr>
        <w:pStyle w:val="Heading2"/>
      </w:pPr>
      <w:r>
        <w:t xml:space="preserve">3. 免费范围例外</w:t>
      </w:r>
    </w:p>
    <w:p>
      <w:r>
        <w:t xml:space="preserve">浸水、私自拆机和非原厂配件引起的故障均不属于免费维修。</w:t>
      </w:r>
    </w:p>
    <w:p>
      <w:pPr>
        <w:pStyle w:val="Heading1"/>
      </w:pPr>
      <w:r>
        <w:t xml:space="preserve">申请与响应</w:t>
      </w:r>
    </w:p>
    <w:p>
      <w:r>
        <w:t xml:space="preserve">申请必须同时提交采购合同号和可读的设备序列号；缺任一项须补齐。</w:t>
      </w:r>
    </w:p>
    <w:p>
      <w:r>
        <w:t xml:space="preserve">资料齐全后的 3 个工作日内首次响应；响应不等于维修完成。</w:t>
      </w:r>
    </w:p>
    <w:p>
      <w:pPr>
        <w:pStyle w:val="Heading1"/>
      </w:pPr>
      <w:r>
        <w:t xml:space="preserve">使用边界</w:t>
      </w:r>
    </w:p>
    <w:p>
      <w:r>
        <w:t xml:space="preserve">本文未记载的其他型号、地点、期限和实际执行记录均须另取证据，不得从本文件类推。多份适用资料冲突且没有优先级时，应列出冲突并拒绝给出唯一结论。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  <w:style w:type="paragraph" w:styleId="Heading5">
    <w:name w:val="heading 5"/>
    <w:pPr>
      <w:outlineLvl w:val="4"/>
    </w:pPr>
  </w:style>
  <w:style w:type="paragraph" w:styleId="Heading6">
    <w:name w:val="heading 6"/>
    <w:pPr>
      <w:outlineLvl w:val="5"/>
    </w:pPr>
  </w:style>
  <w:style w:type="paragraph" w:styleId="Heading7">
    <w:name w:val="heading 7"/>
    <w:pPr>
      <w:outlineLvl w:val="6"/>
    </w:pPr>
  </w:style>
  <w:style w:type="paragraph" w:styleId="Heading8">
    <w:name w:val="heading 8"/>
    <w:pPr>
      <w:outlineLvl w:val="7"/>
    </w:pPr>
  </w:style>
  <w:style w:type="paragraph" w:styleId="Heading9">
    <w:name w:val="heading 9"/>
    <w:pPr>
      <w:outlineLvl w:val="8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衡岭 HL-7 设备保修办法</dc:title>
</cp:coreProperties>
</file>