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青湾港试验站运行手册</w:t>
      </w:r>
    </w:p>
    <w:p>
      <w:r>
        <w:t>受控合成验收资料 机构地点人物均属虚构 不代表实际业务统计</w:t>
      </w:r>
    </w:p>
    <w:p>
      <w:pPr>
        <w:pStyle w:val="Heading1"/>
      </w:pPr>
      <w:r>
        <w:t>一 值班和授权</w:t>
      </w:r>
    </w:p>
    <w:p>
      <w:r>
        <w:t>青湾港试验站的夜班交接时间为21:30。白班负责人是林澄，夜班负责人是许舟。</w:t>
      </w:r>
    </w:p>
    <w:p>
      <w:r>
        <w:t>只有站长与安全员共同签字才能恢复停机设备。值班人员只能提出复机申请。</w:t>
      </w:r>
    </w:p>
    <w:p>
      <w:r>
        <w:t>紧急撤离信号为连续三次短鸣，普通到岗提示是一次长鸣。</w:t>
      </w:r>
    </w:p>
    <w:p>
      <w:pPr>
        <w:pStyle w:val="Heading1"/>
      </w:pPr>
      <w:r>
        <w:t>二 设备与物料</w:t>
      </w:r>
    </w:p>
    <w:p>
      <w:r>
        <w:t>泵P-17在2025年2月14日停机，原因是密封圈磨损。修复后于2月16日复机。</w:t>
      </w:r>
    </w:p>
    <w:p>
      <w:r>
        <w:t>密封圈最低库存为8件；低于8件时提出采购申请，等于8件无需触发采购。</w:t>
      </w:r>
    </w:p>
    <w:p>
      <w:r>
        <w:t>月末实盘密封圈为11件，电子台账为12件；差额1件尚未查明，不得直接认定遗失。</w:t>
      </w:r>
    </w:p>
    <w:p>
      <w:pPr>
        <w:pStyle w:val="Heading1"/>
      </w:pPr>
      <w:r>
        <w:t>三 统计与例外</w:t>
      </w:r>
    </w:p>
    <w:p>
      <w:r>
        <w:t>2025年2月试验站完成42次巡检，其中3次复检已计入42次，不得另加。</w:t>
      </w:r>
    </w:p>
    <w:p>
      <w:r>
        <w:t>成功启动为18次，失败启动为2次；本手册把成功率定义为成功次数除以全部启动次数。</w:t>
      </w:r>
    </w:p>
    <w:p>
      <w:r>
        <w:t>物料费用980元不含运输费，运输费120元另列。未记录税额。</w:t>
      </w:r>
    </w:p>
    <w:p>
      <w:pPr>
        <w:pStyle w:val="Heading1"/>
      </w:pPr>
      <w:r>
        <w:t>四 资料使用</w:t>
      </w:r>
    </w:p>
    <w:p>
      <w:r>
        <w:t>本手册版本为V2.1，于2025年3月1日签发，只适用于青湾港试验站。</w:t>
      </w:r>
    </w:p>
    <w:p>
      <w:r>
        <w:t>维修工单号WO-0078为字符串标识，不是78次维修。</w:t>
      </w:r>
    </w:p>
    <w:p>
      <w:r>
        <w:t>记录中的NA表示未采集，空白表示未填报；两者均不得补成0。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ongti SC" w:hAnsi="Songti SC" w:eastAsia="Songti SC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ongti SC" w:hAnsi="Songti SC" w:eastAsia="Songti S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ongti SC" w:hAnsi="Songti SC" w:eastAsia="Songti SC"/>
      <w:color w:val="000000"/>
    </w:rPr>
  </w:style>
  <w:style w:type="table" w:default="1" w:styleId="TableNormal">
    <w:name w:val="Normal Table"/>
    <w:uiPriority w:val="99"/>
    <w:semiHidden/>
    <w:unhideWhenUsed/>
    <w:rPr>
      <w:rFonts w:ascii="Songti SC" w:hAnsi="Songti SC" w:eastAsia="Songti SC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ongti SC" w:hAnsi="Songti SC" w:eastAsia="Songti SC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ongti SC" w:hAnsi="Songti SC" w:eastAsia="Songti SC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ongti SC" w:hAnsi="Songti SC" w:eastAsia="Songti SC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ongti SC" w:hAnsi="Songti SC" w:eastAsia="Songti S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ongti SC" w:hAnsi="Songti SC" w:eastAsia="Songti SC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ongti SC" w:hAnsi="Songti SC" w:eastAsia="Songti SC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Songti SC" w:hAnsi="Songti SC" w:eastAsia="Songti SC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ongti SC" w:hAnsi="Songti SC" w:eastAsia="Songti SC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ongti SC" w:hAnsi="Songti SC" w:eastAsia="Songti SC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ongti SC" w:hAnsi="Songti SC" w:eastAsia="Songti SC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ongti SC" w:hAnsi="Songti SC" w:eastAsia="Songti SC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ongti SC" w:hAnsi="Songti SC" w:eastAsia="Songti SC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ongti SC" w:hAnsi="Songti SC" w:eastAsia="Songti SC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